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E428" w14:textId="3679A5B5" w:rsidR="009F0AA4" w:rsidRPr="00B122D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590C20" w:rsidRPr="00B122DD">
        <w:rPr>
          <w:rFonts w:eastAsia="Times New Roman"/>
          <w:b/>
          <w:color w:val="000000" w:themeColor="text1"/>
          <w:lang w:eastAsia="ru-RU"/>
        </w:rPr>
        <w:t>2</w:t>
      </w:r>
    </w:p>
    <w:p w14:paraId="05E6C267" w14:textId="77777777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00BCA43E" w14:textId="09DD0F02" w:rsidR="009F0AA4" w:rsidRPr="00B122DD" w:rsidRDefault="006F26BB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5FF58230" w14:textId="59BDBB9F" w:rsidR="009F0AA4" w:rsidRPr="00B122D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7736D0">
        <w:rPr>
          <w:rFonts w:eastAsia="Times New Roman"/>
          <w:b/>
          <w:color w:val="000000" w:themeColor="text1"/>
          <w:lang w:eastAsia="ru-RU"/>
        </w:rPr>
        <w:t>6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год</w:t>
      </w:r>
    </w:p>
    <w:p w14:paraId="689056F5" w14:textId="01F5721C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7736D0">
        <w:rPr>
          <w:rFonts w:eastAsia="Times New Roman"/>
          <w:b/>
          <w:color w:val="000000" w:themeColor="text1"/>
          <w:lang w:eastAsia="ru-RU"/>
        </w:rPr>
        <w:t>7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7736D0">
        <w:rPr>
          <w:rFonts w:eastAsia="Times New Roman"/>
          <w:b/>
          <w:color w:val="000000" w:themeColor="text1"/>
          <w:lang w:eastAsia="ru-RU"/>
        </w:rPr>
        <w:t>8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6F26BB">
        <w:rPr>
          <w:rFonts w:eastAsia="Times New Roman"/>
          <w:b/>
          <w:color w:val="000000" w:themeColor="text1"/>
          <w:lang w:eastAsia="ru-RU"/>
        </w:rPr>
        <w:t>»</w:t>
      </w:r>
    </w:p>
    <w:p w14:paraId="0464F369" w14:textId="77777777" w:rsidR="009F0AA4" w:rsidRPr="00B122D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6BF12F57" w14:textId="77777777" w:rsidR="00590C20" w:rsidRPr="00B122DD" w:rsidRDefault="00590C20" w:rsidP="00590C20">
      <w:pPr>
        <w:rPr>
          <w:color w:val="000000" w:themeColor="text1"/>
        </w:rPr>
      </w:pPr>
    </w:p>
    <w:p w14:paraId="5DA9CBE2" w14:textId="655009FF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699FB50C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</w:t>
      </w:r>
      <w:r w:rsidR="007736D0">
        <w:rPr>
          <w:color w:val="000000" w:themeColor="text1"/>
          <w:sz w:val="26"/>
          <w:szCs w:val="26"/>
        </w:rPr>
        <w:t>6</w:t>
      </w:r>
      <w:r w:rsidRPr="00B122DD">
        <w:rPr>
          <w:color w:val="000000" w:themeColor="text1"/>
          <w:sz w:val="26"/>
          <w:szCs w:val="26"/>
        </w:rPr>
        <w:t xml:space="preserve"> год и на плановый период 202</w:t>
      </w:r>
      <w:r w:rsidR="007736D0">
        <w:rPr>
          <w:color w:val="000000" w:themeColor="text1"/>
          <w:sz w:val="26"/>
          <w:szCs w:val="26"/>
        </w:rPr>
        <w:t>7</w:t>
      </w:r>
      <w:r w:rsidRPr="00B122DD">
        <w:rPr>
          <w:color w:val="000000" w:themeColor="text1"/>
          <w:sz w:val="26"/>
          <w:szCs w:val="26"/>
        </w:rPr>
        <w:t xml:space="preserve"> и 202</w:t>
      </w:r>
      <w:r w:rsidR="007736D0">
        <w:rPr>
          <w:color w:val="000000" w:themeColor="text1"/>
          <w:sz w:val="26"/>
          <w:szCs w:val="26"/>
        </w:rPr>
        <w:t>8</w:t>
      </w:r>
      <w:r w:rsidRPr="00B122DD">
        <w:rPr>
          <w:color w:val="000000" w:themeColor="text1"/>
          <w:sz w:val="26"/>
          <w:szCs w:val="26"/>
        </w:rPr>
        <w:t xml:space="preserve"> годов</w:t>
      </w:r>
    </w:p>
    <w:p w14:paraId="4499CC30" w14:textId="77777777" w:rsidR="00F47B4B" w:rsidRPr="00B122DD" w:rsidRDefault="00F47B4B" w:rsidP="00F47B4B">
      <w:pPr>
        <w:pStyle w:val="ConsPlusNormal"/>
        <w:jc w:val="both"/>
        <w:rPr>
          <w:color w:val="000000" w:themeColor="text1"/>
        </w:rPr>
      </w:pPr>
    </w:p>
    <w:p w14:paraId="5B3B2C38" w14:textId="77777777" w:rsidR="00F47B4B" w:rsidRPr="00B122DD" w:rsidRDefault="00F47B4B" w:rsidP="00F47B4B">
      <w:pPr>
        <w:pStyle w:val="ConsPlusNormal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3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749"/>
        <w:gridCol w:w="1761"/>
      </w:tblGrid>
      <w:tr w:rsidR="00B122DD" w:rsidRPr="006D227C" w14:paraId="52447704" w14:textId="77777777" w:rsidTr="0053587D">
        <w:tc>
          <w:tcPr>
            <w:tcW w:w="487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14:paraId="42661B6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236255E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F47B4B" w:rsidRPr="006D227C" w14:paraId="0C4A61CD" w14:textId="77777777" w:rsidTr="002717DD">
        <w:tc>
          <w:tcPr>
            <w:tcW w:w="487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14:paraId="2796B590" w14:textId="77777777" w:rsidR="00F47B4B" w:rsidRPr="006D227C" w:rsidRDefault="00F47B4B" w:rsidP="00F47B4B">
            <w:pPr>
              <w:spacing w:line="240" w:lineRule="exact"/>
              <w:ind w:firstLine="0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5BC0185F" w14:textId="4A042736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6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49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7373E427" w14:textId="5470C77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7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61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40049EBC" w14:textId="11C20FDC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7736D0">
              <w:rPr>
                <w:color w:val="000000" w:themeColor="text1"/>
                <w:sz w:val="26"/>
                <w:szCs w:val="26"/>
              </w:rPr>
              <w:t>8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</w:tbl>
    <w:p w14:paraId="25976BC5" w14:textId="77777777" w:rsidR="0053587D" w:rsidRPr="0053587D" w:rsidRDefault="0053587D">
      <w:pPr>
        <w:rPr>
          <w:sz w:val="2"/>
          <w:szCs w:val="2"/>
        </w:rPr>
      </w:pPr>
    </w:p>
    <w:tbl>
      <w:tblPr>
        <w:tblW w:w="10261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0"/>
        <w:gridCol w:w="10"/>
        <w:gridCol w:w="1842"/>
        <w:gridCol w:w="1761"/>
        <w:gridCol w:w="1764"/>
        <w:gridCol w:w="14"/>
      </w:tblGrid>
      <w:tr w:rsidR="00B122DD" w:rsidRPr="006D227C" w14:paraId="26A0D13D" w14:textId="77777777" w:rsidTr="002717DD">
        <w:trPr>
          <w:gridAfter w:val="1"/>
          <w:wAfter w:w="14" w:type="dxa"/>
          <w:tblHeader/>
        </w:trPr>
        <w:tc>
          <w:tcPr>
            <w:tcW w:w="48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3CC4681" w14:textId="0287D307" w:rsidR="00F47B4B" w:rsidRPr="006D227C" w:rsidRDefault="00F47B4B" w:rsidP="00F47B4B">
            <w:pPr>
              <w:spacing w:line="240" w:lineRule="exact"/>
              <w:ind w:firstLine="0"/>
              <w:jc w:val="center"/>
              <w:rPr>
                <w:color w:val="000000" w:themeColor="text1"/>
              </w:rPr>
            </w:pPr>
            <w:r w:rsidRPr="006D227C">
              <w:rPr>
                <w:color w:val="000000" w:themeColor="text1"/>
              </w:rPr>
              <w:t>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EB9AACB" w14:textId="2FB75A0F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3D9DEC1" w14:textId="2806B2DE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433DA5" w14:textId="2408A8B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2717DD" w:rsidRPr="002717DD" w14:paraId="177425F5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366F" w14:textId="77777777" w:rsidR="002717DD" w:rsidRPr="002717DD" w:rsidRDefault="002717DD" w:rsidP="002717DD">
            <w:pPr>
              <w:pStyle w:val="a5"/>
              <w:spacing w:line="240" w:lineRule="exact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429F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530 291,48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C92A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- 2 112 769,42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56AE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2717DD">
              <w:rPr>
                <w:b/>
                <w:bCs/>
                <w:sz w:val="26"/>
                <w:szCs w:val="26"/>
              </w:rPr>
              <w:t>- 2 102 965,12</w:t>
            </w:r>
          </w:p>
        </w:tc>
      </w:tr>
      <w:tr w:rsidR="002717DD" w:rsidRPr="002717DD" w14:paraId="38319667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0EC30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D285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-7 000 0000,0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ED11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7A38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</w:t>
            </w:r>
          </w:p>
        </w:tc>
      </w:tr>
      <w:tr w:rsidR="002717DD" w:rsidRPr="002717DD" w14:paraId="313AA5C1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3C203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C9B3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-1 957 791,26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C559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bCs/>
                <w:sz w:val="26"/>
                <w:szCs w:val="26"/>
              </w:rPr>
              <w:t>- 2 348 713,12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3C1B3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bCs/>
                <w:sz w:val="26"/>
                <w:szCs w:val="26"/>
              </w:rPr>
            </w:pPr>
            <w:r w:rsidRPr="002717DD">
              <w:rPr>
                <w:bCs/>
                <w:sz w:val="26"/>
                <w:szCs w:val="26"/>
              </w:rPr>
              <w:t>- 2 348 713,12</w:t>
            </w:r>
          </w:p>
        </w:tc>
      </w:tr>
      <w:tr w:rsidR="002717DD" w:rsidRPr="002717DD" w14:paraId="5F61E69F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99A8" w14:textId="77777777" w:rsidR="002717DD" w:rsidRPr="002717DD" w:rsidRDefault="002717DD" w:rsidP="002717DD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492E1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 xml:space="preserve">9 444 111,74  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39B34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5EF15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</w:tr>
      <w:tr w:rsidR="002717DD" w:rsidRPr="002717DD" w14:paraId="1A803BEF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547A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AA9AF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43 971,00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5E7D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235 943,70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B8EE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245 748,00</w:t>
            </w:r>
          </w:p>
        </w:tc>
      </w:tr>
      <w:tr w:rsidR="002717DD" w:rsidRPr="002717DD" w14:paraId="46BF0CB5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7FF83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в том числе: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2D91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D982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3528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2717DD" w:rsidRPr="002717DD" w14:paraId="44FAEAA3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590B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B3F0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0030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F10F9" w14:textId="77777777" w:rsidR="002717DD" w:rsidRPr="002717DD" w:rsidRDefault="002717DD" w:rsidP="002717DD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>0,00</w:t>
            </w:r>
          </w:p>
        </w:tc>
      </w:tr>
      <w:tr w:rsidR="002717DD" w:rsidRPr="002717DD" w14:paraId="59B3BDDD" w14:textId="77777777" w:rsidTr="002717DD">
        <w:trPr>
          <w:trHeight w:val="20"/>
        </w:trPr>
        <w:tc>
          <w:tcPr>
            <w:tcW w:w="48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424F" w14:textId="77777777" w:rsidR="002717DD" w:rsidRPr="002717DD" w:rsidRDefault="002717DD" w:rsidP="002717DD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2717DD">
              <w:rPr>
                <w:sz w:val="26"/>
                <w:szCs w:val="26"/>
              </w:rPr>
              <w:t xml:space="preserve">Разница между средствами, полученными от возврата бюджетных кредитов, предоставленных из республиканского бюджета Республики Дагестан другим бюджетам бюджетной системы Российской Федерации и бюджетными кредитами, предоставленными из республиканского бюджета Республики Дагестан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4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4BB65" w14:textId="77777777" w:rsidR="002717DD" w:rsidRPr="002717DD" w:rsidRDefault="002717DD" w:rsidP="002717DD">
            <w:pPr>
              <w:spacing w:line="240" w:lineRule="exact"/>
              <w:ind w:firstLine="0"/>
            </w:pPr>
            <w:r w:rsidRPr="002717DD">
              <w:t xml:space="preserve">    43 971,00</w:t>
            </w:r>
          </w:p>
        </w:tc>
        <w:tc>
          <w:tcPr>
            <w:tcW w:w="176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04B4" w14:textId="77777777" w:rsidR="002717DD" w:rsidRPr="002717DD" w:rsidRDefault="002717DD" w:rsidP="002717DD">
            <w:pPr>
              <w:spacing w:line="240" w:lineRule="exact"/>
              <w:ind w:firstLine="0"/>
            </w:pPr>
            <w:r w:rsidRPr="002717DD">
              <w:t xml:space="preserve">  235 943,70</w:t>
            </w:r>
          </w:p>
        </w:tc>
        <w:tc>
          <w:tcPr>
            <w:tcW w:w="177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66B4" w14:textId="77777777" w:rsidR="002717DD" w:rsidRPr="002717DD" w:rsidRDefault="002717DD" w:rsidP="002717DD">
            <w:pPr>
              <w:spacing w:line="240" w:lineRule="exact"/>
              <w:ind w:firstLine="0"/>
            </w:pPr>
            <w:r w:rsidRPr="002717DD">
              <w:t xml:space="preserve">  245 748,00</w:t>
            </w:r>
          </w:p>
        </w:tc>
      </w:tr>
    </w:tbl>
    <w:p w14:paraId="7A228B7C" w14:textId="77777777" w:rsidR="00590C20" w:rsidRPr="00B122DD" w:rsidRDefault="00590C20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sectPr w:rsidR="00590C20" w:rsidRPr="00B122DD" w:rsidSect="002B26F8">
      <w:headerReference w:type="default" r:id="rId8"/>
      <w:pgSz w:w="11906" w:h="16838"/>
      <w:pgMar w:top="1134" w:right="567" w:bottom="1134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617D" w14:textId="77777777" w:rsidR="0068353B" w:rsidRDefault="0068353B" w:rsidP="00E6379F">
      <w:r>
        <w:separator/>
      </w:r>
    </w:p>
  </w:endnote>
  <w:endnote w:type="continuationSeparator" w:id="0">
    <w:p w14:paraId="2C0CC7C1" w14:textId="77777777" w:rsidR="0068353B" w:rsidRDefault="0068353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D7C0" w14:textId="77777777" w:rsidR="0068353B" w:rsidRDefault="0068353B" w:rsidP="00E6379F">
      <w:r>
        <w:separator/>
      </w:r>
    </w:p>
  </w:footnote>
  <w:footnote w:type="continuationSeparator" w:id="0">
    <w:p w14:paraId="7E4D949E" w14:textId="77777777" w:rsidR="0068353B" w:rsidRDefault="0068353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163A9B53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3F0A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E7779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17DD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26F8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535D1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3587D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052CD"/>
    <w:rsid w:val="00614859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353B"/>
    <w:rsid w:val="00684C4F"/>
    <w:rsid w:val="006A27E3"/>
    <w:rsid w:val="006A6C7B"/>
    <w:rsid w:val="006C094D"/>
    <w:rsid w:val="006C4A9B"/>
    <w:rsid w:val="006D227C"/>
    <w:rsid w:val="006E401A"/>
    <w:rsid w:val="006F1A47"/>
    <w:rsid w:val="006F26BB"/>
    <w:rsid w:val="006F6985"/>
    <w:rsid w:val="006F7BFA"/>
    <w:rsid w:val="00732CE3"/>
    <w:rsid w:val="007418AE"/>
    <w:rsid w:val="00755787"/>
    <w:rsid w:val="00761B80"/>
    <w:rsid w:val="00763896"/>
    <w:rsid w:val="00767E11"/>
    <w:rsid w:val="007736D0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4616D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1B44-7A9B-44F7-8827-DA26EF4C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9</cp:revision>
  <cp:lastPrinted>2025-10-01T05:34:00Z</cp:lastPrinted>
  <dcterms:created xsi:type="dcterms:W3CDTF">2024-10-18T09:08:00Z</dcterms:created>
  <dcterms:modified xsi:type="dcterms:W3CDTF">2025-10-01T05:34:00Z</dcterms:modified>
</cp:coreProperties>
</file>