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6.xml" ContentType="application/vnd.openxmlformats-officedocument.themeOverride+xml"/>
  <Override PartName="/word/drawings/drawing1.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17A7" w14:textId="77777777" w:rsidR="000A4EA5" w:rsidRPr="0009456A" w:rsidRDefault="000A4EA5" w:rsidP="000A4EA5">
      <w:pPr>
        <w:widowControl w:val="0"/>
        <w:spacing w:after="0" w:line="240" w:lineRule="auto"/>
        <w:jc w:val="center"/>
        <w:rPr>
          <w:rFonts w:ascii="Times New Roman" w:hAnsi="Times New Roman" w:cs="Times New Roman"/>
          <w:b/>
          <w:color w:val="002060"/>
          <w:sz w:val="28"/>
          <w:szCs w:val="28"/>
        </w:rPr>
      </w:pPr>
      <w:r w:rsidRPr="0009456A">
        <w:rPr>
          <w:rFonts w:ascii="Times New Roman" w:hAnsi="Times New Roman" w:cs="Times New Roman"/>
          <w:b/>
          <w:color w:val="002060"/>
          <w:sz w:val="28"/>
          <w:szCs w:val="28"/>
        </w:rPr>
        <w:t>ЗАКЛЮЧЕНИЕ</w:t>
      </w:r>
    </w:p>
    <w:p w14:paraId="13BC1F56" w14:textId="77777777" w:rsidR="000A4EA5" w:rsidRPr="0009456A" w:rsidRDefault="000A4EA5" w:rsidP="000A4EA5">
      <w:pPr>
        <w:widowControl w:val="0"/>
        <w:spacing w:after="0" w:line="240" w:lineRule="auto"/>
        <w:jc w:val="center"/>
        <w:rPr>
          <w:rFonts w:ascii="Times New Roman" w:hAnsi="Times New Roman" w:cs="Times New Roman"/>
          <w:b/>
          <w:color w:val="002060"/>
          <w:spacing w:val="30"/>
          <w:sz w:val="28"/>
          <w:szCs w:val="28"/>
        </w:rPr>
      </w:pPr>
      <w:r w:rsidRPr="0009456A">
        <w:rPr>
          <w:rFonts w:ascii="Times New Roman" w:hAnsi="Times New Roman" w:cs="Times New Roman"/>
          <w:b/>
          <w:color w:val="002060"/>
          <w:spacing w:val="30"/>
          <w:sz w:val="28"/>
          <w:szCs w:val="28"/>
        </w:rPr>
        <w:t xml:space="preserve">Счетной палаты Республики Дагестан </w:t>
      </w:r>
    </w:p>
    <w:p w14:paraId="330AEC87" w14:textId="77777777" w:rsidR="000A4EA5" w:rsidRPr="0009456A" w:rsidRDefault="000A4EA5" w:rsidP="000A4EA5">
      <w:pPr>
        <w:widowControl w:val="0"/>
        <w:spacing w:after="0" w:line="240" w:lineRule="auto"/>
        <w:jc w:val="center"/>
        <w:rPr>
          <w:rFonts w:ascii="Times New Roman" w:hAnsi="Times New Roman" w:cs="Times New Roman"/>
          <w:b/>
          <w:color w:val="002060"/>
          <w:sz w:val="28"/>
          <w:szCs w:val="28"/>
        </w:rPr>
      </w:pPr>
      <w:r w:rsidRPr="0009456A">
        <w:rPr>
          <w:rFonts w:ascii="Times New Roman" w:hAnsi="Times New Roman" w:cs="Times New Roman"/>
          <w:b/>
          <w:color w:val="002060"/>
          <w:sz w:val="28"/>
          <w:szCs w:val="28"/>
        </w:rPr>
        <w:t xml:space="preserve">на годовой отчет об исполнении республиканского бюджета </w:t>
      </w:r>
    </w:p>
    <w:p w14:paraId="4520B90E" w14:textId="77777777" w:rsidR="000A4EA5" w:rsidRPr="00597DDA" w:rsidRDefault="000A4EA5" w:rsidP="000A4EA5">
      <w:pPr>
        <w:widowControl w:val="0"/>
        <w:spacing w:after="0" w:line="240" w:lineRule="auto"/>
        <w:jc w:val="center"/>
        <w:rPr>
          <w:rFonts w:ascii="Times New Roman" w:hAnsi="Times New Roman" w:cs="Times New Roman"/>
          <w:b/>
          <w:color w:val="002060"/>
          <w:sz w:val="28"/>
          <w:szCs w:val="28"/>
        </w:rPr>
      </w:pPr>
      <w:r w:rsidRPr="0009456A">
        <w:rPr>
          <w:rFonts w:ascii="Times New Roman" w:hAnsi="Times New Roman" w:cs="Times New Roman"/>
          <w:b/>
          <w:color w:val="002060"/>
          <w:sz w:val="28"/>
          <w:szCs w:val="28"/>
        </w:rPr>
        <w:t xml:space="preserve">Республики </w:t>
      </w:r>
      <w:r w:rsidRPr="00597DDA">
        <w:rPr>
          <w:rFonts w:ascii="Times New Roman" w:hAnsi="Times New Roman" w:cs="Times New Roman"/>
          <w:b/>
          <w:color w:val="002060"/>
          <w:sz w:val="28"/>
          <w:szCs w:val="28"/>
        </w:rPr>
        <w:t>Дагестан за 20</w:t>
      </w:r>
      <w:r>
        <w:rPr>
          <w:rFonts w:ascii="Times New Roman" w:hAnsi="Times New Roman" w:cs="Times New Roman"/>
          <w:b/>
          <w:color w:val="002060"/>
          <w:sz w:val="28"/>
          <w:szCs w:val="28"/>
        </w:rPr>
        <w:t>21</w:t>
      </w:r>
      <w:r w:rsidRPr="00597DDA">
        <w:rPr>
          <w:rFonts w:ascii="Times New Roman" w:hAnsi="Times New Roman" w:cs="Times New Roman"/>
          <w:b/>
          <w:color w:val="002060"/>
          <w:sz w:val="28"/>
          <w:szCs w:val="28"/>
        </w:rPr>
        <w:t xml:space="preserve"> год</w:t>
      </w:r>
    </w:p>
    <w:p w14:paraId="136828E7" w14:textId="77777777" w:rsidR="000A4EA5" w:rsidRDefault="000A4EA5" w:rsidP="000A4EA5">
      <w:pPr>
        <w:widowControl w:val="0"/>
        <w:spacing w:after="0" w:line="240" w:lineRule="auto"/>
        <w:jc w:val="center"/>
        <w:rPr>
          <w:rFonts w:ascii="Times New Roman" w:hAnsi="Times New Roman" w:cs="Times New Roman"/>
          <w:b/>
          <w:bCs/>
          <w:color w:val="002060"/>
          <w:spacing w:val="1"/>
          <w:sz w:val="28"/>
          <w:szCs w:val="28"/>
        </w:rPr>
      </w:pPr>
    </w:p>
    <w:p w14:paraId="1DF5DF17" w14:textId="77777777" w:rsidR="000A4EA5" w:rsidRPr="00597DDA" w:rsidRDefault="000A4EA5" w:rsidP="000A4EA5">
      <w:pPr>
        <w:widowControl w:val="0"/>
        <w:spacing w:after="0" w:line="240" w:lineRule="auto"/>
        <w:jc w:val="center"/>
        <w:rPr>
          <w:rFonts w:ascii="Times New Roman" w:eastAsia="Times New Roman" w:hAnsi="Times New Roman" w:cs="Times New Roman"/>
          <w:b/>
          <w:color w:val="002060"/>
          <w:sz w:val="28"/>
          <w:szCs w:val="28"/>
          <w:lang w:eastAsia="ru-RU"/>
        </w:rPr>
      </w:pPr>
      <w:r w:rsidRPr="00597DDA">
        <w:rPr>
          <w:rFonts w:ascii="Times New Roman" w:eastAsia="Times New Roman" w:hAnsi="Times New Roman" w:cs="Times New Roman"/>
          <w:b/>
          <w:color w:val="002060"/>
          <w:sz w:val="28"/>
          <w:szCs w:val="28"/>
          <w:lang w:val="en-US" w:eastAsia="ru-RU"/>
        </w:rPr>
        <w:t>I</w:t>
      </w:r>
      <w:r w:rsidRPr="00597DDA">
        <w:rPr>
          <w:rFonts w:ascii="Times New Roman" w:eastAsia="Times New Roman" w:hAnsi="Times New Roman" w:cs="Times New Roman"/>
          <w:b/>
          <w:color w:val="002060"/>
          <w:sz w:val="28"/>
          <w:szCs w:val="28"/>
          <w:lang w:eastAsia="ru-RU"/>
        </w:rPr>
        <w:t xml:space="preserve">. Общие положения </w:t>
      </w:r>
    </w:p>
    <w:p w14:paraId="7C7C3F88" w14:textId="77777777" w:rsidR="000A4EA5" w:rsidRPr="00597DDA" w:rsidRDefault="000A4EA5" w:rsidP="000A4EA5">
      <w:pPr>
        <w:widowControl w:val="0"/>
        <w:spacing w:after="0" w:line="240" w:lineRule="auto"/>
        <w:jc w:val="center"/>
        <w:rPr>
          <w:rFonts w:ascii="Times New Roman" w:eastAsia="Times New Roman" w:hAnsi="Times New Roman" w:cs="Times New Roman"/>
          <w:color w:val="002060"/>
          <w:sz w:val="28"/>
          <w:szCs w:val="28"/>
          <w:lang w:eastAsia="ru-RU"/>
        </w:rPr>
      </w:pPr>
    </w:p>
    <w:p w14:paraId="459E3DDD" w14:textId="77777777" w:rsidR="000A4EA5" w:rsidRPr="0009456A" w:rsidRDefault="000A4EA5" w:rsidP="000A4EA5">
      <w:pPr>
        <w:widowControl w:val="0"/>
        <w:spacing w:after="0" w:line="360" w:lineRule="exact"/>
        <w:ind w:firstLine="709"/>
        <w:jc w:val="both"/>
        <w:rPr>
          <w:rFonts w:ascii="Times New Roman" w:eastAsia="Times New Roman" w:hAnsi="Times New Roman" w:cs="Times New Roman"/>
          <w:sz w:val="28"/>
          <w:szCs w:val="28"/>
          <w:lang w:eastAsia="ru-RU"/>
        </w:rPr>
      </w:pPr>
      <w:r w:rsidRPr="0065299C">
        <w:rPr>
          <w:rFonts w:ascii="Times New Roman" w:eastAsia="Times New Roman" w:hAnsi="Times New Roman" w:cs="Times New Roman"/>
          <w:b/>
          <w:color w:val="002060"/>
          <w:sz w:val="28"/>
          <w:szCs w:val="28"/>
          <w:lang w:eastAsia="ru-RU"/>
        </w:rPr>
        <w:t>1.1.</w:t>
      </w:r>
      <w:r w:rsidRPr="0009456A">
        <w:rPr>
          <w:rFonts w:ascii="Times New Roman" w:eastAsia="Times New Roman" w:hAnsi="Times New Roman" w:cs="Times New Roman"/>
          <w:b/>
          <w:sz w:val="28"/>
          <w:szCs w:val="28"/>
          <w:lang w:eastAsia="ru-RU"/>
        </w:rPr>
        <w:t xml:space="preserve"> </w:t>
      </w:r>
      <w:r w:rsidRPr="0009456A">
        <w:rPr>
          <w:rFonts w:ascii="Times New Roman" w:eastAsia="Times New Roman" w:hAnsi="Times New Roman" w:cs="Times New Roman"/>
          <w:sz w:val="28"/>
          <w:szCs w:val="28"/>
          <w:lang w:eastAsia="ru-RU"/>
        </w:rPr>
        <w:t>Заключение Счетной палаты Республики Дагестан (далее – Заключение) на годовой отчет об исполнении республиканского бюджета Республики Дагестан за 20</w:t>
      </w:r>
      <w:r>
        <w:rPr>
          <w:rFonts w:ascii="Times New Roman" w:eastAsia="Times New Roman" w:hAnsi="Times New Roman" w:cs="Times New Roman"/>
          <w:sz w:val="28"/>
          <w:szCs w:val="28"/>
          <w:lang w:eastAsia="ru-RU"/>
        </w:rPr>
        <w:t>21</w:t>
      </w:r>
      <w:r w:rsidRPr="0009456A">
        <w:rPr>
          <w:rFonts w:ascii="Times New Roman" w:eastAsia="Times New Roman" w:hAnsi="Times New Roman" w:cs="Times New Roman"/>
          <w:sz w:val="28"/>
          <w:szCs w:val="28"/>
          <w:lang w:eastAsia="ru-RU"/>
        </w:rPr>
        <w:t xml:space="preserve"> год подготовлено в соответствии со статьей 264.4 Бюджетного кодекса Российской Федерации, статьями </w:t>
      </w:r>
      <w:r w:rsidRPr="0009456A">
        <w:rPr>
          <w:rFonts w:ascii="Times New Roman" w:eastAsia="Times New Roman" w:hAnsi="Times New Roman" w:cs="Times New Roman"/>
          <w:bCs/>
          <w:sz w:val="28"/>
          <w:szCs w:val="28"/>
          <w:lang w:eastAsia="ru-RU"/>
        </w:rPr>
        <w:t xml:space="preserve">8, 9, 11 </w:t>
      </w:r>
      <w:r w:rsidRPr="0009456A">
        <w:rPr>
          <w:rFonts w:ascii="Times New Roman" w:eastAsia="Times New Roman" w:hAnsi="Times New Roman" w:cs="Times New Roman"/>
          <w:sz w:val="28"/>
          <w:szCs w:val="28"/>
          <w:lang w:eastAsia="ru-RU"/>
        </w:rPr>
        <w:t>Закона Республики Дагестан от 15 ноября 2011 года № 72 «О Счетной палате Республики Дагестан и некоторых вопросах деятельности контрольно-счетных органов муниципальных образований», статьей 57 Закона Республики Дагестан от 10 марта 2015 года № 18 «О бюджетном процессе и межбюджетных отношениях в Республике Дагестан» и План</w:t>
      </w:r>
      <w:r>
        <w:rPr>
          <w:rFonts w:ascii="Times New Roman" w:eastAsia="Times New Roman" w:hAnsi="Times New Roman" w:cs="Times New Roman"/>
          <w:sz w:val="28"/>
          <w:szCs w:val="28"/>
          <w:lang w:eastAsia="ru-RU"/>
        </w:rPr>
        <w:t xml:space="preserve">ом </w:t>
      </w:r>
      <w:r w:rsidRPr="0009456A">
        <w:rPr>
          <w:rFonts w:ascii="Times New Roman" w:eastAsia="Times New Roman" w:hAnsi="Times New Roman" w:cs="Times New Roman"/>
          <w:sz w:val="28"/>
          <w:szCs w:val="28"/>
          <w:lang w:eastAsia="ru-RU"/>
        </w:rPr>
        <w:t>работы Счетной палаты Республики Дагестан на 20</w:t>
      </w:r>
      <w:r>
        <w:rPr>
          <w:rFonts w:ascii="Times New Roman" w:eastAsia="Times New Roman" w:hAnsi="Times New Roman" w:cs="Times New Roman"/>
          <w:sz w:val="28"/>
          <w:szCs w:val="28"/>
          <w:lang w:eastAsia="ru-RU"/>
        </w:rPr>
        <w:t>22</w:t>
      </w:r>
      <w:r w:rsidRPr="0009456A">
        <w:rPr>
          <w:rFonts w:ascii="Times New Roman" w:eastAsia="Times New Roman" w:hAnsi="Times New Roman" w:cs="Times New Roman"/>
          <w:sz w:val="28"/>
          <w:szCs w:val="28"/>
          <w:lang w:eastAsia="ru-RU"/>
        </w:rPr>
        <w:t xml:space="preserve"> год.</w:t>
      </w:r>
    </w:p>
    <w:p w14:paraId="62B8320E" w14:textId="77777777" w:rsidR="000A4EA5" w:rsidRPr="0009456A" w:rsidRDefault="000A4EA5" w:rsidP="000A4EA5">
      <w:pPr>
        <w:widowControl w:val="0"/>
        <w:spacing w:after="0" w:line="360" w:lineRule="exact"/>
        <w:ind w:firstLine="709"/>
        <w:jc w:val="both"/>
        <w:rPr>
          <w:rFonts w:ascii="Times New Roman" w:eastAsia="Times New Roman" w:hAnsi="Times New Roman" w:cs="Times New Roman"/>
          <w:sz w:val="28"/>
          <w:szCs w:val="28"/>
          <w:lang w:eastAsia="ru-RU"/>
        </w:rPr>
      </w:pPr>
      <w:r w:rsidRPr="0065299C">
        <w:rPr>
          <w:rFonts w:ascii="Times New Roman" w:eastAsia="Times New Roman" w:hAnsi="Times New Roman" w:cs="Times New Roman"/>
          <w:b/>
          <w:color w:val="002060"/>
          <w:sz w:val="28"/>
          <w:szCs w:val="28"/>
          <w:lang w:eastAsia="ru-RU"/>
        </w:rPr>
        <w:t>1.2.</w:t>
      </w:r>
      <w:r w:rsidRPr="0009456A">
        <w:rPr>
          <w:rFonts w:ascii="Times New Roman" w:eastAsia="Times New Roman" w:hAnsi="Times New Roman" w:cs="Times New Roman"/>
          <w:sz w:val="28"/>
          <w:szCs w:val="28"/>
          <w:lang w:eastAsia="ru-RU"/>
        </w:rPr>
        <w:t xml:space="preserve"> Отчет об исполнении </w:t>
      </w:r>
      <w:r>
        <w:rPr>
          <w:rFonts w:ascii="Times New Roman" w:eastAsia="Times New Roman" w:hAnsi="Times New Roman" w:cs="Times New Roman"/>
          <w:sz w:val="28"/>
          <w:szCs w:val="28"/>
          <w:lang w:eastAsia="ru-RU"/>
        </w:rPr>
        <w:t xml:space="preserve">республиканского </w:t>
      </w:r>
      <w:r w:rsidRPr="0009456A">
        <w:rPr>
          <w:rFonts w:ascii="Times New Roman" w:eastAsia="Times New Roman" w:hAnsi="Times New Roman" w:cs="Times New Roman"/>
          <w:sz w:val="28"/>
          <w:szCs w:val="28"/>
          <w:lang w:eastAsia="ru-RU"/>
        </w:rPr>
        <w:t>бюджета Р</w:t>
      </w:r>
      <w:r>
        <w:rPr>
          <w:rFonts w:ascii="Times New Roman" w:eastAsia="Times New Roman" w:hAnsi="Times New Roman" w:cs="Times New Roman"/>
          <w:sz w:val="28"/>
          <w:szCs w:val="28"/>
          <w:lang w:eastAsia="ru-RU"/>
        </w:rPr>
        <w:t xml:space="preserve">еспублики </w:t>
      </w:r>
      <w:r w:rsidRPr="0009456A">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09456A">
        <w:rPr>
          <w:rFonts w:ascii="Times New Roman" w:eastAsia="Times New Roman" w:hAnsi="Times New Roman" w:cs="Times New Roman"/>
          <w:sz w:val="28"/>
          <w:szCs w:val="28"/>
          <w:lang w:eastAsia="ru-RU"/>
        </w:rPr>
        <w:t xml:space="preserve"> за 20</w:t>
      </w:r>
      <w:r>
        <w:rPr>
          <w:rFonts w:ascii="Times New Roman" w:eastAsia="Times New Roman" w:hAnsi="Times New Roman" w:cs="Times New Roman"/>
          <w:sz w:val="28"/>
          <w:szCs w:val="28"/>
          <w:lang w:eastAsia="ru-RU"/>
        </w:rPr>
        <w:t>21</w:t>
      </w:r>
      <w:r w:rsidRPr="0009456A">
        <w:rPr>
          <w:rFonts w:ascii="Times New Roman" w:eastAsia="Times New Roman" w:hAnsi="Times New Roman" w:cs="Times New Roman"/>
          <w:sz w:val="28"/>
          <w:szCs w:val="28"/>
          <w:lang w:eastAsia="ru-RU"/>
        </w:rPr>
        <w:t xml:space="preserve"> год и представляемые одновременно с ним документы направлены Правительством Республики Дагестан для проведения внешней проверки в Счетную палату Республики Дагестан (далее – Счетная палата) в срок и в соответствии с перечнем, установленным статьей 56 Закона Республики Дагестан от 10 марта 2015 года № 18 «О бюджетном процессе и межбюджетных отношениях в Республике Дагестан».</w:t>
      </w:r>
    </w:p>
    <w:p w14:paraId="4F653D12" w14:textId="7D8CD728" w:rsidR="000A4EA5" w:rsidRPr="00001474" w:rsidRDefault="000A4EA5" w:rsidP="000A4EA5">
      <w:pPr>
        <w:widowControl w:val="0"/>
        <w:spacing w:after="0" w:line="360" w:lineRule="exact"/>
        <w:ind w:firstLine="709"/>
        <w:jc w:val="both"/>
        <w:rPr>
          <w:rFonts w:ascii="Times New Roman" w:eastAsia="Times New Roman" w:hAnsi="Times New Roman" w:cs="Times New Roman"/>
          <w:sz w:val="28"/>
          <w:szCs w:val="28"/>
          <w:lang w:eastAsia="ru-RU"/>
        </w:rPr>
      </w:pPr>
      <w:r w:rsidRPr="000A4EA5">
        <w:rPr>
          <w:rFonts w:ascii="Times New Roman" w:eastAsia="Times New Roman" w:hAnsi="Times New Roman" w:cs="Times New Roman"/>
          <w:b/>
          <w:bCs/>
          <w:color w:val="002060"/>
          <w:sz w:val="28"/>
          <w:szCs w:val="28"/>
          <w:lang w:eastAsia="ru-RU"/>
        </w:rPr>
        <w:t>1.</w:t>
      </w:r>
      <w:r>
        <w:rPr>
          <w:rFonts w:ascii="Times New Roman" w:eastAsia="Times New Roman" w:hAnsi="Times New Roman" w:cs="Times New Roman"/>
          <w:b/>
          <w:bCs/>
          <w:color w:val="002060"/>
          <w:sz w:val="28"/>
          <w:szCs w:val="28"/>
          <w:lang w:eastAsia="ru-RU"/>
        </w:rPr>
        <w:t>3</w:t>
      </w:r>
      <w:r w:rsidRPr="000A4EA5">
        <w:rPr>
          <w:rFonts w:ascii="Times New Roman" w:eastAsia="Times New Roman" w:hAnsi="Times New Roman" w:cs="Times New Roman"/>
          <w:b/>
          <w:bCs/>
          <w:color w:val="002060"/>
          <w:sz w:val="28"/>
          <w:szCs w:val="28"/>
          <w:lang w:eastAsia="ru-RU"/>
        </w:rPr>
        <w:t>.</w:t>
      </w:r>
      <w:r>
        <w:rPr>
          <w:rFonts w:ascii="Times New Roman" w:eastAsia="Times New Roman" w:hAnsi="Times New Roman" w:cs="Times New Roman"/>
          <w:sz w:val="28"/>
          <w:szCs w:val="28"/>
          <w:lang w:eastAsia="ru-RU"/>
        </w:rPr>
        <w:t xml:space="preserve"> </w:t>
      </w:r>
      <w:r w:rsidRPr="0009456A">
        <w:rPr>
          <w:rFonts w:ascii="Times New Roman" w:eastAsia="Times New Roman" w:hAnsi="Times New Roman" w:cs="Times New Roman"/>
          <w:sz w:val="28"/>
          <w:szCs w:val="28"/>
          <w:lang w:eastAsia="ru-RU"/>
        </w:rPr>
        <w:t xml:space="preserve">Отчет об исполнении </w:t>
      </w:r>
      <w:r w:rsidRPr="009541F7">
        <w:rPr>
          <w:rFonts w:ascii="Times New Roman" w:eastAsia="Times New Roman" w:hAnsi="Times New Roman" w:cs="Times New Roman"/>
          <w:sz w:val="28"/>
          <w:szCs w:val="28"/>
          <w:lang w:eastAsia="ru-RU"/>
        </w:rPr>
        <w:t>республиканского бюджета Республики Дагестан за 2021 год составлен с учетом требований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w:t>
      </w:r>
      <w:r w:rsidRPr="009541F7">
        <w:rPr>
          <w:rFonts w:ascii="Times New Roman" w:hAnsi="Times New Roman" w:cs="Times New Roman"/>
          <w:sz w:val="28"/>
          <w:szCs w:val="28"/>
        </w:rPr>
        <w:t xml:space="preserve"> декабря </w:t>
      </w:r>
      <w:r w:rsidRPr="009541F7">
        <w:rPr>
          <w:rFonts w:ascii="Times New Roman" w:eastAsia="Times New Roman" w:hAnsi="Times New Roman" w:cs="Times New Roman"/>
          <w:sz w:val="28"/>
          <w:szCs w:val="28"/>
          <w:lang w:eastAsia="ru-RU"/>
        </w:rPr>
        <w:t>2010</w:t>
      </w:r>
      <w:r w:rsidRPr="009541F7">
        <w:rPr>
          <w:rFonts w:ascii="Times New Roman" w:hAnsi="Times New Roman" w:cs="Times New Roman"/>
          <w:sz w:val="28"/>
          <w:szCs w:val="28"/>
        </w:rPr>
        <w:t xml:space="preserve"> года</w:t>
      </w:r>
      <w:r w:rsidRPr="009541F7">
        <w:rPr>
          <w:rFonts w:ascii="Times New Roman" w:eastAsia="Times New Roman" w:hAnsi="Times New Roman" w:cs="Times New Roman"/>
          <w:sz w:val="28"/>
          <w:szCs w:val="28"/>
          <w:lang w:eastAsia="ru-RU"/>
        </w:rPr>
        <w:t xml:space="preserve"> № 191н (далее – Инструкция </w:t>
      </w:r>
      <w:r w:rsidRPr="009541F7">
        <w:rPr>
          <w:rFonts w:ascii="Times New Roman" w:hAnsi="Times New Roman" w:cs="Times New Roman"/>
          <w:sz w:val="28"/>
          <w:szCs w:val="28"/>
        </w:rPr>
        <w:t xml:space="preserve">№ </w:t>
      </w:r>
      <w:r w:rsidRPr="009541F7">
        <w:rPr>
          <w:rFonts w:ascii="Times New Roman" w:eastAsia="Times New Roman" w:hAnsi="Times New Roman" w:cs="Times New Roman"/>
          <w:sz w:val="28"/>
          <w:szCs w:val="28"/>
          <w:lang w:eastAsia="ru-RU"/>
        </w:rPr>
        <w:t>191н) и сформирован по кодам бюджетной классификации, утвержденным приказом Министерства финансов Российской Федерации от 6 июня 2019 года № 85н.</w:t>
      </w:r>
    </w:p>
    <w:p w14:paraId="79E4AA49" w14:textId="26593214" w:rsidR="000A4EA5" w:rsidRPr="0009456A" w:rsidRDefault="000A4EA5" w:rsidP="000A4EA5">
      <w:pPr>
        <w:widowControl w:val="0"/>
        <w:spacing w:after="0" w:line="360" w:lineRule="exact"/>
        <w:ind w:firstLine="709"/>
        <w:jc w:val="both"/>
        <w:rPr>
          <w:rFonts w:ascii="Times New Roman" w:eastAsia="Times New Roman" w:hAnsi="Times New Roman" w:cs="Times New Roman"/>
          <w:sz w:val="28"/>
          <w:szCs w:val="28"/>
          <w:lang w:eastAsia="ru-RU"/>
        </w:rPr>
      </w:pPr>
      <w:r w:rsidRPr="0065299C">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4</w:t>
      </w:r>
      <w:r w:rsidRPr="0065299C">
        <w:rPr>
          <w:rFonts w:ascii="Times New Roman" w:eastAsia="Times New Roman" w:hAnsi="Times New Roman" w:cs="Times New Roman"/>
          <w:b/>
          <w:color w:val="002060"/>
          <w:sz w:val="28"/>
          <w:szCs w:val="28"/>
          <w:lang w:eastAsia="ru-RU"/>
        </w:rPr>
        <w:t>.</w:t>
      </w:r>
      <w:r w:rsidRPr="0065299C">
        <w:rPr>
          <w:rFonts w:ascii="Times New Roman" w:eastAsia="Times New Roman" w:hAnsi="Times New Roman" w:cs="Times New Roman"/>
          <w:color w:val="002060"/>
          <w:sz w:val="28"/>
          <w:szCs w:val="28"/>
          <w:lang w:eastAsia="ru-RU"/>
        </w:rPr>
        <w:t xml:space="preserve"> </w:t>
      </w:r>
      <w:r w:rsidRPr="0009456A">
        <w:rPr>
          <w:rFonts w:ascii="Times New Roman" w:eastAsia="Times New Roman" w:hAnsi="Times New Roman" w:cs="Times New Roman"/>
          <w:sz w:val="28"/>
          <w:szCs w:val="28"/>
          <w:lang w:eastAsia="ru-RU"/>
        </w:rPr>
        <w:t xml:space="preserve">В настоящем Заключении отражены результаты </w:t>
      </w:r>
      <w:r w:rsidRPr="0009456A">
        <w:rPr>
          <w:rFonts w:ascii="Times New Roman" w:eastAsia="Times New Roman" w:hAnsi="Times New Roman" w:cs="Times New Roman"/>
          <w:sz w:val="28"/>
          <w:szCs w:val="20"/>
          <w:lang w:eastAsia="ru-RU"/>
        </w:rPr>
        <w:t>контрольных и экспертно-аналитических мероприятий, проверки в Министерстве финансов Республики Дагестан, Министерстве экономического и территориального развития Республики Дагестан, бюджетной отчетности и деятельности главных распорядителей (распорядителей) и получателей бюджетных средств, главных администраторов доходов республиканского бюджета Республики Дагестан и главных администраторов источников финансирования дефицита республиканского бюджета Республики Дагестан.</w:t>
      </w:r>
    </w:p>
    <w:p w14:paraId="5465AF0D" w14:textId="77777777" w:rsidR="000A4EA5" w:rsidRPr="0009456A" w:rsidRDefault="000A4EA5" w:rsidP="000A4EA5">
      <w:pPr>
        <w:widowControl w:val="0"/>
        <w:spacing w:after="0" w:line="360" w:lineRule="exact"/>
        <w:ind w:firstLine="709"/>
        <w:jc w:val="both"/>
        <w:rPr>
          <w:rFonts w:ascii="Times New Roman" w:eastAsia="Times New Roman" w:hAnsi="Times New Roman" w:cs="Times New Roman"/>
          <w:sz w:val="28"/>
          <w:szCs w:val="28"/>
          <w:lang w:eastAsia="ru-RU"/>
        </w:rPr>
      </w:pPr>
      <w:r w:rsidRPr="0009456A">
        <w:rPr>
          <w:rFonts w:ascii="Times New Roman" w:eastAsia="Times New Roman" w:hAnsi="Times New Roman" w:cs="Times New Roman"/>
          <w:sz w:val="28"/>
          <w:szCs w:val="28"/>
          <w:lang w:eastAsia="ru-RU"/>
        </w:rPr>
        <w:lastRenderedPageBreak/>
        <w:t xml:space="preserve">При подготовке Заключения использованы дополнительные материалы и документы, полученные в ходе проведения внешней проверки </w:t>
      </w:r>
      <w:r>
        <w:rPr>
          <w:rFonts w:ascii="Times New Roman" w:eastAsia="Times New Roman" w:hAnsi="Times New Roman" w:cs="Times New Roman"/>
          <w:sz w:val="28"/>
          <w:szCs w:val="28"/>
          <w:lang w:eastAsia="ru-RU"/>
        </w:rPr>
        <w:t>годового о</w:t>
      </w:r>
      <w:r w:rsidRPr="0009456A">
        <w:rPr>
          <w:rFonts w:ascii="Times New Roman" w:eastAsia="Times New Roman" w:hAnsi="Times New Roman" w:cs="Times New Roman"/>
          <w:sz w:val="28"/>
          <w:szCs w:val="28"/>
          <w:lang w:eastAsia="ru-RU"/>
        </w:rPr>
        <w:t xml:space="preserve">тчета об исполнении </w:t>
      </w:r>
      <w:r>
        <w:rPr>
          <w:rFonts w:ascii="Times New Roman" w:eastAsia="Times New Roman" w:hAnsi="Times New Roman" w:cs="Times New Roman"/>
          <w:sz w:val="28"/>
          <w:szCs w:val="28"/>
          <w:lang w:eastAsia="ru-RU"/>
        </w:rPr>
        <w:t xml:space="preserve">республиканского </w:t>
      </w:r>
      <w:r w:rsidRPr="0009456A">
        <w:rPr>
          <w:rFonts w:ascii="Times New Roman" w:eastAsia="Times New Roman" w:hAnsi="Times New Roman" w:cs="Times New Roman"/>
          <w:sz w:val="28"/>
          <w:szCs w:val="28"/>
          <w:lang w:eastAsia="ru-RU"/>
        </w:rPr>
        <w:t>бюджета Р</w:t>
      </w:r>
      <w:r>
        <w:rPr>
          <w:rFonts w:ascii="Times New Roman" w:eastAsia="Times New Roman" w:hAnsi="Times New Roman" w:cs="Times New Roman"/>
          <w:sz w:val="28"/>
          <w:szCs w:val="28"/>
          <w:lang w:eastAsia="ru-RU"/>
        </w:rPr>
        <w:t xml:space="preserve">еспублики </w:t>
      </w:r>
      <w:r w:rsidRPr="0009456A">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09456A">
        <w:rPr>
          <w:rFonts w:ascii="Times New Roman" w:eastAsia="Times New Roman" w:hAnsi="Times New Roman" w:cs="Times New Roman"/>
          <w:sz w:val="28"/>
          <w:szCs w:val="28"/>
          <w:lang w:eastAsia="ru-RU"/>
        </w:rPr>
        <w:t xml:space="preserve"> за 20</w:t>
      </w:r>
      <w:r>
        <w:rPr>
          <w:rFonts w:ascii="Times New Roman" w:eastAsia="Times New Roman" w:hAnsi="Times New Roman" w:cs="Times New Roman"/>
          <w:sz w:val="28"/>
          <w:szCs w:val="28"/>
          <w:lang w:eastAsia="ru-RU"/>
        </w:rPr>
        <w:t>21</w:t>
      </w:r>
      <w:r w:rsidRPr="0009456A">
        <w:rPr>
          <w:rFonts w:ascii="Times New Roman" w:eastAsia="Times New Roman" w:hAnsi="Times New Roman" w:cs="Times New Roman"/>
          <w:sz w:val="28"/>
          <w:szCs w:val="28"/>
          <w:lang w:eastAsia="ru-RU"/>
        </w:rPr>
        <w:t xml:space="preserve"> год, в том числе </w:t>
      </w:r>
      <w:r w:rsidRPr="0009456A">
        <w:rPr>
          <w:rFonts w:ascii="Times New Roman" w:hAnsi="Times New Roman" w:cs="Times New Roman"/>
          <w:sz w:val="28"/>
          <w:szCs w:val="28"/>
        </w:rPr>
        <w:t xml:space="preserve">сведения </w:t>
      </w:r>
      <w:r w:rsidRPr="0009456A">
        <w:rPr>
          <w:rFonts w:ascii="Times New Roman" w:eastAsia="Times New Roman" w:hAnsi="Times New Roman" w:cs="Times New Roman"/>
          <w:sz w:val="28"/>
          <w:szCs w:val="28"/>
          <w:lang w:eastAsia="ru-RU"/>
        </w:rPr>
        <w:t xml:space="preserve">о реализации государственных программ Республики Дагестан. </w:t>
      </w:r>
    </w:p>
    <w:p w14:paraId="5BF95B5D" w14:textId="77777777" w:rsidR="000A4EA5" w:rsidRPr="0009456A" w:rsidRDefault="000A4EA5" w:rsidP="000A4EA5">
      <w:pPr>
        <w:widowControl w:val="0"/>
        <w:spacing w:after="0" w:line="360" w:lineRule="exact"/>
        <w:ind w:firstLine="709"/>
        <w:jc w:val="both"/>
        <w:rPr>
          <w:rFonts w:ascii="Times New Roman" w:eastAsia="Times New Roman" w:hAnsi="Times New Roman" w:cs="Times New Roman"/>
          <w:sz w:val="28"/>
          <w:szCs w:val="28"/>
          <w:lang w:eastAsia="ru-RU"/>
        </w:rPr>
      </w:pPr>
      <w:r w:rsidRPr="0009456A">
        <w:rPr>
          <w:rFonts w:ascii="Times New Roman" w:eastAsia="Times New Roman" w:hAnsi="Times New Roman" w:cs="Times New Roman"/>
          <w:sz w:val="28"/>
          <w:szCs w:val="28"/>
          <w:lang w:eastAsia="ru-RU"/>
        </w:rPr>
        <w:t xml:space="preserve">Целью проведения внешней проверки являлась оценка полноты и достоверности показателей </w:t>
      </w:r>
      <w:r>
        <w:rPr>
          <w:rFonts w:ascii="Times New Roman" w:eastAsia="Times New Roman" w:hAnsi="Times New Roman" w:cs="Times New Roman"/>
          <w:sz w:val="28"/>
          <w:szCs w:val="28"/>
          <w:lang w:eastAsia="ru-RU"/>
        </w:rPr>
        <w:t>годового о</w:t>
      </w:r>
      <w:r w:rsidRPr="0009456A">
        <w:rPr>
          <w:rFonts w:ascii="Times New Roman" w:eastAsia="Times New Roman" w:hAnsi="Times New Roman" w:cs="Times New Roman"/>
          <w:sz w:val="28"/>
          <w:szCs w:val="28"/>
          <w:lang w:eastAsia="ru-RU"/>
        </w:rPr>
        <w:t xml:space="preserve">тчета об исполнении </w:t>
      </w:r>
      <w:r>
        <w:rPr>
          <w:rFonts w:ascii="Times New Roman" w:eastAsia="Times New Roman" w:hAnsi="Times New Roman" w:cs="Times New Roman"/>
          <w:sz w:val="28"/>
          <w:szCs w:val="28"/>
          <w:lang w:eastAsia="ru-RU"/>
        </w:rPr>
        <w:t xml:space="preserve">республиканского </w:t>
      </w:r>
      <w:r w:rsidRPr="0009456A">
        <w:rPr>
          <w:rFonts w:ascii="Times New Roman" w:eastAsia="Times New Roman" w:hAnsi="Times New Roman" w:cs="Times New Roman"/>
          <w:sz w:val="28"/>
          <w:szCs w:val="28"/>
          <w:lang w:eastAsia="ru-RU"/>
        </w:rPr>
        <w:t>бюджета Р</w:t>
      </w:r>
      <w:r>
        <w:rPr>
          <w:rFonts w:ascii="Times New Roman" w:eastAsia="Times New Roman" w:hAnsi="Times New Roman" w:cs="Times New Roman"/>
          <w:sz w:val="28"/>
          <w:szCs w:val="28"/>
          <w:lang w:eastAsia="ru-RU"/>
        </w:rPr>
        <w:t xml:space="preserve">еспублики </w:t>
      </w:r>
      <w:r w:rsidRPr="0009456A">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09456A">
        <w:rPr>
          <w:rFonts w:ascii="Times New Roman" w:eastAsia="Times New Roman" w:hAnsi="Times New Roman" w:cs="Times New Roman"/>
          <w:sz w:val="28"/>
          <w:szCs w:val="28"/>
          <w:lang w:eastAsia="ru-RU"/>
        </w:rPr>
        <w:t xml:space="preserve"> за 20</w:t>
      </w:r>
      <w:r>
        <w:rPr>
          <w:rFonts w:ascii="Times New Roman" w:eastAsia="Times New Roman" w:hAnsi="Times New Roman" w:cs="Times New Roman"/>
          <w:sz w:val="28"/>
          <w:szCs w:val="28"/>
          <w:lang w:eastAsia="ru-RU"/>
        </w:rPr>
        <w:t>21</w:t>
      </w:r>
      <w:r w:rsidRPr="0009456A">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 xml:space="preserve">, а также </w:t>
      </w:r>
      <w:r w:rsidRPr="0009456A">
        <w:rPr>
          <w:rFonts w:ascii="Times New Roman" w:eastAsia="Times New Roman" w:hAnsi="Times New Roman" w:cs="Times New Roman"/>
          <w:sz w:val="28"/>
          <w:szCs w:val="28"/>
          <w:lang w:eastAsia="ru-RU"/>
        </w:rPr>
        <w:t xml:space="preserve">его соответствия положениям бюджетного законодательства и порядку ведения бюджетного учета. </w:t>
      </w:r>
    </w:p>
    <w:p w14:paraId="0832F03B" w14:textId="4A3911A6" w:rsidR="000A4EA5" w:rsidRPr="0009456A" w:rsidRDefault="000A4EA5" w:rsidP="000A4EA5">
      <w:pPr>
        <w:widowControl w:val="0"/>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r w:rsidRPr="0065299C">
        <w:rPr>
          <w:rFonts w:ascii="Times New Roman" w:eastAsia="Times New Roman" w:hAnsi="Times New Roman" w:cs="Times New Roman"/>
          <w:b/>
          <w:color w:val="002060"/>
          <w:sz w:val="28"/>
          <w:szCs w:val="28"/>
          <w:lang w:eastAsia="ru-RU"/>
        </w:rPr>
        <w:t>1.</w:t>
      </w:r>
      <w:r>
        <w:rPr>
          <w:rFonts w:ascii="Times New Roman" w:eastAsia="Times New Roman" w:hAnsi="Times New Roman" w:cs="Times New Roman"/>
          <w:b/>
          <w:color w:val="002060"/>
          <w:sz w:val="28"/>
          <w:szCs w:val="28"/>
          <w:lang w:eastAsia="ru-RU"/>
        </w:rPr>
        <w:t>5</w:t>
      </w:r>
      <w:r w:rsidRPr="0065299C">
        <w:rPr>
          <w:rFonts w:ascii="Times New Roman" w:eastAsia="Times New Roman" w:hAnsi="Times New Roman" w:cs="Times New Roman"/>
          <w:b/>
          <w:color w:val="002060"/>
          <w:sz w:val="28"/>
          <w:szCs w:val="28"/>
          <w:lang w:eastAsia="ru-RU"/>
        </w:rPr>
        <w:t>.</w:t>
      </w:r>
      <w:r w:rsidRPr="0065299C">
        <w:rPr>
          <w:rFonts w:ascii="Times New Roman" w:eastAsia="Times New Roman" w:hAnsi="Times New Roman" w:cs="Times New Roman"/>
          <w:color w:val="002060"/>
          <w:sz w:val="28"/>
          <w:szCs w:val="28"/>
          <w:lang w:eastAsia="ru-RU"/>
        </w:rPr>
        <w:t xml:space="preserve"> </w:t>
      </w:r>
      <w:r w:rsidRPr="0009456A">
        <w:rPr>
          <w:rFonts w:ascii="Times New Roman" w:eastAsia="Times New Roman" w:hAnsi="Times New Roman" w:cs="Times New Roman"/>
          <w:sz w:val="28"/>
          <w:szCs w:val="28"/>
          <w:lang w:eastAsia="ru-RU"/>
        </w:rPr>
        <w:t xml:space="preserve">Заключение рассмотрено и утверждено Коллегией Счетной палаты Республики Дагестан </w:t>
      </w:r>
      <w:r w:rsidRPr="004B1B73">
        <w:rPr>
          <w:rFonts w:ascii="Times New Roman" w:eastAsia="Times New Roman" w:hAnsi="Times New Roman" w:cs="Times New Roman"/>
          <w:sz w:val="28"/>
          <w:szCs w:val="28"/>
          <w:lang w:eastAsia="ru-RU"/>
        </w:rPr>
        <w:t>(</w:t>
      </w:r>
      <w:r w:rsidRPr="00647EDA">
        <w:rPr>
          <w:rFonts w:ascii="Times New Roman" w:eastAsia="Times New Roman" w:hAnsi="Times New Roman" w:cs="Times New Roman"/>
          <w:sz w:val="28"/>
          <w:szCs w:val="28"/>
          <w:lang w:eastAsia="ru-RU"/>
        </w:rPr>
        <w:t xml:space="preserve">постановление от </w:t>
      </w:r>
      <w:r w:rsidR="00003C60">
        <w:rPr>
          <w:rFonts w:ascii="Times New Roman" w:eastAsia="Times New Roman" w:hAnsi="Times New Roman" w:cs="Times New Roman"/>
          <w:sz w:val="28"/>
          <w:szCs w:val="28"/>
          <w:lang w:eastAsia="ru-RU"/>
        </w:rPr>
        <w:t>31</w:t>
      </w:r>
      <w:r w:rsidRPr="00647EDA">
        <w:rPr>
          <w:rFonts w:ascii="Times New Roman" w:eastAsia="Times New Roman" w:hAnsi="Times New Roman" w:cs="Times New Roman"/>
          <w:sz w:val="28"/>
          <w:szCs w:val="28"/>
          <w:lang w:eastAsia="ru-RU"/>
        </w:rPr>
        <w:t>мая 202</w:t>
      </w:r>
      <w:r>
        <w:rPr>
          <w:rFonts w:ascii="Times New Roman" w:eastAsia="Times New Roman" w:hAnsi="Times New Roman" w:cs="Times New Roman"/>
          <w:sz w:val="28"/>
          <w:szCs w:val="28"/>
          <w:lang w:eastAsia="ru-RU"/>
        </w:rPr>
        <w:t>2</w:t>
      </w:r>
      <w:r w:rsidRPr="00647E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r w:rsidRPr="00647EDA">
        <w:rPr>
          <w:rFonts w:ascii="Times New Roman" w:eastAsia="Times New Roman" w:hAnsi="Times New Roman" w:cs="Times New Roman"/>
          <w:sz w:val="28"/>
          <w:szCs w:val="28"/>
          <w:lang w:eastAsia="ru-RU"/>
        </w:rPr>
        <w:t xml:space="preserve"> № </w:t>
      </w:r>
      <w:r w:rsidR="00003C60">
        <w:rPr>
          <w:rFonts w:ascii="Times New Roman" w:eastAsia="Times New Roman" w:hAnsi="Times New Roman" w:cs="Times New Roman"/>
          <w:sz w:val="28"/>
          <w:szCs w:val="28"/>
          <w:lang w:eastAsia="ru-RU"/>
        </w:rPr>
        <w:t>20</w:t>
      </w:r>
      <w:r w:rsidRPr="004B1B73">
        <w:rPr>
          <w:rFonts w:ascii="Times New Roman" w:eastAsia="Times New Roman" w:hAnsi="Times New Roman" w:cs="Times New Roman"/>
          <w:sz w:val="28"/>
          <w:szCs w:val="28"/>
          <w:lang w:eastAsia="ru-RU"/>
        </w:rPr>
        <w:t>).</w:t>
      </w:r>
    </w:p>
    <w:p w14:paraId="2536BB10" w14:textId="0BCFB7C6" w:rsidR="000A4EA5" w:rsidRDefault="000A4EA5"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AC9D0D1" w14:textId="6B5CAA01"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CF2DE86" w14:textId="6C4FA5C0"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696A63E" w14:textId="1C747D28"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BF218D6" w14:textId="51AF9126"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7603C9D" w14:textId="22023CC3"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AE1C3A1" w14:textId="521AD992"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6B1986F6" w14:textId="4D5B6BCD"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743689F" w14:textId="00116ABE"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738995F" w14:textId="11609AA5"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421977D8" w14:textId="66177361"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2CB24F3E" w14:textId="4F96D2CB"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68218458" w14:textId="68DF1290"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0D7FC0C" w14:textId="08ED3B1E"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1001B0D0" w14:textId="2BE8D6E8"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1E8956BA" w14:textId="15D0EC3F"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B03FC17" w14:textId="32EAB19C"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0AC6A70" w14:textId="217C3071"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45B2C4E" w14:textId="28BF6A3A"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25B0E42" w14:textId="0A3ED5FE"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27A426D9" w14:textId="5F7327CD"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5FCABC90" w14:textId="7FB0B906"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9B71DC8" w14:textId="40FE4C36"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6BE8330" w14:textId="05BBC4E6"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F7D53CB" w14:textId="56045AFA"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0023068F" w14:textId="5ABF5857"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79ACEAE1" w14:textId="79BBA9D4"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2F6F2007" w14:textId="552C89AE"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28AAA996" w14:textId="36389D02"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34EC3470" w14:textId="64A476F1"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1473D59E" w14:textId="3AD6CE9D" w:rsidR="003C79D1" w:rsidRDefault="003C79D1" w:rsidP="000A4EA5">
      <w:pPr>
        <w:widowControl w:val="0"/>
        <w:autoSpaceDE w:val="0"/>
        <w:autoSpaceDN w:val="0"/>
        <w:adjustRightInd w:val="0"/>
        <w:spacing w:after="0" w:line="240" w:lineRule="auto"/>
        <w:ind w:firstLine="709"/>
        <w:jc w:val="both"/>
        <w:rPr>
          <w:rFonts w:ascii="Times New Roman" w:eastAsia="Times New Roman" w:hAnsi="Times New Roman" w:cs="Times New Roman"/>
          <w:bCs/>
          <w:color w:val="002060"/>
          <w:sz w:val="28"/>
          <w:szCs w:val="28"/>
          <w:lang w:eastAsia="ru-RU"/>
        </w:rPr>
      </w:pPr>
    </w:p>
    <w:p w14:paraId="612616FD" w14:textId="77777777" w:rsidR="006762BB" w:rsidRPr="001B1303" w:rsidRDefault="006762BB" w:rsidP="006762BB">
      <w:pPr>
        <w:widowControl w:val="0"/>
        <w:spacing w:after="0" w:line="240" w:lineRule="auto"/>
        <w:jc w:val="center"/>
        <w:rPr>
          <w:rFonts w:ascii="Times New Roman" w:hAnsi="Times New Roman"/>
          <w:b/>
          <w:color w:val="002060"/>
          <w:sz w:val="28"/>
          <w:szCs w:val="28"/>
          <w:lang w:eastAsia="ru-RU"/>
        </w:rPr>
      </w:pPr>
      <w:r w:rsidRPr="001B1303">
        <w:rPr>
          <w:rFonts w:ascii="Times New Roman" w:hAnsi="Times New Roman"/>
          <w:b/>
          <w:color w:val="002060"/>
          <w:sz w:val="28"/>
          <w:szCs w:val="28"/>
          <w:lang w:val="en-US" w:eastAsia="ru-RU"/>
        </w:rPr>
        <w:lastRenderedPageBreak/>
        <w:t>II</w:t>
      </w:r>
      <w:r w:rsidRPr="001B1303">
        <w:rPr>
          <w:rFonts w:ascii="Times New Roman" w:hAnsi="Times New Roman"/>
          <w:b/>
          <w:color w:val="002060"/>
          <w:sz w:val="28"/>
          <w:szCs w:val="28"/>
          <w:lang w:eastAsia="ru-RU"/>
        </w:rPr>
        <w:t xml:space="preserve">. Макроэкономические условия </w:t>
      </w:r>
    </w:p>
    <w:p w14:paraId="548F35F9" w14:textId="61781BDC" w:rsidR="006762BB" w:rsidRDefault="006762BB" w:rsidP="006762BB">
      <w:pPr>
        <w:widowControl w:val="0"/>
        <w:spacing w:after="0" w:line="240" w:lineRule="auto"/>
        <w:jc w:val="center"/>
        <w:rPr>
          <w:rFonts w:ascii="Times New Roman" w:hAnsi="Times New Roman"/>
          <w:b/>
          <w:color w:val="002060"/>
          <w:sz w:val="28"/>
          <w:szCs w:val="28"/>
          <w:lang w:eastAsia="ru-RU"/>
        </w:rPr>
      </w:pPr>
      <w:r w:rsidRPr="001B1303">
        <w:rPr>
          <w:rFonts w:ascii="Times New Roman" w:hAnsi="Times New Roman"/>
          <w:b/>
          <w:color w:val="002060"/>
          <w:sz w:val="28"/>
          <w:szCs w:val="28"/>
          <w:lang w:eastAsia="ru-RU"/>
        </w:rPr>
        <w:t>исполнения республиканского бюджета Р</w:t>
      </w:r>
      <w:r w:rsidR="00D03B7A">
        <w:rPr>
          <w:rFonts w:ascii="Times New Roman" w:hAnsi="Times New Roman"/>
          <w:b/>
          <w:color w:val="002060"/>
          <w:sz w:val="28"/>
          <w:szCs w:val="28"/>
          <w:lang w:eastAsia="ru-RU"/>
        </w:rPr>
        <w:t xml:space="preserve">еспублики </w:t>
      </w:r>
      <w:r w:rsidRPr="001B1303">
        <w:rPr>
          <w:rFonts w:ascii="Times New Roman" w:hAnsi="Times New Roman"/>
          <w:b/>
          <w:color w:val="002060"/>
          <w:sz w:val="28"/>
          <w:szCs w:val="28"/>
          <w:lang w:eastAsia="ru-RU"/>
        </w:rPr>
        <w:t>Д</w:t>
      </w:r>
      <w:r w:rsidR="00D03B7A">
        <w:rPr>
          <w:rFonts w:ascii="Times New Roman" w:hAnsi="Times New Roman"/>
          <w:b/>
          <w:color w:val="002060"/>
          <w:sz w:val="28"/>
          <w:szCs w:val="28"/>
          <w:lang w:eastAsia="ru-RU"/>
        </w:rPr>
        <w:t>агестан</w:t>
      </w:r>
      <w:r w:rsidR="00D03B7A">
        <w:rPr>
          <w:rFonts w:ascii="Times New Roman" w:hAnsi="Times New Roman"/>
          <w:b/>
          <w:color w:val="002060"/>
          <w:sz w:val="28"/>
          <w:szCs w:val="28"/>
          <w:lang w:eastAsia="ru-RU"/>
        </w:rPr>
        <w:br/>
      </w:r>
      <w:r w:rsidRPr="001B1303">
        <w:rPr>
          <w:rFonts w:ascii="Times New Roman" w:hAnsi="Times New Roman"/>
          <w:b/>
          <w:color w:val="002060"/>
          <w:sz w:val="28"/>
          <w:szCs w:val="28"/>
          <w:lang w:eastAsia="ru-RU"/>
        </w:rPr>
        <w:t xml:space="preserve"> в 20</w:t>
      </w:r>
      <w:r>
        <w:rPr>
          <w:rFonts w:ascii="Times New Roman" w:hAnsi="Times New Roman"/>
          <w:b/>
          <w:color w:val="002060"/>
          <w:sz w:val="28"/>
          <w:szCs w:val="28"/>
          <w:lang w:eastAsia="ru-RU"/>
        </w:rPr>
        <w:t>21</w:t>
      </w:r>
      <w:r w:rsidRPr="001B1303">
        <w:rPr>
          <w:rFonts w:ascii="Times New Roman" w:hAnsi="Times New Roman"/>
          <w:b/>
          <w:color w:val="002060"/>
          <w:sz w:val="28"/>
          <w:szCs w:val="28"/>
          <w:lang w:eastAsia="ru-RU"/>
        </w:rPr>
        <w:t xml:space="preserve"> год</w:t>
      </w:r>
      <w:r>
        <w:rPr>
          <w:rFonts w:ascii="Times New Roman" w:hAnsi="Times New Roman"/>
          <w:b/>
          <w:color w:val="002060"/>
          <w:sz w:val="28"/>
          <w:szCs w:val="28"/>
          <w:lang w:eastAsia="ru-RU"/>
        </w:rPr>
        <w:t>у</w:t>
      </w:r>
      <w:r w:rsidRPr="001B1303">
        <w:rPr>
          <w:rFonts w:ascii="Times New Roman" w:hAnsi="Times New Roman"/>
          <w:b/>
          <w:color w:val="002060"/>
          <w:sz w:val="28"/>
          <w:szCs w:val="28"/>
          <w:lang w:eastAsia="ru-RU"/>
        </w:rPr>
        <w:t xml:space="preserve">, анализ показателей социально-экономического развития </w:t>
      </w:r>
      <w:r w:rsidR="00D03B7A" w:rsidRPr="001B1303">
        <w:rPr>
          <w:rFonts w:ascii="Times New Roman" w:hAnsi="Times New Roman"/>
          <w:b/>
          <w:color w:val="002060"/>
          <w:sz w:val="28"/>
          <w:szCs w:val="28"/>
          <w:lang w:eastAsia="ru-RU"/>
        </w:rPr>
        <w:t>Р</w:t>
      </w:r>
      <w:r w:rsidR="00D03B7A">
        <w:rPr>
          <w:rFonts w:ascii="Times New Roman" w:hAnsi="Times New Roman"/>
          <w:b/>
          <w:color w:val="002060"/>
          <w:sz w:val="28"/>
          <w:szCs w:val="28"/>
          <w:lang w:eastAsia="ru-RU"/>
        </w:rPr>
        <w:t xml:space="preserve">еспублики </w:t>
      </w:r>
      <w:r w:rsidR="00D03B7A" w:rsidRPr="001B1303">
        <w:rPr>
          <w:rFonts w:ascii="Times New Roman" w:hAnsi="Times New Roman"/>
          <w:b/>
          <w:color w:val="002060"/>
          <w:sz w:val="28"/>
          <w:szCs w:val="28"/>
          <w:lang w:eastAsia="ru-RU"/>
        </w:rPr>
        <w:t>Д</w:t>
      </w:r>
      <w:r w:rsidR="00D03B7A">
        <w:rPr>
          <w:rFonts w:ascii="Times New Roman" w:hAnsi="Times New Roman"/>
          <w:b/>
          <w:color w:val="002060"/>
          <w:sz w:val="28"/>
          <w:szCs w:val="28"/>
          <w:lang w:eastAsia="ru-RU"/>
        </w:rPr>
        <w:t>агестан</w:t>
      </w:r>
    </w:p>
    <w:p w14:paraId="151675F0" w14:textId="77777777" w:rsidR="006762BB" w:rsidRPr="001B1303" w:rsidRDefault="006762BB" w:rsidP="006762BB">
      <w:pPr>
        <w:widowControl w:val="0"/>
        <w:spacing w:after="0" w:line="240" w:lineRule="auto"/>
        <w:jc w:val="center"/>
        <w:rPr>
          <w:rFonts w:ascii="Times New Roman" w:hAnsi="Times New Roman"/>
          <w:sz w:val="28"/>
          <w:szCs w:val="28"/>
          <w:lang w:eastAsia="ru-RU"/>
        </w:rPr>
      </w:pPr>
    </w:p>
    <w:p w14:paraId="19B741EB" w14:textId="77777777" w:rsidR="006762BB" w:rsidRDefault="006762BB" w:rsidP="005237E7">
      <w:pPr>
        <w:widowControl w:val="0"/>
        <w:spacing w:after="0" w:line="288" w:lineRule="auto"/>
        <w:ind w:firstLine="709"/>
        <w:jc w:val="both"/>
        <w:rPr>
          <w:rFonts w:ascii="Times New Roman" w:hAnsi="Times New Roman"/>
          <w:bCs/>
          <w:sz w:val="28"/>
          <w:szCs w:val="28"/>
          <w:lang w:eastAsia="ru-RU"/>
        </w:rPr>
      </w:pPr>
      <w:r w:rsidRPr="00226D59">
        <w:rPr>
          <w:rFonts w:ascii="Times New Roman" w:hAnsi="Times New Roman"/>
          <w:b/>
          <w:bCs/>
          <w:color w:val="002060"/>
          <w:sz w:val="28"/>
          <w:szCs w:val="20"/>
          <w:lang w:eastAsia="ru-RU"/>
        </w:rPr>
        <w:t>2.1.</w:t>
      </w:r>
      <w:r w:rsidRPr="001B1303">
        <w:rPr>
          <w:rFonts w:ascii="Times New Roman" w:hAnsi="Times New Roman"/>
          <w:sz w:val="28"/>
          <w:szCs w:val="28"/>
          <w:lang w:eastAsia="ru-RU"/>
        </w:rPr>
        <w:t xml:space="preserve"> </w:t>
      </w:r>
      <w:r w:rsidRPr="001B1303">
        <w:rPr>
          <w:rFonts w:ascii="Times New Roman" w:hAnsi="Times New Roman"/>
          <w:bCs/>
          <w:sz w:val="28"/>
          <w:szCs w:val="28"/>
          <w:lang w:eastAsia="ru-RU"/>
        </w:rPr>
        <w:t xml:space="preserve">При </w:t>
      </w:r>
      <w:r>
        <w:rPr>
          <w:rFonts w:ascii="Times New Roman" w:hAnsi="Times New Roman"/>
          <w:bCs/>
          <w:sz w:val="28"/>
          <w:szCs w:val="28"/>
          <w:lang w:eastAsia="ru-RU"/>
        </w:rPr>
        <w:t xml:space="preserve">формировании </w:t>
      </w:r>
      <w:r w:rsidRPr="001B1303">
        <w:rPr>
          <w:rFonts w:ascii="Times New Roman" w:hAnsi="Times New Roman"/>
          <w:bCs/>
          <w:sz w:val="28"/>
          <w:szCs w:val="28"/>
          <w:lang w:eastAsia="ru-RU"/>
        </w:rPr>
        <w:t>республиканского бюджета Р</w:t>
      </w:r>
      <w:r>
        <w:rPr>
          <w:rFonts w:ascii="Times New Roman" w:hAnsi="Times New Roman"/>
          <w:bCs/>
          <w:sz w:val="28"/>
          <w:szCs w:val="28"/>
          <w:lang w:eastAsia="ru-RU"/>
        </w:rPr>
        <w:t xml:space="preserve">еспублики </w:t>
      </w:r>
      <w:r w:rsidRPr="001B1303">
        <w:rPr>
          <w:rFonts w:ascii="Times New Roman" w:hAnsi="Times New Roman"/>
          <w:bCs/>
          <w:sz w:val="28"/>
          <w:szCs w:val="28"/>
          <w:lang w:eastAsia="ru-RU"/>
        </w:rPr>
        <w:t>Д</w:t>
      </w:r>
      <w:r>
        <w:rPr>
          <w:rFonts w:ascii="Times New Roman" w:hAnsi="Times New Roman"/>
          <w:bCs/>
          <w:sz w:val="28"/>
          <w:szCs w:val="28"/>
          <w:lang w:eastAsia="ru-RU"/>
        </w:rPr>
        <w:t>агестан</w:t>
      </w:r>
      <w:r w:rsidRPr="001B1303">
        <w:rPr>
          <w:rFonts w:ascii="Times New Roman" w:hAnsi="Times New Roman"/>
          <w:bCs/>
          <w:sz w:val="28"/>
          <w:szCs w:val="28"/>
          <w:lang w:eastAsia="ru-RU"/>
        </w:rPr>
        <w:t xml:space="preserve"> на 20</w:t>
      </w:r>
      <w:r>
        <w:rPr>
          <w:rFonts w:ascii="Times New Roman" w:hAnsi="Times New Roman"/>
          <w:bCs/>
          <w:sz w:val="28"/>
          <w:szCs w:val="28"/>
          <w:lang w:eastAsia="ru-RU"/>
        </w:rPr>
        <w:t>21</w:t>
      </w:r>
      <w:r w:rsidRPr="001B1303">
        <w:rPr>
          <w:rFonts w:ascii="Times New Roman" w:hAnsi="Times New Roman"/>
          <w:bCs/>
          <w:sz w:val="28"/>
          <w:szCs w:val="28"/>
          <w:lang w:eastAsia="ru-RU"/>
        </w:rPr>
        <w:t xml:space="preserve"> год</w:t>
      </w:r>
      <w:r w:rsidRPr="003142A0">
        <w:rPr>
          <w:rFonts w:ascii="Times New Roman" w:hAnsi="Times New Roman"/>
          <w:bCs/>
          <w:sz w:val="28"/>
          <w:szCs w:val="28"/>
          <w:lang w:eastAsia="ru-RU"/>
        </w:rPr>
        <w:t xml:space="preserve"> </w:t>
      </w:r>
      <w:r>
        <w:rPr>
          <w:rFonts w:ascii="Times New Roman" w:hAnsi="Times New Roman"/>
          <w:bCs/>
          <w:sz w:val="28"/>
          <w:szCs w:val="28"/>
          <w:lang w:eastAsia="ru-RU"/>
        </w:rPr>
        <w:t xml:space="preserve">и рассмотрении проекта закона Республики Дагестан </w:t>
      </w:r>
      <w:r>
        <w:rPr>
          <w:rFonts w:ascii="Times New Roman" w:hAnsi="Times New Roman"/>
          <w:bCs/>
          <w:sz w:val="28"/>
          <w:szCs w:val="28"/>
          <w:lang w:eastAsia="ru-RU"/>
        </w:rPr>
        <w:br/>
        <w:t>«О республиканском бюджете Республики Дагестан на 2021 год и на плановый период 2022 и 2023 годов» в Народном Собрании Республики Дагестан в первом чтении</w:t>
      </w:r>
      <w:r w:rsidRPr="001B1303">
        <w:rPr>
          <w:rFonts w:ascii="Times New Roman" w:hAnsi="Times New Roman"/>
          <w:bCs/>
          <w:sz w:val="28"/>
          <w:szCs w:val="28"/>
          <w:lang w:eastAsia="ru-RU"/>
        </w:rPr>
        <w:t xml:space="preserve">, в качестве исходных данных </w:t>
      </w:r>
      <w:r w:rsidRPr="001B1303">
        <w:rPr>
          <w:rFonts w:ascii="Times New Roman" w:hAnsi="Times New Roman"/>
          <w:sz w:val="28"/>
          <w:szCs w:val="28"/>
          <w:lang w:eastAsia="ru-RU"/>
        </w:rPr>
        <w:t xml:space="preserve">за основу принят </w:t>
      </w:r>
      <w:r>
        <w:rPr>
          <w:rFonts w:ascii="Times New Roman" w:hAnsi="Times New Roman"/>
          <w:sz w:val="28"/>
          <w:szCs w:val="28"/>
          <w:lang w:eastAsia="ru-RU"/>
        </w:rPr>
        <w:t>базов</w:t>
      </w:r>
      <w:r w:rsidRPr="00482172">
        <w:rPr>
          <w:rFonts w:ascii="Times New Roman" w:hAnsi="Times New Roman"/>
          <w:sz w:val="28"/>
          <w:szCs w:val="28"/>
          <w:lang w:eastAsia="ru-RU"/>
        </w:rPr>
        <w:t>ый</w:t>
      </w:r>
      <w:r w:rsidRPr="00DA54AF">
        <w:rPr>
          <w:rFonts w:ascii="Times New Roman" w:hAnsi="Times New Roman"/>
          <w:sz w:val="28"/>
          <w:szCs w:val="28"/>
          <w:lang w:eastAsia="ru-RU"/>
        </w:rPr>
        <w:t xml:space="preserve"> </w:t>
      </w:r>
      <w:r w:rsidRPr="001B1303">
        <w:rPr>
          <w:rFonts w:ascii="Times New Roman" w:hAnsi="Times New Roman"/>
          <w:sz w:val="28"/>
          <w:szCs w:val="28"/>
          <w:lang w:eastAsia="ru-RU"/>
        </w:rPr>
        <w:t xml:space="preserve">сценарий </w:t>
      </w:r>
      <w:r w:rsidRPr="001B1303">
        <w:rPr>
          <w:rFonts w:ascii="Times New Roman" w:hAnsi="Times New Roman"/>
          <w:bCs/>
          <w:sz w:val="28"/>
          <w:szCs w:val="28"/>
          <w:lang w:eastAsia="ru-RU"/>
        </w:rPr>
        <w:t>социально-экономического развития республики, которым прогнозировались следующие темпы роста основных показателей</w:t>
      </w:r>
      <w:r>
        <w:rPr>
          <w:rFonts w:ascii="Times New Roman" w:hAnsi="Times New Roman"/>
          <w:bCs/>
          <w:sz w:val="28"/>
          <w:szCs w:val="28"/>
          <w:lang w:eastAsia="ru-RU"/>
        </w:rPr>
        <w:t xml:space="preserve"> (</w:t>
      </w:r>
      <w:r w:rsidRPr="00780F69">
        <w:rPr>
          <w:rFonts w:ascii="Times New Roman" w:hAnsi="Times New Roman"/>
          <w:bCs/>
          <w:iCs/>
          <w:sz w:val="28"/>
          <w:szCs w:val="28"/>
          <w:lang w:eastAsia="ru-RU"/>
        </w:rPr>
        <w:t>к уровню оценки за 20</w:t>
      </w:r>
      <w:r>
        <w:rPr>
          <w:rFonts w:ascii="Times New Roman" w:hAnsi="Times New Roman"/>
          <w:bCs/>
          <w:iCs/>
          <w:sz w:val="28"/>
          <w:szCs w:val="28"/>
          <w:lang w:eastAsia="ru-RU"/>
        </w:rPr>
        <w:t>20</w:t>
      </w:r>
      <w:r w:rsidRPr="00780F69">
        <w:rPr>
          <w:rFonts w:ascii="Times New Roman" w:hAnsi="Times New Roman"/>
          <w:bCs/>
          <w:iCs/>
          <w:sz w:val="28"/>
          <w:szCs w:val="28"/>
          <w:lang w:eastAsia="ru-RU"/>
        </w:rPr>
        <w:t xml:space="preserve"> год)</w:t>
      </w:r>
      <w:r w:rsidRPr="001B1303">
        <w:rPr>
          <w:rFonts w:ascii="Times New Roman" w:hAnsi="Times New Roman"/>
          <w:bCs/>
          <w:sz w:val="28"/>
          <w:szCs w:val="28"/>
          <w:lang w:eastAsia="ru-RU"/>
        </w:rPr>
        <w:t>:</w:t>
      </w:r>
    </w:p>
    <w:p w14:paraId="2668A406"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ВРП – 102,4 %;</w:t>
      </w:r>
    </w:p>
    <w:p w14:paraId="176930E1"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индекс потребительских цен – 104,1 %;</w:t>
      </w:r>
    </w:p>
    <w:p w14:paraId="3984F225"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объема промышленного производства – 105,6 %;</w:t>
      </w:r>
    </w:p>
    <w:p w14:paraId="3C4A3714"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объема сельскохозяйственной продукции – 102,4 %;</w:t>
      </w:r>
    </w:p>
    <w:p w14:paraId="062FD89B"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инвестиций в основной капитал – 103,1 %;</w:t>
      </w:r>
    </w:p>
    <w:p w14:paraId="749559B8"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объем работ, выполненных по виду деятельности «строительство» – 101,5 %;</w:t>
      </w:r>
    </w:p>
    <w:p w14:paraId="209FD684"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оборота розничной торговли – 101,5 %;</w:t>
      </w:r>
    </w:p>
    <w:p w14:paraId="2EF5445F"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объема платных услуг населению – 102,8 %;</w:t>
      </w:r>
    </w:p>
    <w:p w14:paraId="124CAFC1"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фонда заработной платы – 110,3 %;</w:t>
      </w:r>
    </w:p>
    <w:p w14:paraId="22FF3E48"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среднемесячной начисленной заработной платы – 107,9 %;</w:t>
      </w:r>
    </w:p>
    <w:p w14:paraId="3505085A"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sidRPr="0003588B">
        <w:rPr>
          <w:rFonts w:ascii="Times New Roman" w:hAnsi="Times New Roman"/>
          <w:bCs/>
          <w:sz w:val="28"/>
          <w:szCs w:val="28"/>
          <w:lang w:eastAsia="ru-RU"/>
        </w:rPr>
        <w:t>- реальных располагаемых доходов населения – 104,1 %.</w:t>
      </w:r>
    </w:p>
    <w:p w14:paraId="1D1E4761" w14:textId="77777777" w:rsidR="006762BB" w:rsidRPr="0003588B" w:rsidRDefault="006762BB" w:rsidP="005237E7">
      <w:pPr>
        <w:widowControl w:val="0"/>
        <w:spacing w:after="0" w:line="288" w:lineRule="auto"/>
        <w:ind w:firstLine="709"/>
        <w:jc w:val="both"/>
        <w:rPr>
          <w:rFonts w:ascii="Times New Roman" w:hAnsi="Times New Roman"/>
          <w:bCs/>
          <w:sz w:val="28"/>
          <w:szCs w:val="28"/>
          <w:lang w:eastAsia="ru-RU"/>
        </w:rPr>
      </w:pPr>
      <w:r>
        <w:rPr>
          <w:rFonts w:ascii="Times New Roman" w:hAnsi="Times New Roman"/>
          <w:bCs/>
          <w:sz w:val="28"/>
          <w:szCs w:val="28"/>
          <w:lang w:eastAsia="ru-RU"/>
        </w:rPr>
        <w:t>Также</w:t>
      </w:r>
      <w:r w:rsidRPr="0003588B">
        <w:rPr>
          <w:rFonts w:ascii="Times New Roman" w:hAnsi="Times New Roman"/>
          <w:bCs/>
          <w:sz w:val="28"/>
          <w:szCs w:val="28"/>
          <w:lang w:eastAsia="ru-RU"/>
        </w:rPr>
        <w:t xml:space="preserve"> прогнозировалось увеличение прожиточного минимума на душу населения (с 10 362,6 рублей по оценке до 10 731,6 рублей в месяц), численности, занятых в экономике (с 1 178,6 тыс. человек до 1 195,6 тыс. человек), а также уменьшение уровня безработицы (с 14,5 % по оценке до 13,9 %) и уменьшение уровня численности населения с денежными доходами ниже величины прожиточного минимума (с 15,1 % до 13,6 %). </w:t>
      </w:r>
    </w:p>
    <w:p w14:paraId="2DA5102F" w14:textId="77777777" w:rsidR="006762BB" w:rsidRPr="00C74186" w:rsidRDefault="006762BB" w:rsidP="005237E7">
      <w:pPr>
        <w:widowControl w:val="0"/>
        <w:spacing w:after="0" w:line="288" w:lineRule="auto"/>
        <w:ind w:firstLine="709"/>
        <w:jc w:val="both"/>
        <w:rPr>
          <w:rFonts w:ascii="Times New Roman" w:hAnsi="Times New Roman"/>
          <w:sz w:val="28"/>
          <w:szCs w:val="28"/>
          <w:lang w:eastAsia="ru-RU"/>
        </w:rPr>
      </w:pPr>
      <w:r w:rsidRPr="00226D59">
        <w:rPr>
          <w:rFonts w:ascii="Times New Roman" w:hAnsi="Times New Roman"/>
          <w:b/>
          <w:bCs/>
          <w:color w:val="002060"/>
          <w:sz w:val="28"/>
          <w:szCs w:val="20"/>
          <w:lang w:eastAsia="ru-RU"/>
        </w:rPr>
        <w:t>2.2.</w:t>
      </w:r>
      <w:r w:rsidRPr="00C74186">
        <w:rPr>
          <w:rFonts w:ascii="Times New Roman" w:hAnsi="Times New Roman"/>
          <w:sz w:val="28"/>
          <w:szCs w:val="28"/>
          <w:lang w:eastAsia="ru-RU"/>
        </w:rPr>
        <w:t xml:space="preserve"> По отчету за 2021 год показатели основных макроэкономических показателей составили: </w:t>
      </w:r>
    </w:p>
    <w:p w14:paraId="306A9A8A" w14:textId="77777777" w:rsidR="006762BB" w:rsidRPr="009E61CD" w:rsidRDefault="006762BB" w:rsidP="005237E7">
      <w:pPr>
        <w:widowControl w:val="0"/>
        <w:spacing w:after="0" w:line="288" w:lineRule="auto"/>
        <w:ind w:firstLine="709"/>
        <w:jc w:val="both"/>
        <w:rPr>
          <w:rFonts w:ascii="Times New Roman" w:hAnsi="Times New Roman"/>
          <w:sz w:val="28"/>
          <w:szCs w:val="28"/>
          <w:lang w:eastAsia="ru-RU"/>
        </w:rPr>
      </w:pPr>
      <w:r w:rsidRPr="009E61CD">
        <w:rPr>
          <w:rFonts w:ascii="Times New Roman" w:hAnsi="Times New Roman"/>
          <w:sz w:val="28"/>
          <w:szCs w:val="28"/>
          <w:lang w:eastAsia="ru-RU"/>
        </w:rPr>
        <w:t>- ВРП (оценка) – 102 %, что на 2,7 процентных пункта больше, чем по отчету за 2020 год (99,3 %);</w:t>
      </w:r>
    </w:p>
    <w:p w14:paraId="04B77435" w14:textId="77777777" w:rsidR="006762BB" w:rsidRPr="009E61CD"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9E61CD">
        <w:rPr>
          <w:rFonts w:ascii="Times New Roman" w:hAnsi="Times New Roman"/>
          <w:sz w:val="28"/>
          <w:szCs w:val="28"/>
          <w:lang w:eastAsia="ru-RU"/>
        </w:rPr>
        <w:t xml:space="preserve">- промышленного производства – 105,2 %, </w:t>
      </w:r>
      <w:bookmarkStart w:id="0" w:name="_Hlk8137634"/>
      <w:r w:rsidRPr="009E61CD">
        <w:rPr>
          <w:rFonts w:ascii="Times New Roman" w:hAnsi="Times New Roman"/>
          <w:sz w:val="28"/>
          <w:szCs w:val="28"/>
          <w:lang w:eastAsia="ru-RU"/>
        </w:rPr>
        <w:t xml:space="preserve">что на 4,2 процентных пунктов меньше, чем </w:t>
      </w:r>
      <w:bookmarkStart w:id="1" w:name="_Hlk8123270"/>
      <w:r w:rsidRPr="009E61CD">
        <w:rPr>
          <w:rFonts w:ascii="Times New Roman" w:hAnsi="Times New Roman"/>
          <w:sz w:val="28"/>
          <w:szCs w:val="28"/>
          <w:lang w:eastAsia="ru-RU"/>
        </w:rPr>
        <w:t xml:space="preserve">по отчету за 2020 год </w:t>
      </w:r>
      <w:bookmarkEnd w:id="1"/>
      <w:r w:rsidRPr="009E61CD">
        <w:rPr>
          <w:rFonts w:ascii="Times New Roman" w:hAnsi="Times New Roman"/>
          <w:sz w:val="28"/>
          <w:szCs w:val="28"/>
          <w:lang w:eastAsia="ru-RU"/>
        </w:rPr>
        <w:t>(109,4 %);</w:t>
      </w:r>
    </w:p>
    <w:bookmarkEnd w:id="0"/>
    <w:p w14:paraId="0CF1C117" w14:textId="77777777" w:rsidR="006762BB" w:rsidRPr="009E61CD"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9E61CD">
        <w:rPr>
          <w:rFonts w:ascii="Times New Roman" w:hAnsi="Times New Roman"/>
          <w:sz w:val="28"/>
          <w:szCs w:val="28"/>
          <w:lang w:eastAsia="ru-RU"/>
        </w:rPr>
        <w:t xml:space="preserve">- продукции сельского хозяйства </w:t>
      </w:r>
      <w:bookmarkStart w:id="2" w:name="_Hlk8137889"/>
      <w:r w:rsidRPr="009E61CD">
        <w:rPr>
          <w:rFonts w:ascii="Times New Roman" w:hAnsi="Times New Roman"/>
          <w:sz w:val="28"/>
          <w:szCs w:val="28"/>
          <w:lang w:eastAsia="ru-RU"/>
        </w:rPr>
        <w:t xml:space="preserve">– 100,5 %, что на 0,8 процентных </w:t>
      </w:r>
      <w:r w:rsidRPr="009E61CD">
        <w:rPr>
          <w:rFonts w:ascii="Times New Roman" w:hAnsi="Times New Roman"/>
          <w:sz w:val="28"/>
          <w:szCs w:val="28"/>
          <w:lang w:eastAsia="ru-RU"/>
        </w:rPr>
        <w:lastRenderedPageBreak/>
        <w:t>пунктов меньше, чем по отчету за 2020 год (101,3 %);</w:t>
      </w:r>
    </w:p>
    <w:bookmarkEnd w:id="2"/>
    <w:p w14:paraId="31894CCC" w14:textId="77777777" w:rsidR="006762BB" w:rsidRPr="009E61CD"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9E61CD">
        <w:rPr>
          <w:rFonts w:ascii="Times New Roman" w:hAnsi="Times New Roman"/>
          <w:sz w:val="28"/>
          <w:szCs w:val="28"/>
          <w:lang w:eastAsia="ru-RU"/>
        </w:rPr>
        <w:t xml:space="preserve">- объем инвестиций в основной капитал – 88,6 %, что на 22,4 процентных пунктов меньше, чем по отчету за 2020 год (111 %); </w:t>
      </w:r>
    </w:p>
    <w:p w14:paraId="7B5405D9" w14:textId="77777777" w:rsidR="006762BB" w:rsidRPr="009E61CD"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9E61CD">
        <w:rPr>
          <w:rFonts w:ascii="Times New Roman" w:hAnsi="Times New Roman"/>
          <w:sz w:val="28"/>
          <w:szCs w:val="28"/>
          <w:lang w:eastAsia="ru-RU"/>
        </w:rPr>
        <w:t>- объема работ по виду деятельности «строительство» – 102,0 %, что на 2,4 процентных пункта больше, чем по отчету за 2020 год (99,9 %);</w:t>
      </w:r>
    </w:p>
    <w:p w14:paraId="61714A92" w14:textId="77777777" w:rsidR="006762BB" w:rsidRPr="002E2C6C"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2E2C6C">
        <w:rPr>
          <w:rFonts w:ascii="Times New Roman" w:hAnsi="Times New Roman"/>
          <w:sz w:val="28"/>
          <w:szCs w:val="28"/>
          <w:lang w:eastAsia="ru-RU"/>
        </w:rPr>
        <w:t>- оборота розничной торговли – 101 %, что на 6,6 процентных пунктов больше, чем по отчету за 2020 год (94,4 %);</w:t>
      </w:r>
    </w:p>
    <w:p w14:paraId="52469CE1" w14:textId="77777777" w:rsidR="006762BB" w:rsidRPr="002E2C6C"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2E2C6C">
        <w:rPr>
          <w:rFonts w:ascii="Times New Roman" w:hAnsi="Times New Roman"/>
          <w:sz w:val="28"/>
          <w:szCs w:val="28"/>
          <w:lang w:eastAsia="ru-RU"/>
        </w:rPr>
        <w:t>- объема платных услуг населению – 116,6 %, что на 27,4 процентных пункта больше, чем по отчету за 2020 год (89,2 %);</w:t>
      </w:r>
    </w:p>
    <w:p w14:paraId="79FD3568" w14:textId="77777777" w:rsidR="006762BB" w:rsidRPr="002E2C6C" w:rsidRDefault="006762BB" w:rsidP="005237E7">
      <w:pPr>
        <w:widowControl w:val="0"/>
        <w:tabs>
          <w:tab w:val="left" w:pos="1276"/>
        </w:tabs>
        <w:autoSpaceDE w:val="0"/>
        <w:autoSpaceDN w:val="0"/>
        <w:adjustRightInd w:val="0"/>
        <w:spacing w:after="0" w:line="288" w:lineRule="auto"/>
        <w:ind w:firstLine="709"/>
        <w:jc w:val="both"/>
        <w:rPr>
          <w:rFonts w:ascii="Times New Roman" w:hAnsi="Times New Roman"/>
          <w:sz w:val="28"/>
          <w:szCs w:val="28"/>
          <w:lang w:eastAsia="ru-RU"/>
        </w:rPr>
      </w:pPr>
      <w:r w:rsidRPr="002E2C6C">
        <w:rPr>
          <w:rFonts w:ascii="Times New Roman" w:hAnsi="Times New Roman"/>
          <w:sz w:val="28"/>
          <w:szCs w:val="20"/>
          <w:lang w:eastAsia="ru-RU"/>
        </w:rPr>
        <w:t>- размера среднемесячной номинально начисленной заработной платы на одного работника – 106,7 %, что на 10,1 процентных пунктов меньше, чем по отчету за 2020 год (116,8 %);</w:t>
      </w:r>
    </w:p>
    <w:p w14:paraId="01F6D68A" w14:textId="77777777" w:rsidR="006762BB" w:rsidRPr="002E2C6C"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2E2C6C">
        <w:rPr>
          <w:rFonts w:ascii="Times New Roman" w:hAnsi="Times New Roman"/>
          <w:sz w:val="28"/>
          <w:szCs w:val="28"/>
          <w:lang w:eastAsia="ru-RU"/>
        </w:rPr>
        <w:t>- реально располагаемых денежных доходов населения – 100 %, что на 2,8 процентных пункта больше, чем по отчету за 2020 год (97,2 %).</w:t>
      </w:r>
    </w:p>
    <w:p w14:paraId="75911411" w14:textId="77777777" w:rsidR="006762BB" w:rsidRPr="002E2C6C"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2E2C6C">
        <w:rPr>
          <w:rFonts w:ascii="Times New Roman" w:hAnsi="Times New Roman"/>
          <w:sz w:val="28"/>
          <w:szCs w:val="28"/>
          <w:lang w:eastAsia="ru-RU"/>
        </w:rPr>
        <w:t xml:space="preserve">Численность официально зарегистрированных безработных составила </w:t>
      </w:r>
      <w:r w:rsidRPr="002E2C6C">
        <w:rPr>
          <w:rFonts w:ascii="Times New Roman" w:hAnsi="Times New Roman"/>
          <w:sz w:val="28"/>
          <w:szCs w:val="28"/>
          <w:lang w:eastAsia="ru-RU"/>
        </w:rPr>
        <w:br/>
        <w:t>32 тыс. человек, что на 74,4 тыс. человек меньше, чем по отчету за 2020 год (106,4 тыс. человек).</w:t>
      </w:r>
    </w:p>
    <w:p w14:paraId="59BBC943" w14:textId="77777777" w:rsidR="006762BB" w:rsidRPr="002E2C6C" w:rsidRDefault="006762BB" w:rsidP="005237E7">
      <w:pPr>
        <w:widowControl w:val="0"/>
        <w:autoSpaceDE w:val="0"/>
        <w:autoSpaceDN w:val="0"/>
        <w:adjustRightInd w:val="0"/>
        <w:spacing w:after="0" w:line="288" w:lineRule="auto"/>
        <w:ind w:firstLine="709"/>
        <w:jc w:val="both"/>
        <w:outlineLvl w:val="0"/>
        <w:rPr>
          <w:rFonts w:ascii="Times New Roman" w:hAnsi="Times New Roman"/>
          <w:sz w:val="28"/>
          <w:szCs w:val="28"/>
          <w:lang w:eastAsia="ru-RU"/>
        </w:rPr>
      </w:pPr>
      <w:r w:rsidRPr="002E2C6C">
        <w:rPr>
          <w:rFonts w:ascii="Times New Roman" w:hAnsi="Times New Roman"/>
          <w:sz w:val="28"/>
          <w:szCs w:val="28"/>
          <w:lang w:eastAsia="ru-RU"/>
        </w:rPr>
        <w:t>Основные макроэкономические показатели за 2020-2021 годы приведены в следующей таблице.</w:t>
      </w:r>
    </w:p>
    <w:p w14:paraId="1424EE47" w14:textId="77777777" w:rsidR="006762BB" w:rsidRPr="00FA15FD" w:rsidRDefault="006762BB" w:rsidP="006762BB">
      <w:pPr>
        <w:widowControl w:val="0"/>
        <w:autoSpaceDE w:val="0"/>
        <w:autoSpaceDN w:val="0"/>
        <w:adjustRightInd w:val="0"/>
        <w:spacing w:after="0" w:line="240" w:lineRule="auto"/>
        <w:ind w:firstLine="709"/>
        <w:jc w:val="right"/>
        <w:outlineLvl w:val="0"/>
        <w:rPr>
          <w:rFonts w:ascii="Times New Roman" w:hAnsi="Times New Roman"/>
          <w:sz w:val="28"/>
          <w:szCs w:val="28"/>
          <w:highlight w:val="yellow"/>
          <w:lang w:eastAsia="ru-RU"/>
        </w:rPr>
      </w:pPr>
    </w:p>
    <w:tbl>
      <w:tblPr>
        <w:tblW w:w="9517" w:type="dxa"/>
        <w:tblInd w:w="-5" w:type="dxa"/>
        <w:tblLayout w:type="fixed"/>
        <w:tblLook w:val="00A0" w:firstRow="1" w:lastRow="0" w:firstColumn="1" w:lastColumn="0" w:noHBand="0" w:noVBand="0"/>
      </w:tblPr>
      <w:tblGrid>
        <w:gridCol w:w="2552"/>
        <w:gridCol w:w="1720"/>
        <w:gridCol w:w="993"/>
        <w:gridCol w:w="1067"/>
        <w:gridCol w:w="1080"/>
        <w:gridCol w:w="1080"/>
        <w:gridCol w:w="1025"/>
      </w:tblGrid>
      <w:tr w:rsidR="006762BB" w:rsidRPr="000C5E87" w14:paraId="75B60ABE" w14:textId="77777777" w:rsidTr="00156793">
        <w:trPr>
          <w:trHeight w:val="480"/>
          <w:tblHeader/>
        </w:trPr>
        <w:tc>
          <w:tcPr>
            <w:tcW w:w="2552"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D5D296" w14:textId="77777777" w:rsidR="006762BB" w:rsidRPr="000C5E87" w:rsidRDefault="006762BB" w:rsidP="00545B6E">
            <w:pPr>
              <w:tabs>
                <w:tab w:val="left" w:pos="3011"/>
              </w:tabs>
              <w:spacing w:after="0" w:line="240" w:lineRule="auto"/>
              <w:ind w:left="-108" w:firstLine="108"/>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Наименование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FCB88F"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Единица измерения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410749"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Отчет за 2020 год</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C16458" w14:textId="77777777" w:rsidR="006762BB"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 xml:space="preserve">Прогноз СЭР РД </w:t>
            </w:r>
          </w:p>
          <w:p w14:paraId="0533623C"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на 2021 год</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4C383E"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 xml:space="preserve">Итоги </w:t>
            </w:r>
          </w:p>
          <w:p w14:paraId="4A166EF3"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за 2021 год</w:t>
            </w:r>
          </w:p>
        </w:tc>
        <w:tc>
          <w:tcPr>
            <w:tcW w:w="1080" w:type="dxa"/>
            <w:tcBorders>
              <w:top w:val="single" w:sz="4" w:space="0" w:color="auto"/>
              <w:left w:val="nil"/>
              <w:bottom w:val="single" w:sz="4" w:space="0" w:color="auto"/>
              <w:right w:val="single" w:sz="4" w:space="0" w:color="auto"/>
            </w:tcBorders>
            <w:shd w:val="clear" w:color="auto" w:fill="D9E2F3" w:themeFill="accent1" w:themeFillTint="33"/>
          </w:tcPr>
          <w:p w14:paraId="59AB449B" w14:textId="77777777" w:rsidR="006762BB" w:rsidRDefault="006762BB" w:rsidP="00545B6E">
            <w:pPr>
              <w:tabs>
                <w:tab w:val="left" w:pos="2997"/>
              </w:tabs>
              <w:spacing w:after="0" w:line="240" w:lineRule="auto"/>
              <w:ind w:left="-2" w:right="-118"/>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Откло</w:t>
            </w:r>
            <w:r>
              <w:rPr>
                <w:rFonts w:ascii="Times New Roman" w:hAnsi="Times New Roman"/>
                <w:b/>
                <w:bCs/>
                <w:color w:val="000000"/>
                <w:sz w:val="19"/>
                <w:szCs w:val="19"/>
                <w:lang w:eastAsia="ru-RU"/>
              </w:rPr>
              <w:t>-</w:t>
            </w:r>
          </w:p>
          <w:p w14:paraId="1A73D078" w14:textId="77777777" w:rsidR="006762BB" w:rsidRDefault="006762BB" w:rsidP="00545B6E">
            <w:pPr>
              <w:tabs>
                <w:tab w:val="left" w:pos="2997"/>
              </w:tabs>
              <w:spacing w:after="0" w:line="240" w:lineRule="auto"/>
              <w:ind w:left="-2" w:right="-118"/>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 xml:space="preserve">нение </w:t>
            </w:r>
          </w:p>
          <w:p w14:paraId="68113D1F" w14:textId="77777777" w:rsidR="006762BB" w:rsidRPr="000C5E87" w:rsidRDefault="006762BB" w:rsidP="00545B6E">
            <w:pPr>
              <w:tabs>
                <w:tab w:val="left" w:pos="2997"/>
              </w:tabs>
              <w:spacing w:after="0" w:line="240" w:lineRule="auto"/>
              <w:ind w:left="-2" w:right="-118"/>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гр5-гр3</w:t>
            </w:r>
          </w:p>
        </w:tc>
        <w:tc>
          <w:tcPr>
            <w:tcW w:w="1025" w:type="dxa"/>
            <w:tcBorders>
              <w:top w:val="single" w:sz="4" w:space="0" w:color="auto"/>
              <w:left w:val="nil"/>
              <w:bottom w:val="single" w:sz="4" w:space="0" w:color="auto"/>
              <w:right w:val="single" w:sz="4" w:space="0" w:color="auto"/>
            </w:tcBorders>
            <w:shd w:val="clear" w:color="auto" w:fill="D9E2F3" w:themeFill="accent1" w:themeFillTint="33"/>
          </w:tcPr>
          <w:p w14:paraId="7862AA92" w14:textId="77777777" w:rsidR="006762BB"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Откло</w:t>
            </w:r>
            <w:r>
              <w:rPr>
                <w:rFonts w:ascii="Times New Roman" w:hAnsi="Times New Roman"/>
                <w:b/>
                <w:bCs/>
                <w:color w:val="000000"/>
                <w:sz w:val="19"/>
                <w:szCs w:val="19"/>
                <w:lang w:eastAsia="ru-RU"/>
              </w:rPr>
              <w:t>-</w:t>
            </w:r>
          </w:p>
          <w:p w14:paraId="7C369AD9" w14:textId="77777777" w:rsidR="006762BB"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 xml:space="preserve">нение </w:t>
            </w:r>
          </w:p>
          <w:p w14:paraId="55DF61C1"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гр5-гр4</w:t>
            </w:r>
          </w:p>
        </w:tc>
      </w:tr>
      <w:tr w:rsidR="006762BB" w:rsidRPr="000C5E87" w14:paraId="76BB5B28" w14:textId="77777777" w:rsidTr="009D557D">
        <w:trPr>
          <w:trHeight w:val="91"/>
          <w:tblHeader/>
        </w:trPr>
        <w:tc>
          <w:tcPr>
            <w:tcW w:w="2552"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C70EDC" w14:textId="77777777" w:rsidR="006762BB" w:rsidRPr="000C5E87" w:rsidRDefault="006762BB" w:rsidP="00545B6E">
            <w:pPr>
              <w:tabs>
                <w:tab w:val="left" w:pos="3011"/>
              </w:tabs>
              <w:spacing w:after="0" w:line="240" w:lineRule="auto"/>
              <w:ind w:left="-108" w:firstLine="108"/>
              <w:rPr>
                <w:rFonts w:ascii="Times New Roman" w:hAnsi="Times New Roman"/>
                <w:b/>
                <w:bCs/>
                <w:color w:val="000000"/>
                <w:sz w:val="19"/>
                <w:szCs w:val="19"/>
                <w:lang w:eastAsia="ru-RU"/>
              </w:rPr>
            </w:pPr>
          </w:p>
        </w:tc>
        <w:tc>
          <w:tcPr>
            <w:tcW w:w="1720"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92073B" w14:textId="77777777" w:rsidR="006762BB" w:rsidRPr="000C5E87" w:rsidRDefault="006762BB" w:rsidP="00545B6E">
            <w:pPr>
              <w:tabs>
                <w:tab w:val="left" w:pos="2997"/>
              </w:tabs>
              <w:spacing w:after="0" w:line="240" w:lineRule="auto"/>
              <w:ind w:left="-57" w:right="-57"/>
              <w:rPr>
                <w:rFonts w:ascii="Times New Roman" w:hAnsi="Times New Roman"/>
                <w:b/>
                <w:bCs/>
                <w:color w:val="000000"/>
                <w:sz w:val="19"/>
                <w:szCs w:val="19"/>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2C3F33" w14:textId="77777777" w:rsidR="006762BB" w:rsidRPr="000C5E87" w:rsidRDefault="006762BB" w:rsidP="00545B6E">
            <w:pPr>
              <w:tabs>
                <w:tab w:val="left" w:pos="2997"/>
              </w:tabs>
              <w:spacing w:after="0" w:line="240" w:lineRule="auto"/>
              <w:ind w:left="-57" w:right="-57"/>
              <w:rPr>
                <w:rFonts w:ascii="Times New Roman" w:hAnsi="Times New Roman"/>
                <w:b/>
                <w:bCs/>
                <w:color w:val="000000"/>
                <w:sz w:val="19"/>
                <w:szCs w:val="19"/>
                <w:lang w:eastAsia="ru-RU"/>
              </w:rPr>
            </w:pPr>
          </w:p>
        </w:tc>
        <w:tc>
          <w:tcPr>
            <w:tcW w:w="1067"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81360F" w14:textId="77777777" w:rsidR="006762BB" w:rsidRPr="000C5E87" w:rsidRDefault="006762BB" w:rsidP="00545B6E">
            <w:pPr>
              <w:tabs>
                <w:tab w:val="left" w:pos="2997"/>
              </w:tabs>
              <w:spacing w:after="0" w:line="240" w:lineRule="auto"/>
              <w:ind w:left="-57" w:right="-57"/>
              <w:rPr>
                <w:rFonts w:ascii="Times New Roman" w:hAnsi="Times New Roman"/>
                <w:b/>
                <w:bCs/>
                <w:color w:val="000000"/>
                <w:sz w:val="19"/>
                <w:szCs w:val="19"/>
                <w:lang w:eastAsia="ru-RU"/>
              </w:rPr>
            </w:pPr>
          </w:p>
        </w:tc>
        <w:tc>
          <w:tcPr>
            <w:tcW w:w="1080"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03AF92" w14:textId="77777777" w:rsidR="006762BB" w:rsidRPr="000C5E87" w:rsidRDefault="006762BB" w:rsidP="00545B6E">
            <w:pPr>
              <w:tabs>
                <w:tab w:val="left" w:pos="2997"/>
              </w:tabs>
              <w:spacing w:after="0" w:line="240" w:lineRule="auto"/>
              <w:ind w:left="-57" w:right="-57"/>
              <w:rPr>
                <w:rFonts w:ascii="Times New Roman" w:hAnsi="Times New Roman"/>
                <w:b/>
                <w:bCs/>
                <w:color w:val="000000"/>
                <w:sz w:val="19"/>
                <w:szCs w:val="19"/>
                <w:lang w:eastAsia="ru-RU"/>
              </w:rPr>
            </w:pPr>
          </w:p>
        </w:tc>
        <w:tc>
          <w:tcPr>
            <w:tcW w:w="1080" w:type="dxa"/>
            <w:tcBorders>
              <w:top w:val="single" w:sz="4" w:space="0" w:color="auto"/>
              <w:left w:val="nil"/>
              <w:bottom w:val="single" w:sz="4" w:space="0" w:color="auto"/>
              <w:right w:val="single" w:sz="4" w:space="0" w:color="auto"/>
            </w:tcBorders>
            <w:shd w:val="clear" w:color="auto" w:fill="D9E2F3" w:themeFill="accent1" w:themeFillTint="33"/>
          </w:tcPr>
          <w:p w14:paraId="137350E1"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w:t>
            </w:r>
          </w:p>
        </w:tc>
        <w:tc>
          <w:tcPr>
            <w:tcW w:w="1025" w:type="dxa"/>
            <w:tcBorders>
              <w:top w:val="single" w:sz="4" w:space="0" w:color="auto"/>
              <w:left w:val="nil"/>
              <w:bottom w:val="single" w:sz="4" w:space="0" w:color="auto"/>
              <w:right w:val="single" w:sz="4" w:space="0" w:color="auto"/>
            </w:tcBorders>
            <w:shd w:val="clear" w:color="auto" w:fill="D9E2F3" w:themeFill="accent1" w:themeFillTint="33"/>
          </w:tcPr>
          <w:p w14:paraId="49F27D3D"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19"/>
                <w:szCs w:val="19"/>
                <w:lang w:eastAsia="ru-RU"/>
              </w:rPr>
            </w:pPr>
            <w:r w:rsidRPr="000C5E87">
              <w:rPr>
                <w:rFonts w:ascii="Times New Roman" w:hAnsi="Times New Roman"/>
                <w:b/>
                <w:bCs/>
                <w:color w:val="000000"/>
                <w:sz w:val="19"/>
                <w:szCs w:val="19"/>
                <w:lang w:eastAsia="ru-RU"/>
              </w:rPr>
              <w:t>(+;-)</w:t>
            </w:r>
          </w:p>
        </w:tc>
      </w:tr>
      <w:tr w:rsidR="006762BB" w:rsidRPr="000C5E87" w14:paraId="01C50793" w14:textId="77777777" w:rsidTr="009D557D">
        <w:trPr>
          <w:trHeight w:val="382"/>
          <w:tblHeader/>
        </w:trPr>
        <w:tc>
          <w:tcPr>
            <w:tcW w:w="2552" w:type="dxa"/>
            <w:tcBorders>
              <w:top w:val="nil"/>
              <w:left w:val="single" w:sz="4" w:space="0" w:color="auto"/>
              <w:bottom w:val="single" w:sz="4" w:space="0" w:color="auto"/>
              <w:right w:val="single" w:sz="4" w:space="0" w:color="auto"/>
            </w:tcBorders>
            <w:shd w:val="clear" w:color="000000" w:fill="FFFFFF"/>
            <w:vAlign w:val="center"/>
          </w:tcPr>
          <w:p w14:paraId="0CA5111C" w14:textId="77777777" w:rsidR="006762BB" w:rsidRPr="000C5E87" w:rsidRDefault="006762BB" w:rsidP="00545B6E">
            <w:pPr>
              <w:tabs>
                <w:tab w:val="left" w:pos="3011"/>
              </w:tabs>
              <w:spacing w:after="0" w:line="240" w:lineRule="auto"/>
              <w:ind w:left="-108" w:firstLine="108"/>
              <w:jc w:val="center"/>
              <w:rPr>
                <w:rFonts w:ascii="Times New Roman" w:hAnsi="Times New Roman"/>
                <w:b/>
                <w:bCs/>
                <w:color w:val="000000"/>
                <w:sz w:val="20"/>
                <w:szCs w:val="20"/>
                <w:lang w:eastAsia="ru-RU"/>
              </w:rPr>
            </w:pPr>
            <w:r w:rsidRPr="000C5E87">
              <w:rPr>
                <w:rFonts w:ascii="Times New Roman" w:hAnsi="Times New Roman"/>
                <w:b/>
                <w:bCs/>
                <w:color w:val="000000"/>
                <w:sz w:val="20"/>
                <w:szCs w:val="20"/>
                <w:lang w:eastAsia="ru-RU"/>
              </w:rPr>
              <w:t>1</w:t>
            </w:r>
          </w:p>
        </w:tc>
        <w:tc>
          <w:tcPr>
            <w:tcW w:w="1720" w:type="dxa"/>
            <w:tcBorders>
              <w:top w:val="nil"/>
              <w:left w:val="nil"/>
              <w:bottom w:val="single" w:sz="4" w:space="0" w:color="auto"/>
              <w:right w:val="single" w:sz="4" w:space="0" w:color="auto"/>
            </w:tcBorders>
            <w:shd w:val="clear" w:color="000000" w:fill="FFFFFF"/>
            <w:vAlign w:val="center"/>
          </w:tcPr>
          <w:p w14:paraId="338E1126"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20"/>
                <w:szCs w:val="20"/>
                <w:lang w:eastAsia="ru-RU"/>
              </w:rPr>
            </w:pPr>
            <w:r w:rsidRPr="000C5E87">
              <w:rPr>
                <w:rFonts w:ascii="Times New Roman" w:hAnsi="Times New Roman"/>
                <w:b/>
                <w:bCs/>
                <w:color w:val="000000"/>
                <w:sz w:val="20"/>
                <w:szCs w:val="20"/>
                <w:lang w:eastAsia="ru-RU"/>
              </w:rPr>
              <w:t>2</w:t>
            </w:r>
          </w:p>
        </w:tc>
        <w:tc>
          <w:tcPr>
            <w:tcW w:w="993" w:type="dxa"/>
            <w:tcBorders>
              <w:top w:val="nil"/>
              <w:left w:val="nil"/>
              <w:bottom w:val="single" w:sz="4" w:space="0" w:color="auto"/>
              <w:right w:val="single" w:sz="4" w:space="0" w:color="auto"/>
            </w:tcBorders>
            <w:shd w:val="clear" w:color="000000" w:fill="FFFFFF"/>
            <w:vAlign w:val="center"/>
          </w:tcPr>
          <w:p w14:paraId="6C34BE90"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20"/>
                <w:szCs w:val="20"/>
                <w:lang w:eastAsia="ru-RU"/>
              </w:rPr>
            </w:pPr>
            <w:r w:rsidRPr="000C5E87">
              <w:rPr>
                <w:rFonts w:ascii="Times New Roman" w:hAnsi="Times New Roman"/>
                <w:b/>
                <w:bCs/>
                <w:color w:val="000000"/>
                <w:sz w:val="20"/>
                <w:szCs w:val="20"/>
                <w:lang w:eastAsia="ru-RU"/>
              </w:rPr>
              <w:t>3</w:t>
            </w:r>
          </w:p>
        </w:tc>
        <w:tc>
          <w:tcPr>
            <w:tcW w:w="1067" w:type="dxa"/>
            <w:tcBorders>
              <w:top w:val="nil"/>
              <w:left w:val="nil"/>
              <w:bottom w:val="single" w:sz="4" w:space="0" w:color="auto"/>
              <w:right w:val="single" w:sz="4" w:space="0" w:color="auto"/>
            </w:tcBorders>
            <w:shd w:val="clear" w:color="000000" w:fill="FFFFFF"/>
            <w:vAlign w:val="center"/>
          </w:tcPr>
          <w:p w14:paraId="3E7F7966"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20"/>
                <w:szCs w:val="20"/>
                <w:lang w:eastAsia="ru-RU"/>
              </w:rPr>
            </w:pPr>
            <w:r w:rsidRPr="000C5E87">
              <w:rPr>
                <w:rFonts w:ascii="Times New Roman" w:hAnsi="Times New Roman"/>
                <w:b/>
                <w:bCs/>
                <w:color w:val="000000"/>
                <w:sz w:val="20"/>
                <w:szCs w:val="20"/>
                <w:lang w:eastAsia="ru-RU"/>
              </w:rPr>
              <w:t>4</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3B6104DD"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20"/>
                <w:szCs w:val="20"/>
                <w:lang w:eastAsia="ru-RU"/>
              </w:rPr>
            </w:pPr>
            <w:r w:rsidRPr="000C5E87">
              <w:rPr>
                <w:rFonts w:ascii="Times New Roman" w:hAnsi="Times New Roman"/>
                <w:b/>
                <w:bCs/>
                <w:color w:val="000000"/>
                <w:sz w:val="20"/>
                <w:szCs w:val="20"/>
                <w:lang w:eastAsia="ru-RU"/>
              </w:rPr>
              <w:t>5</w:t>
            </w:r>
          </w:p>
        </w:tc>
        <w:tc>
          <w:tcPr>
            <w:tcW w:w="1080" w:type="dxa"/>
            <w:tcBorders>
              <w:top w:val="nil"/>
              <w:left w:val="nil"/>
              <w:bottom w:val="single" w:sz="4" w:space="0" w:color="auto"/>
              <w:right w:val="single" w:sz="4" w:space="0" w:color="auto"/>
            </w:tcBorders>
            <w:shd w:val="clear" w:color="000000" w:fill="FFFFFF"/>
            <w:vAlign w:val="center"/>
          </w:tcPr>
          <w:p w14:paraId="14045EB7"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20"/>
                <w:szCs w:val="20"/>
                <w:lang w:eastAsia="ru-RU"/>
              </w:rPr>
            </w:pPr>
            <w:r w:rsidRPr="000C5E87">
              <w:rPr>
                <w:rFonts w:ascii="Times New Roman" w:hAnsi="Times New Roman"/>
                <w:b/>
                <w:bCs/>
                <w:color w:val="000000"/>
                <w:sz w:val="20"/>
                <w:szCs w:val="20"/>
                <w:lang w:eastAsia="ru-RU"/>
              </w:rPr>
              <w:t>6</w:t>
            </w:r>
          </w:p>
        </w:tc>
        <w:tc>
          <w:tcPr>
            <w:tcW w:w="1025" w:type="dxa"/>
            <w:tcBorders>
              <w:top w:val="nil"/>
              <w:left w:val="nil"/>
              <w:bottom w:val="single" w:sz="4" w:space="0" w:color="auto"/>
              <w:right w:val="single" w:sz="4" w:space="0" w:color="auto"/>
            </w:tcBorders>
            <w:shd w:val="clear" w:color="000000" w:fill="FFFFFF"/>
            <w:vAlign w:val="center"/>
          </w:tcPr>
          <w:p w14:paraId="06B25073" w14:textId="77777777" w:rsidR="006762BB" w:rsidRPr="000C5E87" w:rsidRDefault="006762BB" w:rsidP="00545B6E">
            <w:pPr>
              <w:tabs>
                <w:tab w:val="left" w:pos="2997"/>
              </w:tabs>
              <w:spacing w:after="0" w:line="240" w:lineRule="auto"/>
              <w:ind w:left="-57" w:right="-57"/>
              <w:jc w:val="center"/>
              <w:rPr>
                <w:rFonts w:ascii="Times New Roman" w:hAnsi="Times New Roman"/>
                <w:b/>
                <w:bCs/>
                <w:color w:val="000000"/>
                <w:sz w:val="20"/>
                <w:szCs w:val="20"/>
                <w:lang w:eastAsia="ru-RU"/>
              </w:rPr>
            </w:pPr>
            <w:r w:rsidRPr="000C5E87">
              <w:rPr>
                <w:rFonts w:ascii="Times New Roman" w:hAnsi="Times New Roman"/>
                <w:b/>
                <w:bCs/>
                <w:color w:val="000000"/>
                <w:sz w:val="20"/>
                <w:szCs w:val="20"/>
                <w:lang w:eastAsia="ru-RU"/>
              </w:rPr>
              <w:t>7</w:t>
            </w:r>
          </w:p>
        </w:tc>
      </w:tr>
      <w:tr w:rsidR="006762BB" w:rsidRPr="000C5E87" w14:paraId="0A37470D" w14:textId="77777777" w:rsidTr="005237E7">
        <w:trPr>
          <w:trHeight w:val="471"/>
        </w:trPr>
        <w:tc>
          <w:tcPr>
            <w:tcW w:w="2552" w:type="dxa"/>
            <w:tcBorders>
              <w:top w:val="nil"/>
              <w:left w:val="single" w:sz="4" w:space="0" w:color="auto"/>
              <w:bottom w:val="single" w:sz="4" w:space="0" w:color="auto"/>
              <w:right w:val="single" w:sz="4" w:space="0" w:color="auto"/>
            </w:tcBorders>
            <w:vAlign w:val="center"/>
          </w:tcPr>
          <w:p w14:paraId="7EC043ED"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 xml:space="preserve">Валовой региональный продукт </w:t>
            </w:r>
          </w:p>
        </w:tc>
        <w:tc>
          <w:tcPr>
            <w:tcW w:w="1720" w:type="dxa"/>
            <w:tcBorders>
              <w:top w:val="nil"/>
              <w:left w:val="nil"/>
              <w:bottom w:val="single" w:sz="4" w:space="0" w:color="auto"/>
              <w:right w:val="single" w:sz="4" w:space="0" w:color="auto"/>
            </w:tcBorders>
            <w:shd w:val="clear" w:color="000000" w:fill="FFFFFF"/>
            <w:vAlign w:val="center"/>
          </w:tcPr>
          <w:p w14:paraId="30FADDC7"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млн. рублей</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231ADD75"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748 177,3</w:t>
            </w:r>
          </w:p>
        </w:tc>
        <w:tc>
          <w:tcPr>
            <w:tcW w:w="1067" w:type="dxa"/>
            <w:tcBorders>
              <w:top w:val="single" w:sz="4" w:space="0" w:color="auto"/>
              <w:left w:val="nil"/>
              <w:bottom w:val="single" w:sz="4" w:space="0" w:color="auto"/>
              <w:right w:val="single" w:sz="4" w:space="0" w:color="auto"/>
            </w:tcBorders>
            <w:shd w:val="clear" w:color="000000" w:fill="FFFFFF"/>
            <w:vAlign w:val="center"/>
          </w:tcPr>
          <w:p w14:paraId="58AE93E4"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728 455,1</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3C6C691F"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814 455,6</w:t>
            </w:r>
          </w:p>
        </w:tc>
        <w:tc>
          <w:tcPr>
            <w:tcW w:w="1080" w:type="dxa"/>
            <w:tcBorders>
              <w:top w:val="single" w:sz="4" w:space="0" w:color="auto"/>
              <w:left w:val="nil"/>
              <w:bottom w:val="single" w:sz="4" w:space="0" w:color="auto"/>
              <w:right w:val="single" w:sz="4" w:space="0" w:color="auto"/>
            </w:tcBorders>
            <w:shd w:val="clear" w:color="000000" w:fill="FFFFFF"/>
            <w:vAlign w:val="center"/>
          </w:tcPr>
          <w:p w14:paraId="26099531"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66 278,3</w:t>
            </w:r>
          </w:p>
        </w:tc>
        <w:tc>
          <w:tcPr>
            <w:tcW w:w="1025" w:type="dxa"/>
            <w:tcBorders>
              <w:top w:val="single" w:sz="4" w:space="0" w:color="auto"/>
              <w:left w:val="nil"/>
              <w:bottom w:val="single" w:sz="4" w:space="0" w:color="auto"/>
              <w:right w:val="single" w:sz="4" w:space="0" w:color="auto"/>
            </w:tcBorders>
            <w:shd w:val="clear" w:color="000000" w:fill="FFFFFF"/>
            <w:vAlign w:val="center"/>
          </w:tcPr>
          <w:p w14:paraId="58AD44DA"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86 000,5</w:t>
            </w:r>
          </w:p>
        </w:tc>
      </w:tr>
      <w:tr w:rsidR="006762BB" w:rsidRPr="000C5E87" w14:paraId="29E21748" w14:textId="77777777" w:rsidTr="005237E7">
        <w:trPr>
          <w:trHeight w:val="695"/>
        </w:trPr>
        <w:tc>
          <w:tcPr>
            <w:tcW w:w="2552" w:type="dxa"/>
            <w:tcBorders>
              <w:top w:val="nil"/>
              <w:left w:val="single" w:sz="4" w:space="0" w:color="auto"/>
              <w:bottom w:val="single" w:sz="4" w:space="0" w:color="auto"/>
              <w:right w:val="single" w:sz="4" w:space="0" w:color="auto"/>
            </w:tcBorders>
            <w:shd w:val="clear" w:color="000000" w:fill="FFFFFF"/>
            <w:vAlign w:val="center"/>
          </w:tcPr>
          <w:p w14:paraId="05AD67C3"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6872537E" w14:textId="77777777" w:rsidR="006762BB" w:rsidRPr="000C5E87" w:rsidRDefault="006762BB" w:rsidP="00545B6E">
            <w:pPr>
              <w:tabs>
                <w:tab w:val="left" w:pos="2997"/>
              </w:tabs>
              <w:spacing w:after="0" w:line="240" w:lineRule="auto"/>
              <w:ind w:left="-197" w:right="-57"/>
              <w:jc w:val="center"/>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04F9F6B2"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99,3</w:t>
            </w:r>
          </w:p>
        </w:tc>
        <w:tc>
          <w:tcPr>
            <w:tcW w:w="1067" w:type="dxa"/>
            <w:tcBorders>
              <w:top w:val="nil"/>
              <w:left w:val="nil"/>
              <w:bottom w:val="single" w:sz="4" w:space="0" w:color="auto"/>
              <w:right w:val="single" w:sz="4" w:space="0" w:color="auto"/>
            </w:tcBorders>
            <w:shd w:val="clear" w:color="000000" w:fill="FFFFFF"/>
            <w:vAlign w:val="center"/>
          </w:tcPr>
          <w:p w14:paraId="0479D00D"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102,4</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502F3DD7"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102,0</w:t>
            </w:r>
          </w:p>
        </w:tc>
        <w:tc>
          <w:tcPr>
            <w:tcW w:w="1080" w:type="dxa"/>
            <w:tcBorders>
              <w:top w:val="nil"/>
              <w:left w:val="nil"/>
              <w:bottom w:val="single" w:sz="4" w:space="0" w:color="auto"/>
              <w:right w:val="single" w:sz="4" w:space="0" w:color="auto"/>
            </w:tcBorders>
            <w:shd w:val="clear" w:color="000000" w:fill="FFFFFF"/>
            <w:vAlign w:val="center"/>
          </w:tcPr>
          <w:p w14:paraId="3F644702"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2,7</w:t>
            </w:r>
          </w:p>
        </w:tc>
        <w:tc>
          <w:tcPr>
            <w:tcW w:w="1025" w:type="dxa"/>
            <w:tcBorders>
              <w:top w:val="nil"/>
              <w:left w:val="nil"/>
              <w:bottom w:val="single" w:sz="4" w:space="0" w:color="auto"/>
              <w:right w:val="single" w:sz="4" w:space="0" w:color="auto"/>
            </w:tcBorders>
            <w:shd w:val="clear" w:color="000000" w:fill="FFFFFF"/>
            <w:vAlign w:val="center"/>
          </w:tcPr>
          <w:p w14:paraId="0504F2C5"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-0,4</w:t>
            </w:r>
          </w:p>
        </w:tc>
      </w:tr>
      <w:tr w:rsidR="006762BB" w:rsidRPr="000C5E87" w14:paraId="25AE2829" w14:textId="77777777" w:rsidTr="00545B6E">
        <w:trPr>
          <w:trHeight w:val="300"/>
        </w:trPr>
        <w:tc>
          <w:tcPr>
            <w:tcW w:w="2552" w:type="dxa"/>
            <w:tcBorders>
              <w:top w:val="nil"/>
              <w:left w:val="single" w:sz="4" w:space="0" w:color="auto"/>
              <w:bottom w:val="single" w:sz="4" w:space="0" w:color="auto"/>
              <w:right w:val="single" w:sz="4" w:space="0" w:color="auto"/>
            </w:tcBorders>
            <w:vAlign w:val="center"/>
          </w:tcPr>
          <w:p w14:paraId="61A3E2F8"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Индекс потребительских цен</w:t>
            </w:r>
          </w:p>
        </w:tc>
        <w:tc>
          <w:tcPr>
            <w:tcW w:w="1720" w:type="dxa"/>
            <w:tcBorders>
              <w:top w:val="nil"/>
              <w:left w:val="nil"/>
              <w:bottom w:val="single" w:sz="4" w:space="0" w:color="auto"/>
              <w:right w:val="single" w:sz="4" w:space="0" w:color="auto"/>
            </w:tcBorders>
            <w:noWrap/>
            <w:vAlign w:val="center"/>
          </w:tcPr>
          <w:p w14:paraId="67473EAD" w14:textId="77777777" w:rsidR="006762BB" w:rsidRPr="000C5E87" w:rsidRDefault="006762BB" w:rsidP="00545B6E">
            <w:pPr>
              <w:tabs>
                <w:tab w:val="left" w:pos="2997"/>
              </w:tabs>
              <w:spacing w:after="0" w:line="240" w:lineRule="auto"/>
              <w:ind w:left="-197" w:right="-57"/>
              <w:jc w:val="center"/>
              <w:rPr>
                <w:rFonts w:cs="Calibri"/>
                <w:i/>
                <w:color w:val="000000"/>
                <w:sz w:val="20"/>
                <w:szCs w:val="20"/>
                <w:lang w:eastAsia="ru-RU"/>
              </w:rPr>
            </w:pPr>
            <w:r w:rsidRPr="000C5E87">
              <w:rPr>
                <w:rFonts w:ascii="Times New Roman" w:hAnsi="Times New Roman"/>
                <w:i/>
                <w:iCs/>
                <w:color w:val="000000"/>
                <w:sz w:val="20"/>
                <w:szCs w:val="20"/>
                <w:lang w:eastAsia="ru-RU"/>
              </w:rPr>
              <w:t> %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333C52FB"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104,7</w:t>
            </w:r>
          </w:p>
        </w:tc>
        <w:tc>
          <w:tcPr>
            <w:tcW w:w="1067" w:type="dxa"/>
            <w:tcBorders>
              <w:top w:val="nil"/>
              <w:left w:val="nil"/>
              <w:bottom w:val="single" w:sz="4" w:space="0" w:color="auto"/>
              <w:right w:val="single" w:sz="4" w:space="0" w:color="auto"/>
            </w:tcBorders>
            <w:shd w:val="clear" w:color="000000" w:fill="FFFFFF"/>
            <w:vAlign w:val="center"/>
          </w:tcPr>
          <w:p w14:paraId="2C4842BF"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104,1</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6B3571E0"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110,1</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7C5E8C11"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5,4</w:t>
            </w:r>
          </w:p>
        </w:tc>
        <w:tc>
          <w:tcPr>
            <w:tcW w:w="1025" w:type="dxa"/>
            <w:tcBorders>
              <w:top w:val="single" w:sz="4" w:space="0" w:color="auto"/>
              <w:left w:val="nil"/>
              <w:bottom w:val="single" w:sz="4" w:space="0" w:color="auto"/>
              <w:right w:val="single" w:sz="4" w:space="0" w:color="auto"/>
            </w:tcBorders>
            <w:shd w:val="clear" w:color="000000" w:fill="FFFFFF"/>
            <w:vAlign w:val="center"/>
          </w:tcPr>
          <w:p w14:paraId="52306561"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6,0</w:t>
            </w:r>
          </w:p>
        </w:tc>
      </w:tr>
      <w:tr w:rsidR="006762BB" w:rsidRPr="000C5E87" w14:paraId="281BD342" w14:textId="77777777" w:rsidTr="00545B6E">
        <w:trPr>
          <w:trHeight w:val="256"/>
        </w:trPr>
        <w:tc>
          <w:tcPr>
            <w:tcW w:w="2552" w:type="dxa"/>
            <w:tcBorders>
              <w:top w:val="nil"/>
              <w:left w:val="single" w:sz="4" w:space="0" w:color="auto"/>
              <w:bottom w:val="single" w:sz="4" w:space="0" w:color="auto"/>
              <w:right w:val="single" w:sz="4" w:space="0" w:color="auto"/>
            </w:tcBorders>
            <w:shd w:val="clear" w:color="000000" w:fill="FFFFFF"/>
            <w:vAlign w:val="center"/>
          </w:tcPr>
          <w:p w14:paraId="25477248"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Промышленное производство</w:t>
            </w:r>
          </w:p>
        </w:tc>
        <w:tc>
          <w:tcPr>
            <w:tcW w:w="1720" w:type="dxa"/>
            <w:tcBorders>
              <w:top w:val="nil"/>
              <w:left w:val="nil"/>
              <w:bottom w:val="single" w:sz="4" w:space="0" w:color="auto"/>
              <w:right w:val="single" w:sz="4" w:space="0" w:color="auto"/>
            </w:tcBorders>
            <w:shd w:val="clear" w:color="000000" w:fill="FFFFFF"/>
            <w:vAlign w:val="center"/>
          </w:tcPr>
          <w:p w14:paraId="40F7EF46"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млн. рублей</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02A33656"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67 592,2</w:t>
            </w:r>
          </w:p>
        </w:tc>
        <w:tc>
          <w:tcPr>
            <w:tcW w:w="1067" w:type="dxa"/>
            <w:tcBorders>
              <w:top w:val="nil"/>
              <w:left w:val="nil"/>
              <w:bottom w:val="single" w:sz="4" w:space="0" w:color="auto"/>
              <w:right w:val="single" w:sz="4" w:space="0" w:color="auto"/>
            </w:tcBorders>
            <w:shd w:val="clear" w:color="000000" w:fill="FFFFFF"/>
            <w:vAlign w:val="center"/>
          </w:tcPr>
          <w:p w14:paraId="4A6835EB"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86 003,0</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1AE94674"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74 339,9</w:t>
            </w:r>
          </w:p>
        </w:tc>
        <w:tc>
          <w:tcPr>
            <w:tcW w:w="1080" w:type="dxa"/>
            <w:tcBorders>
              <w:top w:val="nil"/>
              <w:left w:val="nil"/>
              <w:bottom w:val="single" w:sz="4" w:space="0" w:color="auto"/>
              <w:right w:val="single" w:sz="4" w:space="0" w:color="auto"/>
            </w:tcBorders>
            <w:shd w:val="clear" w:color="000000" w:fill="FFFFFF"/>
            <w:vAlign w:val="center"/>
          </w:tcPr>
          <w:p w14:paraId="02407E9A"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6 747,7</w:t>
            </w:r>
          </w:p>
        </w:tc>
        <w:tc>
          <w:tcPr>
            <w:tcW w:w="1025" w:type="dxa"/>
            <w:tcBorders>
              <w:top w:val="nil"/>
              <w:left w:val="nil"/>
              <w:bottom w:val="single" w:sz="4" w:space="0" w:color="auto"/>
              <w:right w:val="single" w:sz="4" w:space="0" w:color="auto"/>
            </w:tcBorders>
            <w:shd w:val="clear" w:color="000000" w:fill="FFFFFF"/>
            <w:vAlign w:val="center"/>
          </w:tcPr>
          <w:p w14:paraId="7F457EBB"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-11 663,1</w:t>
            </w:r>
          </w:p>
        </w:tc>
      </w:tr>
      <w:tr w:rsidR="006762BB" w:rsidRPr="000C5E87" w14:paraId="2A44018C" w14:textId="77777777" w:rsidTr="00545B6E">
        <w:trPr>
          <w:trHeight w:val="345"/>
        </w:trPr>
        <w:tc>
          <w:tcPr>
            <w:tcW w:w="2552" w:type="dxa"/>
            <w:tcBorders>
              <w:top w:val="nil"/>
              <w:left w:val="single" w:sz="4" w:space="0" w:color="auto"/>
              <w:bottom w:val="single" w:sz="4" w:space="0" w:color="auto"/>
              <w:right w:val="single" w:sz="4" w:space="0" w:color="auto"/>
            </w:tcBorders>
            <w:shd w:val="clear" w:color="000000" w:fill="FFFFFF"/>
            <w:vAlign w:val="center"/>
          </w:tcPr>
          <w:p w14:paraId="4E84572E"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46114F23" w14:textId="77777777" w:rsidR="006762BB" w:rsidRPr="000C5E87" w:rsidRDefault="006762BB" w:rsidP="00545B6E">
            <w:pPr>
              <w:tabs>
                <w:tab w:val="left" w:pos="2997"/>
              </w:tabs>
              <w:spacing w:after="0" w:line="240" w:lineRule="auto"/>
              <w:ind w:left="-197" w:right="-57"/>
              <w:jc w:val="center"/>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2115B9DF"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109,4</w:t>
            </w:r>
          </w:p>
        </w:tc>
        <w:tc>
          <w:tcPr>
            <w:tcW w:w="1067" w:type="dxa"/>
            <w:tcBorders>
              <w:top w:val="nil"/>
              <w:left w:val="nil"/>
              <w:bottom w:val="single" w:sz="4" w:space="0" w:color="auto"/>
              <w:right w:val="single" w:sz="4" w:space="0" w:color="auto"/>
            </w:tcBorders>
            <w:shd w:val="clear" w:color="000000" w:fill="FFFFFF"/>
            <w:vAlign w:val="center"/>
          </w:tcPr>
          <w:p w14:paraId="598876C7"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105,6</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6341972B"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105,2</w:t>
            </w:r>
          </w:p>
        </w:tc>
        <w:tc>
          <w:tcPr>
            <w:tcW w:w="1080" w:type="dxa"/>
            <w:tcBorders>
              <w:top w:val="nil"/>
              <w:left w:val="nil"/>
              <w:bottom w:val="single" w:sz="4" w:space="0" w:color="auto"/>
              <w:right w:val="single" w:sz="4" w:space="0" w:color="auto"/>
            </w:tcBorders>
            <w:shd w:val="clear" w:color="000000" w:fill="FFFFFF"/>
            <w:vAlign w:val="center"/>
          </w:tcPr>
          <w:p w14:paraId="66513585"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-4,2</w:t>
            </w:r>
          </w:p>
        </w:tc>
        <w:tc>
          <w:tcPr>
            <w:tcW w:w="1025" w:type="dxa"/>
            <w:tcBorders>
              <w:top w:val="nil"/>
              <w:left w:val="nil"/>
              <w:bottom w:val="single" w:sz="4" w:space="0" w:color="auto"/>
              <w:right w:val="single" w:sz="4" w:space="0" w:color="auto"/>
            </w:tcBorders>
            <w:shd w:val="clear" w:color="000000" w:fill="FFFFFF"/>
            <w:vAlign w:val="center"/>
          </w:tcPr>
          <w:p w14:paraId="547F148B"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-0,4</w:t>
            </w:r>
          </w:p>
        </w:tc>
      </w:tr>
      <w:tr w:rsidR="006762BB" w:rsidRPr="000C5E87" w14:paraId="52CEF578" w14:textId="77777777" w:rsidTr="005237E7">
        <w:trPr>
          <w:trHeight w:val="707"/>
        </w:trPr>
        <w:tc>
          <w:tcPr>
            <w:tcW w:w="2552" w:type="dxa"/>
            <w:tcBorders>
              <w:top w:val="nil"/>
              <w:left w:val="single" w:sz="4" w:space="0" w:color="auto"/>
              <w:bottom w:val="single" w:sz="4" w:space="0" w:color="auto"/>
              <w:right w:val="single" w:sz="4" w:space="0" w:color="auto"/>
            </w:tcBorders>
            <w:shd w:val="clear" w:color="000000" w:fill="FFFFFF"/>
            <w:vAlign w:val="center"/>
          </w:tcPr>
          <w:p w14:paraId="0DFC24AA"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Продукция сельского хозяйства</w:t>
            </w:r>
          </w:p>
        </w:tc>
        <w:tc>
          <w:tcPr>
            <w:tcW w:w="1720" w:type="dxa"/>
            <w:tcBorders>
              <w:top w:val="nil"/>
              <w:left w:val="nil"/>
              <w:bottom w:val="single" w:sz="4" w:space="0" w:color="auto"/>
              <w:right w:val="single" w:sz="4" w:space="0" w:color="auto"/>
            </w:tcBorders>
            <w:shd w:val="clear" w:color="000000" w:fill="FFFFFF"/>
            <w:vAlign w:val="center"/>
          </w:tcPr>
          <w:p w14:paraId="1D174834"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млн. рублей</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2139C072"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154 908,7</w:t>
            </w:r>
          </w:p>
        </w:tc>
        <w:tc>
          <w:tcPr>
            <w:tcW w:w="1067" w:type="dxa"/>
            <w:tcBorders>
              <w:top w:val="nil"/>
              <w:left w:val="nil"/>
              <w:bottom w:val="single" w:sz="4" w:space="0" w:color="auto"/>
              <w:right w:val="single" w:sz="4" w:space="0" w:color="auto"/>
            </w:tcBorders>
            <w:shd w:val="clear" w:color="000000" w:fill="FFFFFF"/>
            <w:vAlign w:val="center"/>
          </w:tcPr>
          <w:p w14:paraId="3F9888D1"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152 422,3</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59C584A1"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176 197,4</w:t>
            </w:r>
          </w:p>
        </w:tc>
        <w:tc>
          <w:tcPr>
            <w:tcW w:w="1080" w:type="dxa"/>
            <w:tcBorders>
              <w:top w:val="nil"/>
              <w:left w:val="nil"/>
              <w:bottom w:val="single" w:sz="4" w:space="0" w:color="auto"/>
              <w:right w:val="single" w:sz="4" w:space="0" w:color="auto"/>
            </w:tcBorders>
            <w:shd w:val="clear" w:color="000000" w:fill="FFFFFF"/>
            <w:vAlign w:val="center"/>
          </w:tcPr>
          <w:p w14:paraId="097DF201"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21 288,7</w:t>
            </w:r>
          </w:p>
        </w:tc>
        <w:tc>
          <w:tcPr>
            <w:tcW w:w="1025" w:type="dxa"/>
            <w:tcBorders>
              <w:top w:val="nil"/>
              <w:left w:val="nil"/>
              <w:bottom w:val="single" w:sz="4" w:space="0" w:color="auto"/>
              <w:right w:val="single" w:sz="4" w:space="0" w:color="auto"/>
            </w:tcBorders>
            <w:shd w:val="clear" w:color="000000" w:fill="FFFFFF"/>
            <w:vAlign w:val="center"/>
          </w:tcPr>
          <w:p w14:paraId="3FB9B7DA"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23 775,1</w:t>
            </w:r>
          </w:p>
        </w:tc>
      </w:tr>
      <w:tr w:rsidR="006762BB" w:rsidRPr="000C5E87" w14:paraId="5937D097" w14:textId="77777777" w:rsidTr="00545B6E">
        <w:trPr>
          <w:trHeight w:val="227"/>
        </w:trPr>
        <w:tc>
          <w:tcPr>
            <w:tcW w:w="2552" w:type="dxa"/>
            <w:tcBorders>
              <w:top w:val="nil"/>
              <w:left w:val="single" w:sz="4" w:space="0" w:color="auto"/>
              <w:bottom w:val="single" w:sz="4" w:space="0" w:color="auto"/>
              <w:right w:val="single" w:sz="4" w:space="0" w:color="auto"/>
            </w:tcBorders>
            <w:shd w:val="clear" w:color="000000" w:fill="FFFFFF"/>
            <w:vAlign w:val="center"/>
          </w:tcPr>
          <w:p w14:paraId="68ABDD2D"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2450E65C" w14:textId="77777777" w:rsidR="006762BB" w:rsidRPr="000C5E87" w:rsidRDefault="006762BB" w:rsidP="00545B6E">
            <w:pPr>
              <w:tabs>
                <w:tab w:val="left" w:pos="2997"/>
              </w:tabs>
              <w:spacing w:after="0" w:line="240" w:lineRule="auto"/>
              <w:ind w:left="-197" w:right="-57"/>
              <w:jc w:val="center"/>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4EA2172F"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101,3</w:t>
            </w:r>
          </w:p>
        </w:tc>
        <w:tc>
          <w:tcPr>
            <w:tcW w:w="1067" w:type="dxa"/>
            <w:tcBorders>
              <w:top w:val="nil"/>
              <w:left w:val="nil"/>
              <w:bottom w:val="single" w:sz="4" w:space="0" w:color="auto"/>
              <w:right w:val="single" w:sz="4" w:space="0" w:color="auto"/>
            </w:tcBorders>
            <w:shd w:val="clear" w:color="000000" w:fill="FFFFFF"/>
            <w:vAlign w:val="center"/>
          </w:tcPr>
          <w:p w14:paraId="3B605605"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102,4</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79D0BF86"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100,5</w:t>
            </w:r>
          </w:p>
        </w:tc>
        <w:tc>
          <w:tcPr>
            <w:tcW w:w="1080" w:type="dxa"/>
            <w:tcBorders>
              <w:top w:val="nil"/>
              <w:left w:val="nil"/>
              <w:bottom w:val="single" w:sz="4" w:space="0" w:color="auto"/>
              <w:right w:val="single" w:sz="4" w:space="0" w:color="auto"/>
            </w:tcBorders>
            <w:shd w:val="clear" w:color="000000" w:fill="FFFFFF"/>
            <w:vAlign w:val="center"/>
          </w:tcPr>
          <w:p w14:paraId="58508358"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-0,8</w:t>
            </w:r>
          </w:p>
        </w:tc>
        <w:tc>
          <w:tcPr>
            <w:tcW w:w="1025" w:type="dxa"/>
            <w:tcBorders>
              <w:top w:val="nil"/>
              <w:left w:val="nil"/>
              <w:bottom w:val="single" w:sz="4" w:space="0" w:color="auto"/>
              <w:right w:val="single" w:sz="4" w:space="0" w:color="auto"/>
            </w:tcBorders>
            <w:shd w:val="clear" w:color="000000" w:fill="FFFFFF"/>
            <w:vAlign w:val="center"/>
          </w:tcPr>
          <w:p w14:paraId="23CBB6FD"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-1,9</w:t>
            </w:r>
          </w:p>
        </w:tc>
      </w:tr>
      <w:tr w:rsidR="006762BB" w:rsidRPr="000C5E87" w14:paraId="21502E8C" w14:textId="77777777" w:rsidTr="00545B6E">
        <w:trPr>
          <w:trHeight w:val="276"/>
        </w:trPr>
        <w:tc>
          <w:tcPr>
            <w:tcW w:w="2552" w:type="dxa"/>
            <w:tcBorders>
              <w:top w:val="nil"/>
              <w:left w:val="single" w:sz="4" w:space="0" w:color="auto"/>
              <w:bottom w:val="single" w:sz="4" w:space="0" w:color="auto"/>
              <w:right w:val="single" w:sz="4" w:space="0" w:color="auto"/>
            </w:tcBorders>
            <w:shd w:val="clear" w:color="000000" w:fill="FFFFFF"/>
            <w:vAlign w:val="center"/>
          </w:tcPr>
          <w:p w14:paraId="4D4A1209"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Объем инвестиций в основной капитал</w:t>
            </w:r>
          </w:p>
        </w:tc>
        <w:tc>
          <w:tcPr>
            <w:tcW w:w="1720" w:type="dxa"/>
            <w:tcBorders>
              <w:top w:val="nil"/>
              <w:left w:val="nil"/>
              <w:bottom w:val="single" w:sz="4" w:space="0" w:color="auto"/>
              <w:right w:val="single" w:sz="4" w:space="0" w:color="auto"/>
            </w:tcBorders>
            <w:shd w:val="clear" w:color="000000" w:fill="FFFFFF"/>
            <w:vAlign w:val="center"/>
          </w:tcPr>
          <w:p w14:paraId="2DA2D3AA"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млн. рублей</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5A9EE5EA"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273 438,1</w:t>
            </w:r>
          </w:p>
        </w:tc>
        <w:tc>
          <w:tcPr>
            <w:tcW w:w="1067" w:type="dxa"/>
            <w:tcBorders>
              <w:top w:val="nil"/>
              <w:left w:val="nil"/>
              <w:bottom w:val="single" w:sz="4" w:space="0" w:color="auto"/>
              <w:right w:val="single" w:sz="4" w:space="0" w:color="auto"/>
            </w:tcBorders>
            <w:shd w:val="clear" w:color="000000" w:fill="FFFFFF"/>
            <w:vAlign w:val="center"/>
          </w:tcPr>
          <w:p w14:paraId="1CE734F3"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272 934,9</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6CE71A2D"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251 368,0</w:t>
            </w:r>
          </w:p>
        </w:tc>
        <w:tc>
          <w:tcPr>
            <w:tcW w:w="1080" w:type="dxa"/>
            <w:tcBorders>
              <w:top w:val="nil"/>
              <w:left w:val="nil"/>
              <w:bottom w:val="single" w:sz="4" w:space="0" w:color="auto"/>
              <w:right w:val="single" w:sz="4" w:space="0" w:color="auto"/>
            </w:tcBorders>
            <w:shd w:val="clear" w:color="000000" w:fill="FFFFFF"/>
            <w:vAlign w:val="center"/>
          </w:tcPr>
          <w:p w14:paraId="78E4309F"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-22 070,1</w:t>
            </w:r>
          </w:p>
        </w:tc>
        <w:tc>
          <w:tcPr>
            <w:tcW w:w="1025" w:type="dxa"/>
            <w:tcBorders>
              <w:top w:val="nil"/>
              <w:left w:val="nil"/>
              <w:bottom w:val="single" w:sz="4" w:space="0" w:color="auto"/>
              <w:right w:val="single" w:sz="4" w:space="0" w:color="auto"/>
            </w:tcBorders>
            <w:shd w:val="clear" w:color="000000" w:fill="FFFFFF"/>
            <w:vAlign w:val="center"/>
          </w:tcPr>
          <w:p w14:paraId="652A42C3"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-21 566,9</w:t>
            </w:r>
          </w:p>
        </w:tc>
      </w:tr>
      <w:tr w:rsidR="006762BB" w:rsidRPr="000C5E87" w14:paraId="5C2C0491" w14:textId="77777777" w:rsidTr="00545B6E">
        <w:trPr>
          <w:trHeight w:val="265"/>
        </w:trPr>
        <w:tc>
          <w:tcPr>
            <w:tcW w:w="2552" w:type="dxa"/>
            <w:tcBorders>
              <w:top w:val="nil"/>
              <w:left w:val="single" w:sz="4" w:space="0" w:color="auto"/>
              <w:bottom w:val="single" w:sz="4" w:space="0" w:color="auto"/>
              <w:right w:val="single" w:sz="4" w:space="0" w:color="auto"/>
            </w:tcBorders>
            <w:shd w:val="clear" w:color="000000" w:fill="FFFFFF"/>
            <w:vAlign w:val="center"/>
          </w:tcPr>
          <w:p w14:paraId="1C16866E"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272FEE13" w14:textId="77777777" w:rsidR="006762BB" w:rsidRPr="000C5E87" w:rsidRDefault="006762BB" w:rsidP="00545B6E">
            <w:pPr>
              <w:tabs>
                <w:tab w:val="left" w:pos="2997"/>
              </w:tabs>
              <w:spacing w:after="0" w:line="240" w:lineRule="auto"/>
              <w:ind w:left="-197" w:right="-57"/>
              <w:jc w:val="center"/>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74CD06A5"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111,0</w:t>
            </w:r>
          </w:p>
        </w:tc>
        <w:tc>
          <w:tcPr>
            <w:tcW w:w="1067" w:type="dxa"/>
            <w:tcBorders>
              <w:top w:val="nil"/>
              <w:left w:val="nil"/>
              <w:bottom w:val="single" w:sz="4" w:space="0" w:color="auto"/>
              <w:right w:val="single" w:sz="4" w:space="0" w:color="auto"/>
            </w:tcBorders>
            <w:shd w:val="clear" w:color="000000" w:fill="FFFFFF"/>
            <w:vAlign w:val="center"/>
          </w:tcPr>
          <w:p w14:paraId="7884ED89"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103,1</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1E999BE1"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88,6</w:t>
            </w:r>
          </w:p>
        </w:tc>
        <w:tc>
          <w:tcPr>
            <w:tcW w:w="1080" w:type="dxa"/>
            <w:tcBorders>
              <w:top w:val="nil"/>
              <w:left w:val="nil"/>
              <w:bottom w:val="single" w:sz="4" w:space="0" w:color="auto"/>
              <w:right w:val="single" w:sz="4" w:space="0" w:color="auto"/>
            </w:tcBorders>
            <w:shd w:val="clear" w:color="000000" w:fill="FFFFFF"/>
            <w:vAlign w:val="center"/>
          </w:tcPr>
          <w:p w14:paraId="05FDCB00"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-22,4</w:t>
            </w:r>
          </w:p>
        </w:tc>
        <w:tc>
          <w:tcPr>
            <w:tcW w:w="1025" w:type="dxa"/>
            <w:tcBorders>
              <w:top w:val="nil"/>
              <w:left w:val="nil"/>
              <w:bottom w:val="single" w:sz="4" w:space="0" w:color="auto"/>
              <w:right w:val="single" w:sz="4" w:space="0" w:color="auto"/>
            </w:tcBorders>
            <w:shd w:val="clear" w:color="000000" w:fill="FFFFFF"/>
            <w:vAlign w:val="center"/>
          </w:tcPr>
          <w:p w14:paraId="746184AE"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-14,5</w:t>
            </w:r>
          </w:p>
        </w:tc>
      </w:tr>
      <w:tr w:rsidR="006762BB" w:rsidRPr="000C5E87" w14:paraId="29BD4611" w14:textId="77777777" w:rsidTr="00545B6E">
        <w:trPr>
          <w:trHeight w:val="313"/>
        </w:trPr>
        <w:tc>
          <w:tcPr>
            <w:tcW w:w="2552" w:type="dxa"/>
            <w:tcBorders>
              <w:top w:val="nil"/>
              <w:left w:val="single" w:sz="4" w:space="0" w:color="auto"/>
              <w:bottom w:val="single" w:sz="4" w:space="0" w:color="auto"/>
              <w:right w:val="single" w:sz="4" w:space="0" w:color="auto"/>
            </w:tcBorders>
            <w:shd w:val="clear" w:color="000000" w:fill="FFFFFF"/>
            <w:vAlign w:val="center"/>
          </w:tcPr>
          <w:p w14:paraId="1FB8042C"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lastRenderedPageBreak/>
              <w:t>Объем выполненных работ по виду деятельности строительство</w:t>
            </w:r>
          </w:p>
        </w:tc>
        <w:tc>
          <w:tcPr>
            <w:tcW w:w="1720" w:type="dxa"/>
            <w:tcBorders>
              <w:top w:val="nil"/>
              <w:left w:val="nil"/>
              <w:bottom w:val="single" w:sz="4" w:space="0" w:color="auto"/>
              <w:right w:val="single" w:sz="4" w:space="0" w:color="auto"/>
            </w:tcBorders>
            <w:shd w:val="clear" w:color="000000" w:fill="FFFFFF"/>
            <w:vAlign w:val="center"/>
          </w:tcPr>
          <w:p w14:paraId="7184C920"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млн. рублей</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0E24B2DC"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180 977,8</w:t>
            </w:r>
          </w:p>
        </w:tc>
        <w:tc>
          <w:tcPr>
            <w:tcW w:w="1067" w:type="dxa"/>
            <w:tcBorders>
              <w:top w:val="nil"/>
              <w:left w:val="nil"/>
              <w:bottom w:val="single" w:sz="4" w:space="0" w:color="auto"/>
              <w:right w:val="single" w:sz="4" w:space="0" w:color="auto"/>
            </w:tcBorders>
            <w:shd w:val="clear" w:color="000000" w:fill="FFFFFF"/>
            <w:vAlign w:val="center"/>
          </w:tcPr>
          <w:p w14:paraId="30EE5A7E"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195 947,1</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431272EF"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189 606,8</w:t>
            </w:r>
          </w:p>
        </w:tc>
        <w:tc>
          <w:tcPr>
            <w:tcW w:w="1080" w:type="dxa"/>
            <w:tcBorders>
              <w:top w:val="nil"/>
              <w:left w:val="nil"/>
              <w:bottom w:val="single" w:sz="4" w:space="0" w:color="auto"/>
              <w:right w:val="single" w:sz="4" w:space="0" w:color="auto"/>
            </w:tcBorders>
            <w:shd w:val="clear" w:color="000000" w:fill="FFFFFF"/>
            <w:vAlign w:val="center"/>
          </w:tcPr>
          <w:p w14:paraId="35D00887"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8 629,0</w:t>
            </w:r>
          </w:p>
        </w:tc>
        <w:tc>
          <w:tcPr>
            <w:tcW w:w="1025" w:type="dxa"/>
            <w:tcBorders>
              <w:top w:val="nil"/>
              <w:left w:val="nil"/>
              <w:bottom w:val="single" w:sz="4" w:space="0" w:color="auto"/>
              <w:right w:val="single" w:sz="4" w:space="0" w:color="auto"/>
            </w:tcBorders>
            <w:shd w:val="clear" w:color="000000" w:fill="FFFFFF"/>
            <w:vAlign w:val="center"/>
          </w:tcPr>
          <w:p w14:paraId="08E3E462"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-6 340,3</w:t>
            </w:r>
          </w:p>
        </w:tc>
      </w:tr>
      <w:tr w:rsidR="006762BB" w:rsidRPr="000C5E87" w14:paraId="6F0ACF91" w14:textId="77777777" w:rsidTr="00545B6E">
        <w:trPr>
          <w:trHeight w:val="376"/>
        </w:trPr>
        <w:tc>
          <w:tcPr>
            <w:tcW w:w="2552" w:type="dxa"/>
            <w:tcBorders>
              <w:top w:val="nil"/>
              <w:left w:val="single" w:sz="4" w:space="0" w:color="auto"/>
              <w:bottom w:val="single" w:sz="4" w:space="0" w:color="auto"/>
              <w:right w:val="single" w:sz="4" w:space="0" w:color="auto"/>
            </w:tcBorders>
            <w:shd w:val="clear" w:color="000000" w:fill="FFFFFF"/>
            <w:vAlign w:val="center"/>
          </w:tcPr>
          <w:p w14:paraId="5D35B212"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6FFD49B5" w14:textId="77777777" w:rsidR="006762BB" w:rsidRPr="000C5E87" w:rsidRDefault="006762BB" w:rsidP="00545B6E">
            <w:pPr>
              <w:tabs>
                <w:tab w:val="left" w:pos="2997"/>
              </w:tabs>
              <w:spacing w:after="0" w:line="240" w:lineRule="auto"/>
              <w:ind w:left="-197" w:right="-57"/>
              <w:jc w:val="center"/>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6301978B"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99,6</w:t>
            </w:r>
          </w:p>
        </w:tc>
        <w:tc>
          <w:tcPr>
            <w:tcW w:w="1067" w:type="dxa"/>
            <w:tcBorders>
              <w:top w:val="nil"/>
              <w:left w:val="nil"/>
              <w:bottom w:val="single" w:sz="4" w:space="0" w:color="auto"/>
              <w:right w:val="single" w:sz="4" w:space="0" w:color="auto"/>
            </w:tcBorders>
            <w:shd w:val="clear" w:color="000000" w:fill="FFFFFF"/>
            <w:vAlign w:val="center"/>
          </w:tcPr>
          <w:p w14:paraId="4F1F93D3"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101,5</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0976E7D0"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102,0</w:t>
            </w:r>
          </w:p>
        </w:tc>
        <w:tc>
          <w:tcPr>
            <w:tcW w:w="1080" w:type="dxa"/>
            <w:tcBorders>
              <w:top w:val="nil"/>
              <w:left w:val="nil"/>
              <w:bottom w:val="single" w:sz="4" w:space="0" w:color="auto"/>
              <w:right w:val="single" w:sz="4" w:space="0" w:color="auto"/>
            </w:tcBorders>
            <w:shd w:val="clear" w:color="000000" w:fill="FFFFFF"/>
            <w:vAlign w:val="center"/>
          </w:tcPr>
          <w:p w14:paraId="31A7C817"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2,4</w:t>
            </w:r>
          </w:p>
        </w:tc>
        <w:tc>
          <w:tcPr>
            <w:tcW w:w="1025" w:type="dxa"/>
            <w:tcBorders>
              <w:top w:val="nil"/>
              <w:left w:val="nil"/>
              <w:bottom w:val="single" w:sz="4" w:space="0" w:color="auto"/>
              <w:right w:val="single" w:sz="4" w:space="0" w:color="auto"/>
            </w:tcBorders>
            <w:shd w:val="clear" w:color="000000" w:fill="FFFFFF"/>
            <w:vAlign w:val="center"/>
          </w:tcPr>
          <w:p w14:paraId="0CB3F6AC"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0,5</w:t>
            </w:r>
          </w:p>
        </w:tc>
      </w:tr>
      <w:tr w:rsidR="006762BB" w:rsidRPr="000C5E87" w14:paraId="161F1D17" w14:textId="77777777" w:rsidTr="00545B6E">
        <w:trPr>
          <w:trHeight w:val="300"/>
        </w:trPr>
        <w:tc>
          <w:tcPr>
            <w:tcW w:w="2552" w:type="dxa"/>
            <w:tcBorders>
              <w:top w:val="nil"/>
              <w:left w:val="single" w:sz="4" w:space="0" w:color="auto"/>
              <w:bottom w:val="single" w:sz="4" w:space="0" w:color="auto"/>
              <w:right w:val="single" w:sz="4" w:space="0" w:color="auto"/>
            </w:tcBorders>
            <w:shd w:val="clear" w:color="000000" w:fill="FFFFFF"/>
            <w:vAlign w:val="center"/>
          </w:tcPr>
          <w:p w14:paraId="0CC9D887"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Оборот розничной тор</w:t>
            </w:r>
            <w:r w:rsidRPr="000C5E87">
              <w:rPr>
                <w:rFonts w:ascii="Times New Roman" w:hAnsi="Times New Roman"/>
                <w:color w:val="000000"/>
                <w:sz w:val="20"/>
                <w:szCs w:val="20"/>
                <w:lang w:eastAsia="ru-RU"/>
              </w:rPr>
              <w:softHyphen/>
              <w:t>говли</w:t>
            </w:r>
          </w:p>
        </w:tc>
        <w:tc>
          <w:tcPr>
            <w:tcW w:w="1720" w:type="dxa"/>
            <w:tcBorders>
              <w:top w:val="nil"/>
              <w:left w:val="nil"/>
              <w:bottom w:val="single" w:sz="4" w:space="0" w:color="auto"/>
              <w:right w:val="single" w:sz="4" w:space="0" w:color="auto"/>
            </w:tcBorders>
            <w:shd w:val="clear" w:color="000000" w:fill="FFFFFF"/>
            <w:vAlign w:val="center"/>
          </w:tcPr>
          <w:p w14:paraId="3684676B"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млн. рублей</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10804C71"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587 964,2</w:t>
            </w:r>
          </w:p>
        </w:tc>
        <w:tc>
          <w:tcPr>
            <w:tcW w:w="1067" w:type="dxa"/>
            <w:tcBorders>
              <w:top w:val="nil"/>
              <w:left w:val="nil"/>
              <w:bottom w:val="single" w:sz="4" w:space="0" w:color="auto"/>
              <w:right w:val="single" w:sz="4" w:space="0" w:color="auto"/>
            </w:tcBorders>
            <w:shd w:val="clear" w:color="000000" w:fill="FFFFFF"/>
            <w:vAlign w:val="center"/>
          </w:tcPr>
          <w:p w14:paraId="250132FD"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621 805,1</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3A0DE6A2"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657 564,5</w:t>
            </w:r>
          </w:p>
        </w:tc>
        <w:tc>
          <w:tcPr>
            <w:tcW w:w="1080" w:type="dxa"/>
            <w:tcBorders>
              <w:top w:val="nil"/>
              <w:left w:val="nil"/>
              <w:bottom w:val="single" w:sz="4" w:space="0" w:color="auto"/>
              <w:right w:val="single" w:sz="4" w:space="0" w:color="auto"/>
            </w:tcBorders>
            <w:shd w:val="clear" w:color="000000" w:fill="FFFFFF"/>
            <w:vAlign w:val="center"/>
          </w:tcPr>
          <w:p w14:paraId="42559CB5"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69 600,3</w:t>
            </w:r>
          </w:p>
        </w:tc>
        <w:tc>
          <w:tcPr>
            <w:tcW w:w="1025" w:type="dxa"/>
            <w:tcBorders>
              <w:top w:val="nil"/>
              <w:left w:val="nil"/>
              <w:bottom w:val="single" w:sz="4" w:space="0" w:color="auto"/>
              <w:right w:val="single" w:sz="4" w:space="0" w:color="auto"/>
            </w:tcBorders>
            <w:shd w:val="clear" w:color="000000" w:fill="FFFFFF"/>
            <w:vAlign w:val="center"/>
          </w:tcPr>
          <w:p w14:paraId="6969AD02"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35 759,4</w:t>
            </w:r>
          </w:p>
        </w:tc>
      </w:tr>
      <w:tr w:rsidR="006762BB" w:rsidRPr="000C5E87" w14:paraId="1B5DEDF8" w14:textId="77777777" w:rsidTr="00545B6E">
        <w:trPr>
          <w:trHeight w:val="230"/>
        </w:trPr>
        <w:tc>
          <w:tcPr>
            <w:tcW w:w="2552" w:type="dxa"/>
            <w:tcBorders>
              <w:top w:val="nil"/>
              <w:left w:val="single" w:sz="4" w:space="0" w:color="auto"/>
              <w:bottom w:val="single" w:sz="4" w:space="0" w:color="auto"/>
              <w:right w:val="single" w:sz="4" w:space="0" w:color="auto"/>
            </w:tcBorders>
            <w:shd w:val="clear" w:color="000000" w:fill="FFFFFF"/>
            <w:vAlign w:val="center"/>
          </w:tcPr>
          <w:p w14:paraId="42ABBC65"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51673BA4" w14:textId="77777777" w:rsidR="006762BB" w:rsidRPr="000C5E87" w:rsidRDefault="006762BB" w:rsidP="00545B6E">
            <w:pPr>
              <w:tabs>
                <w:tab w:val="left" w:pos="2997"/>
              </w:tabs>
              <w:spacing w:after="0" w:line="240" w:lineRule="auto"/>
              <w:ind w:left="-197" w:right="-57"/>
              <w:jc w:val="center"/>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0067F154"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94,4</w:t>
            </w:r>
          </w:p>
        </w:tc>
        <w:tc>
          <w:tcPr>
            <w:tcW w:w="1067" w:type="dxa"/>
            <w:tcBorders>
              <w:top w:val="nil"/>
              <w:left w:val="nil"/>
              <w:bottom w:val="single" w:sz="4" w:space="0" w:color="auto"/>
              <w:right w:val="single" w:sz="4" w:space="0" w:color="auto"/>
            </w:tcBorders>
            <w:shd w:val="clear" w:color="000000" w:fill="FFFFFF"/>
            <w:vAlign w:val="center"/>
          </w:tcPr>
          <w:p w14:paraId="2EA1C276"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101,5</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0EAE0363"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101,0</w:t>
            </w:r>
          </w:p>
        </w:tc>
        <w:tc>
          <w:tcPr>
            <w:tcW w:w="1080" w:type="dxa"/>
            <w:tcBorders>
              <w:top w:val="nil"/>
              <w:left w:val="nil"/>
              <w:bottom w:val="single" w:sz="4" w:space="0" w:color="auto"/>
              <w:right w:val="single" w:sz="4" w:space="0" w:color="auto"/>
            </w:tcBorders>
            <w:shd w:val="clear" w:color="000000" w:fill="FFFFFF"/>
            <w:vAlign w:val="center"/>
          </w:tcPr>
          <w:p w14:paraId="44C498A6"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6,6</w:t>
            </w:r>
          </w:p>
        </w:tc>
        <w:tc>
          <w:tcPr>
            <w:tcW w:w="1025" w:type="dxa"/>
            <w:tcBorders>
              <w:top w:val="nil"/>
              <w:left w:val="nil"/>
              <w:bottom w:val="single" w:sz="4" w:space="0" w:color="auto"/>
              <w:right w:val="single" w:sz="4" w:space="0" w:color="auto"/>
            </w:tcBorders>
            <w:shd w:val="clear" w:color="000000" w:fill="FFFFFF"/>
            <w:vAlign w:val="center"/>
          </w:tcPr>
          <w:p w14:paraId="4520EE2C"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-0,5</w:t>
            </w:r>
          </w:p>
        </w:tc>
      </w:tr>
      <w:tr w:rsidR="006762BB" w:rsidRPr="000C5E87" w14:paraId="1B367674" w14:textId="77777777" w:rsidTr="00545B6E">
        <w:trPr>
          <w:trHeight w:val="300"/>
        </w:trPr>
        <w:tc>
          <w:tcPr>
            <w:tcW w:w="2552" w:type="dxa"/>
            <w:tcBorders>
              <w:top w:val="nil"/>
              <w:left w:val="single" w:sz="4" w:space="0" w:color="auto"/>
              <w:bottom w:val="single" w:sz="4" w:space="0" w:color="auto"/>
              <w:right w:val="single" w:sz="4" w:space="0" w:color="auto"/>
            </w:tcBorders>
            <w:shd w:val="clear" w:color="000000" w:fill="FFFFFF"/>
            <w:vAlign w:val="center"/>
          </w:tcPr>
          <w:p w14:paraId="7D7F10B7"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Объем платных услуг</w:t>
            </w:r>
          </w:p>
        </w:tc>
        <w:tc>
          <w:tcPr>
            <w:tcW w:w="1720" w:type="dxa"/>
            <w:tcBorders>
              <w:top w:val="nil"/>
              <w:left w:val="nil"/>
              <w:bottom w:val="single" w:sz="4" w:space="0" w:color="auto"/>
              <w:right w:val="single" w:sz="4" w:space="0" w:color="auto"/>
            </w:tcBorders>
            <w:shd w:val="clear" w:color="000000" w:fill="FFFFFF"/>
            <w:vAlign w:val="center"/>
          </w:tcPr>
          <w:p w14:paraId="0EB14394"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млн. рублей</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417A4B6C"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123 400,9</w:t>
            </w:r>
          </w:p>
        </w:tc>
        <w:tc>
          <w:tcPr>
            <w:tcW w:w="1067" w:type="dxa"/>
            <w:tcBorders>
              <w:top w:val="nil"/>
              <w:left w:val="nil"/>
              <w:bottom w:val="single" w:sz="4" w:space="0" w:color="auto"/>
              <w:right w:val="single" w:sz="4" w:space="0" w:color="auto"/>
            </w:tcBorders>
            <w:shd w:val="clear" w:color="000000" w:fill="FFFFFF"/>
            <w:vAlign w:val="center"/>
          </w:tcPr>
          <w:p w14:paraId="0BAC5317"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131 281,9</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6CFC5F90"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145 986,8</w:t>
            </w:r>
          </w:p>
        </w:tc>
        <w:tc>
          <w:tcPr>
            <w:tcW w:w="1080" w:type="dxa"/>
            <w:tcBorders>
              <w:top w:val="nil"/>
              <w:left w:val="nil"/>
              <w:bottom w:val="single" w:sz="4" w:space="0" w:color="auto"/>
              <w:right w:val="single" w:sz="4" w:space="0" w:color="auto"/>
            </w:tcBorders>
            <w:shd w:val="clear" w:color="000000" w:fill="FFFFFF"/>
            <w:vAlign w:val="center"/>
          </w:tcPr>
          <w:p w14:paraId="28EAF8B9"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22 585,9</w:t>
            </w:r>
          </w:p>
        </w:tc>
        <w:tc>
          <w:tcPr>
            <w:tcW w:w="1025" w:type="dxa"/>
            <w:tcBorders>
              <w:top w:val="nil"/>
              <w:left w:val="nil"/>
              <w:bottom w:val="single" w:sz="4" w:space="0" w:color="auto"/>
              <w:right w:val="single" w:sz="4" w:space="0" w:color="auto"/>
            </w:tcBorders>
            <w:shd w:val="clear" w:color="000000" w:fill="FFFFFF"/>
            <w:vAlign w:val="center"/>
          </w:tcPr>
          <w:p w14:paraId="595489C7"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14 704,9</w:t>
            </w:r>
          </w:p>
        </w:tc>
      </w:tr>
      <w:tr w:rsidR="006762BB" w:rsidRPr="000C5E87" w14:paraId="1D98C059" w14:textId="77777777" w:rsidTr="00545B6E">
        <w:trPr>
          <w:trHeight w:val="253"/>
        </w:trPr>
        <w:tc>
          <w:tcPr>
            <w:tcW w:w="2552" w:type="dxa"/>
            <w:tcBorders>
              <w:top w:val="nil"/>
              <w:left w:val="single" w:sz="4" w:space="0" w:color="auto"/>
              <w:bottom w:val="single" w:sz="4" w:space="0" w:color="auto"/>
              <w:right w:val="single" w:sz="4" w:space="0" w:color="auto"/>
            </w:tcBorders>
            <w:shd w:val="clear" w:color="000000" w:fill="FFFFFF"/>
            <w:vAlign w:val="center"/>
          </w:tcPr>
          <w:p w14:paraId="136B0DD8"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0CFED8CF" w14:textId="77777777" w:rsidR="006762BB" w:rsidRPr="000C5E87" w:rsidRDefault="006762BB" w:rsidP="00545B6E">
            <w:pPr>
              <w:tabs>
                <w:tab w:val="left" w:pos="2997"/>
              </w:tabs>
              <w:spacing w:after="0" w:line="240" w:lineRule="auto"/>
              <w:ind w:left="-197" w:right="-57"/>
              <w:jc w:val="center"/>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27D03FAA"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89,2</w:t>
            </w:r>
          </w:p>
        </w:tc>
        <w:tc>
          <w:tcPr>
            <w:tcW w:w="1067" w:type="dxa"/>
            <w:tcBorders>
              <w:top w:val="nil"/>
              <w:left w:val="nil"/>
              <w:bottom w:val="single" w:sz="4" w:space="0" w:color="auto"/>
              <w:right w:val="single" w:sz="4" w:space="0" w:color="auto"/>
            </w:tcBorders>
            <w:shd w:val="clear" w:color="000000" w:fill="FFFFFF"/>
            <w:vAlign w:val="center"/>
          </w:tcPr>
          <w:p w14:paraId="7B2714A7"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102,8</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255037D7"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116,6</w:t>
            </w:r>
          </w:p>
        </w:tc>
        <w:tc>
          <w:tcPr>
            <w:tcW w:w="1080" w:type="dxa"/>
            <w:tcBorders>
              <w:top w:val="nil"/>
              <w:left w:val="nil"/>
              <w:bottom w:val="single" w:sz="4" w:space="0" w:color="auto"/>
              <w:right w:val="single" w:sz="4" w:space="0" w:color="auto"/>
            </w:tcBorders>
            <w:shd w:val="clear" w:color="000000" w:fill="FFFFFF"/>
            <w:vAlign w:val="center"/>
          </w:tcPr>
          <w:p w14:paraId="117AFF9C"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27,4</w:t>
            </w:r>
          </w:p>
        </w:tc>
        <w:tc>
          <w:tcPr>
            <w:tcW w:w="1025" w:type="dxa"/>
            <w:tcBorders>
              <w:top w:val="nil"/>
              <w:left w:val="nil"/>
              <w:bottom w:val="single" w:sz="4" w:space="0" w:color="auto"/>
              <w:right w:val="single" w:sz="4" w:space="0" w:color="auto"/>
            </w:tcBorders>
            <w:shd w:val="clear" w:color="000000" w:fill="FFFFFF"/>
            <w:vAlign w:val="center"/>
          </w:tcPr>
          <w:p w14:paraId="36ACC89B"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13,8</w:t>
            </w:r>
          </w:p>
        </w:tc>
      </w:tr>
      <w:tr w:rsidR="006762BB" w:rsidRPr="000C5E87" w14:paraId="41616D00" w14:textId="77777777" w:rsidTr="00545B6E">
        <w:trPr>
          <w:trHeight w:val="443"/>
        </w:trPr>
        <w:tc>
          <w:tcPr>
            <w:tcW w:w="2552" w:type="dxa"/>
            <w:tcBorders>
              <w:top w:val="nil"/>
              <w:left w:val="single" w:sz="4" w:space="0" w:color="auto"/>
              <w:bottom w:val="single" w:sz="4" w:space="0" w:color="auto"/>
              <w:right w:val="single" w:sz="4" w:space="0" w:color="auto"/>
            </w:tcBorders>
            <w:shd w:val="clear" w:color="000000" w:fill="FFFFFF"/>
            <w:vAlign w:val="center"/>
          </w:tcPr>
          <w:p w14:paraId="0817C83D"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Среднемесячная номинально начисленная заработная плата на одного работника</w:t>
            </w:r>
          </w:p>
        </w:tc>
        <w:tc>
          <w:tcPr>
            <w:tcW w:w="1720" w:type="dxa"/>
            <w:tcBorders>
              <w:top w:val="nil"/>
              <w:left w:val="nil"/>
              <w:bottom w:val="single" w:sz="4" w:space="0" w:color="auto"/>
              <w:right w:val="single" w:sz="4" w:space="0" w:color="auto"/>
            </w:tcBorders>
            <w:shd w:val="clear" w:color="000000" w:fill="FFFFFF"/>
            <w:vAlign w:val="center"/>
          </w:tcPr>
          <w:p w14:paraId="13697E97" w14:textId="77777777" w:rsidR="006762BB" w:rsidRPr="000C5E87" w:rsidRDefault="006762BB" w:rsidP="00545B6E">
            <w:pPr>
              <w:tabs>
                <w:tab w:val="left" w:pos="2997"/>
              </w:tabs>
              <w:spacing w:after="0" w:line="240" w:lineRule="auto"/>
              <w:ind w:left="-197" w:right="-57"/>
              <w:jc w:val="center"/>
              <w:rPr>
                <w:rFonts w:ascii="Times New Roman" w:hAnsi="Times New Roman"/>
                <w:iCs/>
                <w:color w:val="000000"/>
                <w:sz w:val="20"/>
                <w:szCs w:val="20"/>
                <w:lang w:eastAsia="ru-RU"/>
              </w:rPr>
            </w:pPr>
            <w:r w:rsidRPr="000C5E87">
              <w:rPr>
                <w:rFonts w:ascii="Times New Roman" w:hAnsi="Times New Roman"/>
                <w:iCs/>
                <w:color w:val="000000"/>
                <w:sz w:val="20"/>
                <w:szCs w:val="20"/>
                <w:lang w:eastAsia="ru-RU"/>
              </w:rPr>
              <w:t>рублей</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512A23B2"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31 241,5</w:t>
            </w:r>
          </w:p>
        </w:tc>
        <w:tc>
          <w:tcPr>
            <w:tcW w:w="1067" w:type="dxa"/>
            <w:tcBorders>
              <w:top w:val="nil"/>
              <w:left w:val="nil"/>
              <w:bottom w:val="single" w:sz="4" w:space="0" w:color="auto"/>
              <w:right w:val="single" w:sz="4" w:space="0" w:color="auto"/>
            </w:tcBorders>
            <w:shd w:val="clear" w:color="000000" w:fill="FFFFFF"/>
            <w:vAlign w:val="center"/>
          </w:tcPr>
          <w:p w14:paraId="58A85062"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31 832,6</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4C20AEF2"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32 116,7</w:t>
            </w:r>
          </w:p>
        </w:tc>
        <w:tc>
          <w:tcPr>
            <w:tcW w:w="1080" w:type="dxa"/>
            <w:tcBorders>
              <w:top w:val="nil"/>
              <w:left w:val="nil"/>
              <w:bottom w:val="single" w:sz="4" w:space="0" w:color="auto"/>
              <w:right w:val="single" w:sz="4" w:space="0" w:color="auto"/>
            </w:tcBorders>
            <w:shd w:val="clear" w:color="000000" w:fill="FFFFFF"/>
            <w:vAlign w:val="center"/>
          </w:tcPr>
          <w:p w14:paraId="1CE4509C"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875,2</w:t>
            </w:r>
          </w:p>
        </w:tc>
        <w:tc>
          <w:tcPr>
            <w:tcW w:w="1025" w:type="dxa"/>
            <w:tcBorders>
              <w:top w:val="nil"/>
              <w:left w:val="nil"/>
              <w:bottom w:val="single" w:sz="4" w:space="0" w:color="auto"/>
              <w:right w:val="single" w:sz="4" w:space="0" w:color="auto"/>
            </w:tcBorders>
            <w:shd w:val="clear" w:color="000000" w:fill="FFFFFF"/>
            <w:vAlign w:val="center"/>
          </w:tcPr>
          <w:p w14:paraId="7DF52A37"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284,1</w:t>
            </w:r>
          </w:p>
        </w:tc>
      </w:tr>
      <w:tr w:rsidR="006762BB" w:rsidRPr="000C5E87" w14:paraId="06A5C22F" w14:textId="77777777" w:rsidTr="00545B6E">
        <w:trPr>
          <w:trHeight w:val="137"/>
        </w:trPr>
        <w:tc>
          <w:tcPr>
            <w:tcW w:w="2552" w:type="dxa"/>
            <w:tcBorders>
              <w:top w:val="nil"/>
              <w:left w:val="single" w:sz="4" w:space="0" w:color="auto"/>
              <w:bottom w:val="single" w:sz="4" w:space="0" w:color="auto"/>
              <w:right w:val="single" w:sz="4" w:space="0" w:color="auto"/>
            </w:tcBorders>
            <w:shd w:val="clear" w:color="000000" w:fill="FFFFFF"/>
            <w:vAlign w:val="center"/>
          </w:tcPr>
          <w:p w14:paraId="519F7DED" w14:textId="77777777" w:rsidR="006762BB" w:rsidRPr="000C5E87" w:rsidRDefault="006762BB" w:rsidP="00545B6E">
            <w:pPr>
              <w:tabs>
                <w:tab w:val="left" w:pos="3011"/>
              </w:tabs>
              <w:spacing w:after="0" w:line="240" w:lineRule="auto"/>
              <w:ind w:hanging="3"/>
              <w:jc w:val="right"/>
              <w:rPr>
                <w:rFonts w:ascii="Times New Roman" w:hAnsi="Times New Roman"/>
                <w:i/>
                <w:iCs/>
                <w:color w:val="000000"/>
                <w:sz w:val="20"/>
                <w:szCs w:val="20"/>
                <w:lang w:eastAsia="ru-RU"/>
              </w:rPr>
            </w:pPr>
            <w:r w:rsidRPr="000C5E87">
              <w:rPr>
                <w:rFonts w:ascii="Times New Roman" w:hAnsi="Times New Roman"/>
                <w:i/>
                <w:iCs/>
                <w:color w:val="000000"/>
                <w:sz w:val="20"/>
                <w:szCs w:val="20"/>
                <w:lang w:eastAsia="ru-RU"/>
              </w:rPr>
              <w:t>темп роста</w:t>
            </w:r>
          </w:p>
        </w:tc>
        <w:tc>
          <w:tcPr>
            <w:tcW w:w="1720" w:type="dxa"/>
            <w:tcBorders>
              <w:top w:val="nil"/>
              <w:left w:val="nil"/>
              <w:bottom w:val="single" w:sz="4" w:space="0" w:color="auto"/>
              <w:right w:val="single" w:sz="4" w:space="0" w:color="auto"/>
            </w:tcBorders>
            <w:shd w:val="clear" w:color="000000" w:fill="FFFFFF"/>
            <w:vAlign w:val="center"/>
          </w:tcPr>
          <w:p w14:paraId="6EAEE0A2" w14:textId="77777777" w:rsidR="006762BB" w:rsidRPr="000C5E87" w:rsidRDefault="006762BB" w:rsidP="00545B6E">
            <w:pPr>
              <w:tabs>
                <w:tab w:val="left" w:pos="2997"/>
              </w:tabs>
              <w:spacing w:after="0" w:line="240" w:lineRule="auto"/>
              <w:ind w:left="-197" w:right="-57"/>
              <w:jc w:val="center"/>
              <w:rPr>
                <w:rFonts w:ascii="Times New Roman" w:hAnsi="Times New Roman"/>
                <w:iCs/>
                <w:color w:val="000000"/>
                <w:sz w:val="20"/>
                <w:szCs w:val="20"/>
                <w:lang w:eastAsia="ru-RU"/>
              </w:rPr>
            </w:pPr>
            <w:r w:rsidRPr="000C5E87">
              <w:rPr>
                <w:rFonts w:ascii="Times New Roman" w:hAnsi="Times New Roman"/>
                <w:iCs/>
                <w:color w:val="000000"/>
                <w:sz w:val="20"/>
                <w:szCs w:val="20"/>
                <w:lang w:eastAsia="ru-RU"/>
              </w:rPr>
              <w:t>% к 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45ECAA80"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116,8</w:t>
            </w:r>
          </w:p>
        </w:tc>
        <w:tc>
          <w:tcPr>
            <w:tcW w:w="1067" w:type="dxa"/>
            <w:tcBorders>
              <w:top w:val="nil"/>
              <w:left w:val="nil"/>
              <w:bottom w:val="single" w:sz="4" w:space="0" w:color="auto"/>
              <w:right w:val="single" w:sz="4" w:space="0" w:color="auto"/>
            </w:tcBorders>
            <w:shd w:val="clear" w:color="000000" w:fill="FFFFFF"/>
            <w:vAlign w:val="center"/>
          </w:tcPr>
          <w:p w14:paraId="2355CFE3"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107,9</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2E14F3B5"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106,7</w:t>
            </w:r>
          </w:p>
        </w:tc>
        <w:tc>
          <w:tcPr>
            <w:tcW w:w="1080" w:type="dxa"/>
            <w:tcBorders>
              <w:top w:val="nil"/>
              <w:left w:val="nil"/>
              <w:bottom w:val="single" w:sz="4" w:space="0" w:color="auto"/>
              <w:right w:val="single" w:sz="4" w:space="0" w:color="auto"/>
            </w:tcBorders>
            <w:shd w:val="clear" w:color="000000" w:fill="FFFFFF"/>
            <w:vAlign w:val="center"/>
          </w:tcPr>
          <w:p w14:paraId="74D64217"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-10,1</w:t>
            </w:r>
          </w:p>
        </w:tc>
        <w:tc>
          <w:tcPr>
            <w:tcW w:w="1025" w:type="dxa"/>
            <w:tcBorders>
              <w:top w:val="nil"/>
              <w:left w:val="nil"/>
              <w:bottom w:val="single" w:sz="4" w:space="0" w:color="auto"/>
              <w:right w:val="single" w:sz="4" w:space="0" w:color="auto"/>
            </w:tcBorders>
            <w:shd w:val="clear" w:color="000000" w:fill="FFFFFF"/>
            <w:vAlign w:val="center"/>
          </w:tcPr>
          <w:p w14:paraId="5AB2564E"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-1,2</w:t>
            </w:r>
          </w:p>
        </w:tc>
      </w:tr>
      <w:tr w:rsidR="006762BB" w:rsidRPr="000C5E87" w14:paraId="6E434931" w14:textId="77777777" w:rsidTr="00545B6E">
        <w:trPr>
          <w:trHeight w:val="327"/>
        </w:trPr>
        <w:tc>
          <w:tcPr>
            <w:tcW w:w="2552" w:type="dxa"/>
            <w:tcBorders>
              <w:top w:val="nil"/>
              <w:left w:val="single" w:sz="4" w:space="0" w:color="auto"/>
              <w:bottom w:val="single" w:sz="4" w:space="0" w:color="auto"/>
              <w:right w:val="single" w:sz="4" w:space="0" w:color="auto"/>
            </w:tcBorders>
            <w:shd w:val="clear" w:color="000000" w:fill="FFFFFF"/>
            <w:vAlign w:val="center"/>
          </w:tcPr>
          <w:p w14:paraId="2017425E" w14:textId="77777777" w:rsidR="006762BB" w:rsidRPr="000C5E87" w:rsidRDefault="006762BB" w:rsidP="00545B6E">
            <w:pPr>
              <w:tabs>
                <w:tab w:val="left" w:pos="3011"/>
              </w:tabs>
              <w:spacing w:after="0" w:line="240" w:lineRule="auto"/>
              <w:ind w:hanging="3"/>
              <w:rPr>
                <w:rFonts w:ascii="Times New Roman" w:hAnsi="Times New Roman"/>
                <w:color w:val="000000"/>
                <w:sz w:val="20"/>
                <w:szCs w:val="20"/>
                <w:lang w:eastAsia="ru-RU"/>
              </w:rPr>
            </w:pPr>
            <w:r w:rsidRPr="000C5E87">
              <w:rPr>
                <w:rFonts w:ascii="Times New Roman" w:hAnsi="Times New Roman"/>
                <w:color w:val="000000"/>
                <w:sz w:val="20"/>
                <w:szCs w:val="20"/>
                <w:lang w:eastAsia="ru-RU"/>
              </w:rPr>
              <w:t>Реальные располагаемые денежные доходы населения</w:t>
            </w:r>
          </w:p>
        </w:tc>
        <w:tc>
          <w:tcPr>
            <w:tcW w:w="1720" w:type="dxa"/>
            <w:tcBorders>
              <w:top w:val="nil"/>
              <w:left w:val="nil"/>
              <w:bottom w:val="single" w:sz="4" w:space="0" w:color="auto"/>
              <w:right w:val="single" w:sz="4" w:space="0" w:color="auto"/>
            </w:tcBorders>
            <w:shd w:val="clear" w:color="000000" w:fill="FFFFFF"/>
            <w:vAlign w:val="center"/>
          </w:tcPr>
          <w:p w14:paraId="3759D9F4" w14:textId="77777777" w:rsidR="006762BB" w:rsidRPr="000C5E87" w:rsidRDefault="006762BB" w:rsidP="00545B6E">
            <w:pPr>
              <w:tabs>
                <w:tab w:val="left" w:pos="2997"/>
              </w:tabs>
              <w:spacing w:after="0" w:line="240" w:lineRule="auto"/>
              <w:ind w:left="-197" w:right="-57"/>
              <w:jc w:val="center"/>
              <w:rPr>
                <w:rFonts w:ascii="Times New Roman" w:hAnsi="Times New Roman"/>
                <w:iCs/>
                <w:color w:val="000000"/>
                <w:sz w:val="20"/>
                <w:szCs w:val="20"/>
                <w:lang w:eastAsia="ru-RU"/>
              </w:rPr>
            </w:pPr>
            <w:r w:rsidRPr="000C5E87">
              <w:rPr>
                <w:rFonts w:ascii="Times New Roman" w:hAnsi="Times New Roman"/>
                <w:iCs/>
                <w:color w:val="000000"/>
                <w:sz w:val="20"/>
                <w:szCs w:val="20"/>
                <w:lang w:eastAsia="ru-RU"/>
              </w:rPr>
              <w:t>% к предыдущему году</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0D0B3C43"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97,2</w:t>
            </w:r>
          </w:p>
        </w:tc>
        <w:tc>
          <w:tcPr>
            <w:tcW w:w="1067" w:type="dxa"/>
            <w:tcBorders>
              <w:top w:val="nil"/>
              <w:left w:val="nil"/>
              <w:bottom w:val="single" w:sz="4" w:space="0" w:color="auto"/>
              <w:right w:val="single" w:sz="4" w:space="0" w:color="auto"/>
            </w:tcBorders>
            <w:shd w:val="clear" w:color="000000" w:fill="FFFFFF"/>
            <w:vAlign w:val="center"/>
          </w:tcPr>
          <w:p w14:paraId="031388EC"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104,1</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1F786A27"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100,0</w:t>
            </w:r>
          </w:p>
        </w:tc>
        <w:tc>
          <w:tcPr>
            <w:tcW w:w="1080" w:type="dxa"/>
            <w:tcBorders>
              <w:top w:val="nil"/>
              <w:left w:val="nil"/>
              <w:bottom w:val="single" w:sz="4" w:space="0" w:color="auto"/>
              <w:right w:val="single" w:sz="4" w:space="0" w:color="auto"/>
            </w:tcBorders>
            <w:shd w:val="clear" w:color="000000" w:fill="FFFFFF"/>
            <w:vAlign w:val="center"/>
          </w:tcPr>
          <w:p w14:paraId="698D1849"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2,8</w:t>
            </w:r>
          </w:p>
        </w:tc>
        <w:tc>
          <w:tcPr>
            <w:tcW w:w="1025" w:type="dxa"/>
            <w:tcBorders>
              <w:top w:val="nil"/>
              <w:left w:val="nil"/>
              <w:bottom w:val="single" w:sz="4" w:space="0" w:color="auto"/>
              <w:right w:val="single" w:sz="4" w:space="0" w:color="auto"/>
            </w:tcBorders>
            <w:shd w:val="clear" w:color="000000" w:fill="FFFFFF"/>
            <w:vAlign w:val="center"/>
          </w:tcPr>
          <w:p w14:paraId="64E98940"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-4,1</w:t>
            </w:r>
          </w:p>
        </w:tc>
      </w:tr>
      <w:tr w:rsidR="006762BB" w:rsidRPr="000C5E87" w14:paraId="55DC27B1" w14:textId="77777777" w:rsidTr="00545B6E">
        <w:trPr>
          <w:trHeight w:val="234"/>
        </w:trPr>
        <w:tc>
          <w:tcPr>
            <w:tcW w:w="2552" w:type="dxa"/>
            <w:tcBorders>
              <w:top w:val="nil"/>
              <w:left w:val="single" w:sz="4" w:space="0" w:color="auto"/>
              <w:bottom w:val="single" w:sz="4" w:space="0" w:color="auto"/>
              <w:right w:val="single" w:sz="4" w:space="0" w:color="auto"/>
            </w:tcBorders>
            <w:shd w:val="clear" w:color="000000" w:fill="FFFFFF"/>
            <w:vAlign w:val="center"/>
          </w:tcPr>
          <w:p w14:paraId="265BE10D" w14:textId="77777777" w:rsidR="006762BB" w:rsidRPr="000C5E87" w:rsidRDefault="006762BB" w:rsidP="00545B6E">
            <w:pPr>
              <w:tabs>
                <w:tab w:val="left" w:pos="3011"/>
              </w:tabs>
              <w:spacing w:after="0" w:line="240" w:lineRule="auto"/>
              <w:ind w:hanging="3"/>
              <w:jc w:val="both"/>
              <w:rPr>
                <w:rFonts w:ascii="Times New Roman" w:hAnsi="Times New Roman"/>
                <w:color w:val="000000"/>
                <w:sz w:val="20"/>
                <w:szCs w:val="20"/>
                <w:lang w:eastAsia="ru-RU"/>
              </w:rPr>
            </w:pPr>
            <w:r w:rsidRPr="000C5E87">
              <w:rPr>
                <w:rFonts w:ascii="Times New Roman" w:hAnsi="Times New Roman"/>
                <w:color w:val="000000"/>
                <w:sz w:val="20"/>
                <w:szCs w:val="20"/>
                <w:lang w:eastAsia="ru-RU"/>
              </w:rPr>
              <w:t>Численность зарегистрированных безработных</w:t>
            </w:r>
          </w:p>
        </w:tc>
        <w:tc>
          <w:tcPr>
            <w:tcW w:w="1720" w:type="dxa"/>
            <w:tcBorders>
              <w:top w:val="nil"/>
              <w:left w:val="nil"/>
              <w:bottom w:val="single" w:sz="4" w:space="0" w:color="auto"/>
              <w:right w:val="single" w:sz="4" w:space="0" w:color="auto"/>
            </w:tcBorders>
            <w:shd w:val="clear" w:color="000000" w:fill="FFFFFF"/>
            <w:vAlign w:val="center"/>
          </w:tcPr>
          <w:p w14:paraId="2DD57A21" w14:textId="77777777" w:rsidR="006762BB" w:rsidRPr="000C5E87" w:rsidRDefault="006762BB" w:rsidP="00545B6E">
            <w:pPr>
              <w:tabs>
                <w:tab w:val="left" w:pos="2997"/>
              </w:tabs>
              <w:spacing w:after="0" w:line="240" w:lineRule="auto"/>
              <w:ind w:left="-197" w:right="-57"/>
              <w:jc w:val="center"/>
              <w:rPr>
                <w:rFonts w:ascii="Times New Roman" w:hAnsi="Times New Roman"/>
                <w:color w:val="000000"/>
                <w:sz w:val="20"/>
                <w:szCs w:val="20"/>
                <w:lang w:eastAsia="ru-RU"/>
              </w:rPr>
            </w:pPr>
            <w:r w:rsidRPr="000C5E87">
              <w:rPr>
                <w:rFonts w:ascii="Times New Roman" w:hAnsi="Times New Roman"/>
                <w:color w:val="000000"/>
                <w:sz w:val="20"/>
                <w:szCs w:val="20"/>
                <w:lang w:eastAsia="ru-RU"/>
              </w:rPr>
              <w:t>тыс. чел.</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71BB059F"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106,4</w:t>
            </w:r>
          </w:p>
        </w:tc>
        <w:tc>
          <w:tcPr>
            <w:tcW w:w="1067" w:type="dxa"/>
            <w:tcBorders>
              <w:top w:val="nil"/>
              <w:left w:val="nil"/>
              <w:bottom w:val="single" w:sz="4" w:space="0" w:color="auto"/>
              <w:right w:val="single" w:sz="4" w:space="0" w:color="auto"/>
            </w:tcBorders>
            <w:shd w:val="clear" w:color="000000" w:fill="FFFFFF"/>
            <w:vAlign w:val="center"/>
          </w:tcPr>
          <w:p w14:paraId="2ED3A976"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47,6</w:t>
            </w:r>
          </w:p>
        </w:tc>
        <w:tc>
          <w:tcPr>
            <w:tcW w:w="1080" w:type="dxa"/>
            <w:tcBorders>
              <w:top w:val="single" w:sz="4" w:space="0" w:color="auto"/>
              <w:left w:val="nil"/>
              <w:bottom w:val="single" w:sz="4" w:space="0" w:color="auto"/>
              <w:right w:val="single" w:sz="4" w:space="0" w:color="auto"/>
            </w:tcBorders>
            <w:shd w:val="clear" w:color="auto" w:fill="F3F3F3"/>
            <w:vAlign w:val="center"/>
          </w:tcPr>
          <w:p w14:paraId="0918E1B9" w14:textId="77777777" w:rsidR="006762BB" w:rsidRPr="000C5E87" w:rsidRDefault="006762BB" w:rsidP="00545B6E">
            <w:pPr>
              <w:tabs>
                <w:tab w:val="left" w:pos="2997"/>
              </w:tabs>
              <w:spacing w:after="0" w:line="240" w:lineRule="auto"/>
              <w:ind w:left="-197" w:right="-57"/>
              <w:jc w:val="right"/>
              <w:rPr>
                <w:rFonts w:ascii="Times New Roman" w:hAnsi="Times New Roman"/>
                <w:color w:val="000000"/>
                <w:sz w:val="20"/>
                <w:szCs w:val="20"/>
                <w:lang w:eastAsia="ru-RU"/>
              </w:rPr>
            </w:pPr>
            <w:r w:rsidRPr="000C5E87">
              <w:rPr>
                <w:rFonts w:ascii="Times New Roman" w:hAnsi="Times New Roman"/>
                <w:color w:val="000000"/>
                <w:sz w:val="20"/>
                <w:szCs w:val="20"/>
                <w:lang w:eastAsia="ru-RU"/>
              </w:rPr>
              <w:t>32,0</w:t>
            </w:r>
          </w:p>
        </w:tc>
        <w:tc>
          <w:tcPr>
            <w:tcW w:w="1080" w:type="dxa"/>
            <w:tcBorders>
              <w:top w:val="nil"/>
              <w:left w:val="nil"/>
              <w:bottom w:val="single" w:sz="4" w:space="0" w:color="auto"/>
              <w:right w:val="single" w:sz="4" w:space="0" w:color="auto"/>
            </w:tcBorders>
            <w:shd w:val="clear" w:color="000000" w:fill="FFFFFF"/>
            <w:vAlign w:val="center"/>
          </w:tcPr>
          <w:p w14:paraId="1A981F1F"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-74,4</w:t>
            </w:r>
          </w:p>
        </w:tc>
        <w:tc>
          <w:tcPr>
            <w:tcW w:w="1025" w:type="dxa"/>
            <w:tcBorders>
              <w:top w:val="nil"/>
              <w:left w:val="nil"/>
              <w:bottom w:val="single" w:sz="4" w:space="0" w:color="auto"/>
              <w:right w:val="single" w:sz="4" w:space="0" w:color="auto"/>
            </w:tcBorders>
            <w:shd w:val="clear" w:color="000000" w:fill="FFFFFF"/>
            <w:vAlign w:val="center"/>
          </w:tcPr>
          <w:p w14:paraId="58EEA27B" w14:textId="77777777" w:rsidR="006762BB" w:rsidRPr="000C5E87" w:rsidRDefault="006762BB" w:rsidP="00545B6E">
            <w:pPr>
              <w:tabs>
                <w:tab w:val="left" w:pos="2997"/>
              </w:tabs>
              <w:spacing w:after="0" w:line="240" w:lineRule="auto"/>
              <w:ind w:left="-197" w:right="-57"/>
              <w:jc w:val="right"/>
              <w:rPr>
                <w:rFonts w:ascii="Times New Roman" w:hAnsi="Times New Roman"/>
                <w:sz w:val="20"/>
                <w:szCs w:val="20"/>
                <w:lang w:eastAsia="ru-RU"/>
              </w:rPr>
            </w:pPr>
            <w:r w:rsidRPr="000C5E87">
              <w:rPr>
                <w:rFonts w:ascii="Times New Roman" w:hAnsi="Times New Roman"/>
                <w:sz w:val="20"/>
                <w:szCs w:val="20"/>
                <w:lang w:eastAsia="ru-RU"/>
              </w:rPr>
              <w:t>-15,6</w:t>
            </w:r>
          </w:p>
        </w:tc>
      </w:tr>
    </w:tbl>
    <w:p w14:paraId="79EB976D" w14:textId="77777777" w:rsidR="006762BB" w:rsidRPr="00FA15FD" w:rsidRDefault="006762BB" w:rsidP="006762BB">
      <w:pPr>
        <w:widowControl w:val="0"/>
        <w:autoSpaceDE w:val="0"/>
        <w:autoSpaceDN w:val="0"/>
        <w:adjustRightInd w:val="0"/>
        <w:spacing w:after="0" w:line="240" w:lineRule="auto"/>
        <w:jc w:val="both"/>
        <w:outlineLvl w:val="0"/>
        <w:rPr>
          <w:rFonts w:ascii="Times New Roman" w:hAnsi="Times New Roman"/>
          <w:sz w:val="28"/>
          <w:szCs w:val="28"/>
          <w:highlight w:val="yellow"/>
          <w:lang w:eastAsia="ru-RU"/>
        </w:rPr>
      </w:pPr>
    </w:p>
    <w:p w14:paraId="5E1D208A" w14:textId="7EE143FE"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0"/>
          <w:lang w:eastAsia="ru-RU"/>
        </w:rPr>
      </w:pPr>
      <w:r>
        <w:rPr>
          <w:rFonts w:ascii="Times New Roman" w:hAnsi="Times New Roman"/>
          <w:bCs/>
          <w:sz w:val="28"/>
          <w:szCs w:val="28"/>
          <w:lang w:eastAsia="ru-RU"/>
        </w:rPr>
        <w:t xml:space="preserve">Как видно из таблицы, из </w:t>
      </w:r>
      <w:r>
        <w:rPr>
          <w:rFonts w:ascii="Times New Roman" w:hAnsi="Times New Roman"/>
          <w:sz w:val="28"/>
          <w:szCs w:val="28"/>
          <w:lang w:eastAsia="ru-RU"/>
        </w:rPr>
        <w:t>11 показателей,</w:t>
      </w:r>
      <w:r>
        <w:rPr>
          <w:rFonts w:ascii="Times New Roman" w:hAnsi="Times New Roman"/>
          <w:bCs/>
          <w:sz w:val="28"/>
          <w:szCs w:val="28"/>
          <w:lang w:eastAsia="ru-RU"/>
        </w:rPr>
        <w:t xml:space="preserve"> значения п</w:t>
      </w:r>
      <w:r w:rsidRPr="001B1303">
        <w:rPr>
          <w:rFonts w:ascii="Times New Roman" w:hAnsi="Times New Roman"/>
          <w:sz w:val="28"/>
          <w:szCs w:val="28"/>
          <w:lang w:eastAsia="ru-RU"/>
        </w:rPr>
        <w:t>о</w:t>
      </w:r>
      <w:r>
        <w:rPr>
          <w:rFonts w:ascii="Times New Roman" w:hAnsi="Times New Roman"/>
          <w:sz w:val="28"/>
          <w:szCs w:val="28"/>
          <w:lang w:eastAsia="ru-RU"/>
        </w:rPr>
        <w:t xml:space="preserve"> 8</w:t>
      </w:r>
      <w:r w:rsidRPr="001B1303">
        <w:rPr>
          <w:rFonts w:ascii="Times New Roman" w:hAnsi="Times New Roman"/>
          <w:sz w:val="28"/>
          <w:szCs w:val="28"/>
          <w:lang w:eastAsia="ru-RU"/>
        </w:rPr>
        <w:t xml:space="preserve"> </w:t>
      </w:r>
      <w:r>
        <w:rPr>
          <w:rFonts w:ascii="Times New Roman" w:hAnsi="Times New Roman"/>
          <w:sz w:val="28"/>
          <w:szCs w:val="28"/>
          <w:lang w:eastAsia="ru-RU"/>
        </w:rPr>
        <w:t xml:space="preserve">показателям </w:t>
      </w:r>
      <w:r w:rsidRPr="001B1303">
        <w:rPr>
          <w:rFonts w:ascii="Times New Roman" w:hAnsi="Times New Roman"/>
          <w:sz w:val="28"/>
          <w:szCs w:val="28"/>
          <w:lang w:eastAsia="ru-RU"/>
        </w:rPr>
        <w:t>не достиг</w:t>
      </w:r>
      <w:r>
        <w:rPr>
          <w:rFonts w:ascii="Times New Roman" w:hAnsi="Times New Roman"/>
          <w:sz w:val="28"/>
          <w:szCs w:val="28"/>
          <w:lang w:eastAsia="ru-RU"/>
        </w:rPr>
        <w:t>ли</w:t>
      </w:r>
      <w:r w:rsidRPr="001B1303">
        <w:rPr>
          <w:rFonts w:ascii="Times New Roman" w:hAnsi="Times New Roman"/>
          <w:sz w:val="28"/>
          <w:szCs w:val="28"/>
          <w:lang w:eastAsia="ru-RU"/>
        </w:rPr>
        <w:t xml:space="preserve"> параметров</w:t>
      </w:r>
      <w:r>
        <w:rPr>
          <w:rFonts w:ascii="Times New Roman" w:hAnsi="Times New Roman"/>
          <w:sz w:val="28"/>
          <w:szCs w:val="28"/>
          <w:lang w:eastAsia="ru-RU"/>
        </w:rPr>
        <w:t>, запланированные Прогнозом СЭР РД на 2021 год</w:t>
      </w:r>
      <w:r w:rsidRPr="00D56325">
        <w:rPr>
          <w:rFonts w:ascii="Times New Roman" w:hAnsi="Times New Roman"/>
          <w:color w:val="000000"/>
          <w:sz w:val="28"/>
          <w:szCs w:val="28"/>
          <w:lang w:eastAsia="ru-RU"/>
        </w:rPr>
        <w:t>, в частности по</w:t>
      </w:r>
      <w:r w:rsidRPr="00D56325">
        <w:rPr>
          <w:rFonts w:ascii="Times New Roman" w:hAnsi="Times New Roman"/>
          <w:sz w:val="28"/>
          <w:szCs w:val="20"/>
          <w:lang w:eastAsia="ru-RU"/>
        </w:rPr>
        <w:t>:</w:t>
      </w:r>
    </w:p>
    <w:p w14:paraId="1E76365C"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0"/>
          <w:lang w:eastAsia="ru-RU"/>
        </w:rPr>
      </w:pPr>
      <w:r w:rsidRPr="00D56325">
        <w:rPr>
          <w:rFonts w:ascii="Times New Roman" w:hAnsi="Times New Roman"/>
          <w:sz w:val="28"/>
          <w:szCs w:val="20"/>
          <w:lang w:eastAsia="ru-RU"/>
        </w:rPr>
        <w:t>- ВРП – на 0,4 % (процентных пунктов);</w:t>
      </w:r>
    </w:p>
    <w:p w14:paraId="3810344D"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0"/>
          <w:lang w:eastAsia="ru-RU"/>
        </w:rPr>
      </w:pPr>
      <w:r w:rsidRPr="00D56325">
        <w:rPr>
          <w:rFonts w:ascii="Times New Roman" w:hAnsi="Times New Roman"/>
          <w:sz w:val="28"/>
          <w:szCs w:val="20"/>
          <w:lang w:eastAsia="ru-RU"/>
        </w:rPr>
        <w:t>- индексу потребительских цен – на 6</w:t>
      </w:r>
      <w:r>
        <w:rPr>
          <w:rFonts w:ascii="Times New Roman" w:hAnsi="Times New Roman"/>
          <w:sz w:val="28"/>
          <w:szCs w:val="20"/>
          <w:lang w:eastAsia="ru-RU"/>
        </w:rPr>
        <w:t>,0</w:t>
      </w:r>
      <w:r w:rsidRPr="00D56325">
        <w:rPr>
          <w:rFonts w:ascii="Times New Roman" w:hAnsi="Times New Roman"/>
          <w:sz w:val="28"/>
          <w:szCs w:val="20"/>
          <w:lang w:eastAsia="ru-RU"/>
        </w:rPr>
        <w:t xml:space="preserve"> %;</w:t>
      </w:r>
    </w:p>
    <w:p w14:paraId="60B32F62"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0"/>
          <w:lang w:eastAsia="ru-RU"/>
        </w:rPr>
      </w:pPr>
      <w:r w:rsidRPr="00D56325">
        <w:rPr>
          <w:rFonts w:ascii="Times New Roman" w:hAnsi="Times New Roman"/>
          <w:sz w:val="28"/>
          <w:szCs w:val="20"/>
          <w:lang w:eastAsia="ru-RU"/>
        </w:rPr>
        <w:t>-</w:t>
      </w:r>
      <w:r>
        <w:rPr>
          <w:rFonts w:ascii="Times New Roman" w:hAnsi="Times New Roman"/>
          <w:sz w:val="28"/>
          <w:szCs w:val="20"/>
          <w:lang w:eastAsia="ru-RU"/>
        </w:rPr>
        <w:t xml:space="preserve"> объему </w:t>
      </w:r>
      <w:r w:rsidRPr="00D56325">
        <w:rPr>
          <w:rFonts w:ascii="Times New Roman" w:hAnsi="Times New Roman"/>
          <w:sz w:val="28"/>
          <w:szCs w:val="20"/>
          <w:lang w:eastAsia="ru-RU"/>
        </w:rPr>
        <w:t>промышленной продукции – на 0,4 %;</w:t>
      </w:r>
    </w:p>
    <w:p w14:paraId="552DB265"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D56325">
        <w:rPr>
          <w:rFonts w:ascii="Times New Roman" w:hAnsi="Times New Roman"/>
          <w:sz w:val="28"/>
          <w:szCs w:val="20"/>
          <w:lang w:eastAsia="ru-RU"/>
        </w:rPr>
        <w:t>-</w:t>
      </w:r>
      <w:r>
        <w:rPr>
          <w:rFonts w:ascii="Times New Roman" w:hAnsi="Times New Roman"/>
          <w:sz w:val="28"/>
          <w:szCs w:val="20"/>
          <w:lang w:eastAsia="ru-RU"/>
        </w:rPr>
        <w:t xml:space="preserve"> объему </w:t>
      </w:r>
      <w:r w:rsidRPr="00D56325">
        <w:rPr>
          <w:rFonts w:ascii="Times New Roman" w:hAnsi="Times New Roman"/>
          <w:sz w:val="28"/>
          <w:szCs w:val="20"/>
          <w:lang w:eastAsia="ru-RU"/>
        </w:rPr>
        <w:t xml:space="preserve">продукции сельского хозяйства </w:t>
      </w:r>
      <w:r w:rsidRPr="00D56325">
        <w:rPr>
          <w:rFonts w:ascii="Times New Roman" w:hAnsi="Times New Roman"/>
          <w:sz w:val="28"/>
          <w:szCs w:val="28"/>
          <w:lang w:eastAsia="ru-RU"/>
        </w:rPr>
        <w:t>– на 1,9 %;</w:t>
      </w:r>
    </w:p>
    <w:p w14:paraId="5521A6D4"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0"/>
          <w:lang w:eastAsia="ru-RU"/>
        </w:rPr>
      </w:pPr>
      <w:r w:rsidRPr="00D56325">
        <w:rPr>
          <w:rFonts w:ascii="Times New Roman" w:hAnsi="Times New Roman"/>
          <w:sz w:val="28"/>
          <w:szCs w:val="20"/>
          <w:lang w:eastAsia="ru-RU"/>
        </w:rPr>
        <w:t>- объему инвестиций – 14,5 %;</w:t>
      </w:r>
    </w:p>
    <w:p w14:paraId="070A0091"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D56325">
        <w:rPr>
          <w:rFonts w:ascii="Times New Roman" w:hAnsi="Times New Roman"/>
          <w:sz w:val="28"/>
          <w:szCs w:val="28"/>
          <w:lang w:eastAsia="ru-RU"/>
        </w:rPr>
        <w:t>- обороту розничной торговли – на 0,5 %;</w:t>
      </w:r>
    </w:p>
    <w:p w14:paraId="25C45D38"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0"/>
          <w:lang w:eastAsia="ru-RU"/>
        </w:rPr>
      </w:pPr>
      <w:r w:rsidRPr="00D56325">
        <w:rPr>
          <w:rFonts w:ascii="Times New Roman" w:hAnsi="Times New Roman"/>
          <w:sz w:val="28"/>
          <w:szCs w:val="20"/>
          <w:lang w:eastAsia="ru-RU"/>
        </w:rPr>
        <w:t>- среднемесячной номинальной начисленной заработной платы – 1,2 %.</w:t>
      </w:r>
    </w:p>
    <w:p w14:paraId="7938FD10" w14:textId="77777777" w:rsidR="006762BB" w:rsidRPr="00D56325" w:rsidRDefault="006762BB" w:rsidP="005237E7">
      <w:pPr>
        <w:widowControl w:val="0"/>
        <w:autoSpaceDE w:val="0"/>
        <w:autoSpaceDN w:val="0"/>
        <w:adjustRightInd w:val="0"/>
        <w:spacing w:after="0" w:line="288" w:lineRule="auto"/>
        <w:ind w:firstLine="708"/>
        <w:jc w:val="both"/>
        <w:rPr>
          <w:rFonts w:ascii="Times New Roman" w:hAnsi="Times New Roman"/>
          <w:sz w:val="28"/>
          <w:szCs w:val="20"/>
          <w:lang w:eastAsia="ru-RU"/>
        </w:rPr>
      </w:pPr>
      <w:r w:rsidRPr="00D56325">
        <w:rPr>
          <w:rFonts w:ascii="Times New Roman" w:hAnsi="Times New Roman"/>
          <w:sz w:val="28"/>
          <w:szCs w:val="20"/>
          <w:lang w:eastAsia="ru-RU"/>
        </w:rPr>
        <w:t>- реальн</w:t>
      </w:r>
      <w:r>
        <w:rPr>
          <w:rFonts w:ascii="Times New Roman" w:hAnsi="Times New Roman"/>
          <w:sz w:val="28"/>
          <w:szCs w:val="20"/>
          <w:lang w:eastAsia="ru-RU"/>
        </w:rPr>
        <w:t>ым</w:t>
      </w:r>
      <w:r w:rsidRPr="00D56325">
        <w:rPr>
          <w:rFonts w:ascii="Times New Roman" w:hAnsi="Times New Roman"/>
          <w:sz w:val="28"/>
          <w:szCs w:val="20"/>
          <w:lang w:eastAsia="ru-RU"/>
        </w:rPr>
        <w:t xml:space="preserve"> располагаемым денежным доходам населения – на 4,1 %;</w:t>
      </w:r>
    </w:p>
    <w:p w14:paraId="1A515935"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D56325">
        <w:rPr>
          <w:rFonts w:ascii="Times New Roman" w:hAnsi="Times New Roman"/>
          <w:sz w:val="28"/>
          <w:szCs w:val="20"/>
          <w:lang w:eastAsia="ru-RU"/>
        </w:rPr>
        <w:t>При этом, по трем показателям темп роста выше, чем запланирован Прогнозом СЭР РД на 2021 год, в том числе по:</w:t>
      </w:r>
      <w:r w:rsidRPr="00D56325">
        <w:rPr>
          <w:rFonts w:ascii="Times New Roman" w:hAnsi="Times New Roman"/>
          <w:sz w:val="28"/>
          <w:szCs w:val="28"/>
          <w:lang w:eastAsia="ru-RU"/>
        </w:rPr>
        <w:t xml:space="preserve"> </w:t>
      </w:r>
    </w:p>
    <w:p w14:paraId="3DD80C9D" w14:textId="77777777" w:rsidR="006762BB" w:rsidRPr="00D56325" w:rsidRDefault="006762BB" w:rsidP="005237E7">
      <w:pPr>
        <w:widowControl w:val="0"/>
        <w:autoSpaceDE w:val="0"/>
        <w:autoSpaceDN w:val="0"/>
        <w:adjustRightInd w:val="0"/>
        <w:spacing w:after="0" w:line="288" w:lineRule="auto"/>
        <w:ind w:firstLine="709"/>
        <w:jc w:val="both"/>
        <w:rPr>
          <w:rFonts w:ascii="Times New Roman" w:hAnsi="Times New Roman"/>
          <w:sz w:val="28"/>
          <w:szCs w:val="28"/>
          <w:lang w:eastAsia="ru-RU"/>
        </w:rPr>
      </w:pPr>
      <w:r w:rsidRPr="00D56325">
        <w:rPr>
          <w:rFonts w:ascii="Times New Roman" w:hAnsi="Times New Roman"/>
          <w:sz w:val="28"/>
          <w:szCs w:val="28"/>
          <w:lang w:eastAsia="ru-RU"/>
        </w:rPr>
        <w:t>- объем</w:t>
      </w:r>
      <w:r>
        <w:rPr>
          <w:rFonts w:ascii="Times New Roman" w:hAnsi="Times New Roman"/>
          <w:sz w:val="28"/>
          <w:szCs w:val="28"/>
          <w:lang w:eastAsia="ru-RU"/>
        </w:rPr>
        <w:t>у</w:t>
      </w:r>
      <w:r w:rsidRPr="00D56325">
        <w:rPr>
          <w:rFonts w:ascii="Times New Roman" w:hAnsi="Times New Roman"/>
          <w:sz w:val="28"/>
          <w:szCs w:val="28"/>
          <w:lang w:eastAsia="ru-RU"/>
        </w:rPr>
        <w:t xml:space="preserve"> выполненных работ по виду деятельности строительство – </w:t>
      </w:r>
      <w:r w:rsidRPr="00D56325">
        <w:rPr>
          <w:rFonts w:ascii="Times New Roman" w:hAnsi="Times New Roman"/>
          <w:sz w:val="28"/>
          <w:szCs w:val="28"/>
          <w:lang w:eastAsia="ru-RU"/>
        </w:rPr>
        <w:br/>
        <w:t>на 0,5 %;</w:t>
      </w:r>
    </w:p>
    <w:p w14:paraId="2468AC04" w14:textId="77777777" w:rsidR="006762BB" w:rsidRPr="00D56325" w:rsidRDefault="006762BB" w:rsidP="005237E7">
      <w:pPr>
        <w:widowControl w:val="0"/>
        <w:autoSpaceDE w:val="0"/>
        <w:autoSpaceDN w:val="0"/>
        <w:adjustRightInd w:val="0"/>
        <w:spacing w:after="0" w:line="288" w:lineRule="auto"/>
        <w:ind w:firstLine="708"/>
        <w:jc w:val="both"/>
        <w:rPr>
          <w:rFonts w:ascii="Times New Roman" w:hAnsi="Times New Roman"/>
          <w:sz w:val="28"/>
          <w:szCs w:val="20"/>
          <w:lang w:eastAsia="ru-RU"/>
        </w:rPr>
      </w:pPr>
      <w:r w:rsidRPr="00D56325">
        <w:rPr>
          <w:rFonts w:ascii="Times New Roman" w:hAnsi="Times New Roman"/>
          <w:sz w:val="28"/>
          <w:szCs w:val="28"/>
          <w:lang w:eastAsia="ru-RU"/>
        </w:rPr>
        <w:t>- объему платных услуг населению – на 13,8 %</w:t>
      </w:r>
      <w:r w:rsidRPr="00D56325">
        <w:rPr>
          <w:rFonts w:ascii="Times New Roman" w:hAnsi="Times New Roman"/>
          <w:sz w:val="28"/>
          <w:szCs w:val="20"/>
          <w:lang w:eastAsia="ru-RU"/>
        </w:rPr>
        <w:t>;</w:t>
      </w:r>
    </w:p>
    <w:p w14:paraId="5E9BEC25" w14:textId="77777777" w:rsidR="006762BB" w:rsidRPr="00FA15FD" w:rsidRDefault="006762BB" w:rsidP="005237E7">
      <w:pPr>
        <w:widowControl w:val="0"/>
        <w:autoSpaceDE w:val="0"/>
        <w:autoSpaceDN w:val="0"/>
        <w:adjustRightInd w:val="0"/>
        <w:spacing w:after="0" w:line="288" w:lineRule="auto"/>
        <w:ind w:firstLine="709"/>
        <w:jc w:val="both"/>
        <w:rPr>
          <w:rFonts w:ascii="Times New Roman" w:hAnsi="Times New Roman"/>
          <w:color w:val="000000"/>
          <w:sz w:val="28"/>
          <w:szCs w:val="28"/>
          <w:highlight w:val="yellow"/>
          <w:lang w:eastAsia="ru-RU"/>
        </w:rPr>
      </w:pPr>
      <w:r w:rsidRPr="00D56325">
        <w:rPr>
          <w:rFonts w:ascii="Times New Roman" w:hAnsi="Times New Roman"/>
          <w:sz w:val="28"/>
          <w:szCs w:val="20"/>
          <w:lang w:eastAsia="ru-RU"/>
        </w:rPr>
        <w:t xml:space="preserve">- </w:t>
      </w:r>
      <w:r w:rsidRPr="00D56325">
        <w:rPr>
          <w:rFonts w:ascii="Times New Roman" w:hAnsi="Times New Roman"/>
          <w:color w:val="000000"/>
          <w:sz w:val="28"/>
          <w:szCs w:val="28"/>
          <w:lang w:eastAsia="ru-RU"/>
        </w:rPr>
        <w:t xml:space="preserve">численности зарегистрированных безработных – снижение на 15,6 тыс. </w:t>
      </w:r>
      <w:r w:rsidRPr="007266BE">
        <w:rPr>
          <w:rFonts w:ascii="Times New Roman" w:hAnsi="Times New Roman"/>
          <w:color w:val="000000"/>
          <w:sz w:val="28"/>
          <w:szCs w:val="28"/>
          <w:lang w:eastAsia="ru-RU"/>
        </w:rPr>
        <w:t>человек.</w:t>
      </w:r>
    </w:p>
    <w:p w14:paraId="1EBF275A" w14:textId="77777777" w:rsidR="006762BB" w:rsidRDefault="006762BB" w:rsidP="006762BB">
      <w:pPr>
        <w:widowControl w:val="0"/>
        <w:autoSpaceDE w:val="0"/>
        <w:autoSpaceDN w:val="0"/>
        <w:adjustRightInd w:val="0"/>
        <w:spacing w:after="0" w:line="240" w:lineRule="auto"/>
        <w:jc w:val="center"/>
        <w:outlineLvl w:val="1"/>
        <w:rPr>
          <w:rFonts w:ascii="Times New Roman" w:hAnsi="Times New Roman"/>
          <w:b/>
          <w:color w:val="002060"/>
          <w:sz w:val="28"/>
          <w:szCs w:val="28"/>
          <w:lang w:eastAsia="ru-RU"/>
        </w:rPr>
      </w:pPr>
      <w:r w:rsidRPr="004963B5">
        <w:rPr>
          <w:rFonts w:ascii="Times New Roman" w:hAnsi="Times New Roman"/>
          <w:b/>
          <w:color w:val="002060"/>
          <w:sz w:val="28"/>
          <w:szCs w:val="28"/>
          <w:lang w:eastAsia="ru-RU"/>
        </w:rPr>
        <w:lastRenderedPageBreak/>
        <w:t xml:space="preserve">Темпы роста </w:t>
      </w:r>
    </w:p>
    <w:p w14:paraId="26556E5B" w14:textId="77777777" w:rsidR="006762BB" w:rsidRPr="004963B5" w:rsidRDefault="006762BB" w:rsidP="006762BB">
      <w:pPr>
        <w:widowControl w:val="0"/>
        <w:autoSpaceDE w:val="0"/>
        <w:autoSpaceDN w:val="0"/>
        <w:adjustRightInd w:val="0"/>
        <w:spacing w:after="0" w:line="240" w:lineRule="auto"/>
        <w:jc w:val="center"/>
        <w:outlineLvl w:val="1"/>
        <w:rPr>
          <w:rFonts w:ascii="Times New Roman" w:hAnsi="Times New Roman"/>
          <w:b/>
          <w:color w:val="002060"/>
          <w:sz w:val="28"/>
          <w:szCs w:val="28"/>
          <w:lang w:eastAsia="ru-RU"/>
        </w:rPr>
      </w:pPr>
      <w:r w:rsidRPr="004963B5">
        <w:rPr>
          <w:rFonts w:ascii="Times New Roman" w:hAnsi="Times New Roman"/>
          <w:b/>
          <w:color w:val="002060"/>
          <w:sz w:val="28"/>
          <w:szCs w:val="28"/>
          <w:lang w:eastAsia="ru-RU"/>
        </w:rPr>
        <w:t xml:space="preserve">основных макроэкономических показателей </w:t>
      </w:r>
    </w:p>
    <w:p w14:paraId="3677578D" w14:textId="77777777" w:rsidR="006762BB" w:rsidRPr="004963B5" w:rsidRDefault="006762BB" w:rsidP="006762BB">
      <w:pPr>
        <w:widowControl w:val="0"/>
        <w:autoSpaceDE w:val="0"/>
        <w:autoSpaceDN w:val="0"/>
        <w:adjustRightInd w:val="0"/>
        <w:spacing w:after="0" w:line="240" w:lineRule="auto"/>
        <w:jc w:val="center"/>
        <w:outlineLvl w:val="1"/>
        <w:rPr>
          <w:rFonts w:ascii="Times New Roman" w:hAnsi="Times New Roman"/>
          <w:b/>
          <w:color w:val="002060"/>
          <w:sz w:val="28"/>
          <w:szCs w:val="28"/>
          <w:lang w:eastAsia="ru-RU"/>
        </w:rPr>
      </w:pPr>
      <w:r w:rsidRPr="004963B5">
        <w:rPr>
          <w:rFonts w:ascii="Times New Roman" w:hAnsi="Times New Roman"/>
          <w:b/>
          <w:color w:val="002060"/>
          <w:sz w:val="28"/>
          <w:szCs w:val="28"/>
          <w:lang w:eastAsia="ru-RU"/>
        </w:rPr>
        <w:t>за 20</w:t>
      </w:r>
      <w:r>
        <w:rPr>
          <w:rFonts w:ascii="Times New Roman" w:hAnsi="Times New Roman"/>
          <w:b/>
          <w:color w:val="002060"/>
          <w:sz w:val="28"/>
          <w:szCs w:val="28"/>
          <w:lang w:eastAsia="ru-RU"/>
        </w:rPr>
        <w:t>20</w:t>
      </w:r>
      <w:r w:rsidRPr="004963B5">
        <w:rPr>
          <w:rFonts w:ascii="Times New Roman" w:hAnsi="Times New Roman"/>
          <w:b/>
          <w:color w:val="002060"/>
          <w:sz w:val="28"/>
          <w:szCs w:val="28"/>
          <w:lang w:eastAsia="ru-RU"/>
        </w:rPr>
        <w:t>-20</w:t>
      </w:r>
      <w:r>
        <w:rPr>
          <w:rFonts w:ascii="Times New Roman" w:hAnsi="Times New Roman"/>
          <w:b/>
          <w:color w:val="002060"/>
          <w:sz w:val="28"/>
          <w:szCs w:val="28"/>
          <w:lang w:eastAsia="ru-RU"/>
        </w:rPr>
        <w:t>21</w:t>
      </w:r>
      <w:r w:rsidRPr="004963B5">
        <w:rPr>
          <w:rFonts w:ascii="Times New Roman" w:hAnsi="Times New Roman"/>
          <w:b/>
          <w:color w:val="002060"/>
          <w:sz w:val="28"/>
          <w:szCs w:val="28"/>
          <w:lang w:eastAsia="ru-RU"/>
        </w:rPr>
        <w:t xml:space="preserve"> годы</w:t>
      </w:r>
    </w:p>
    <w:p w14:paraId="1B66826F" w14:textId="77777777" w:rsidR="006762BB" w:rsidRDefault="006762BB" w:rsidP="006762BB">
      <w:pPr>
        <w:widowControl w:val="0"/>
        <w:autoSpaceDE w:val="0"/>
        <w:autoSpaceDN w:val="0"/>
        <w:adjustRightInd w:val="0"/>
        <w:spacing w:after="0" w:line="240" w:lineRule="auto"/>
        <w:jc w:val="right"/>
        <w:outlineLvl w:val="1"/>
        <w:rPr>
          <w:rFonts w:ascii="Times New Roman" w:hAnsi="Times New Roman"/>
          <w:b/>
          <w:color w:val="002060"/>
          <w:sz w:val="24"/>
          <w:szCs w:val="24"/>
          <w:lang w:eastAsia="ru-RU"/>
        </w:rPr>
      </w:pPr>
      <w:r w:rsidRPr="004963B5">
        <w:rPr>
          <w:rFonts w:ascii="Times New Roman" w:hAnsi="Times New Roman"/>
          <w:b/>
          <w:color w:val="002060"/>
          <w:sz w:val="24"/>
          <w:szCs w:val="24"/>
          <w:lang w:eastAsia="ru-RU"/>
        </w:rPr>
        <w:t>%</w:t>
      </w:r>
    </w:p>
    <w:p w14:paraId="46A6975E" w14:textId="77777777" w:rsidR="006762BB" w:rsidRDefault="006762BB" w:rsidP="006762BB">
      <w:pPr>
        <w:widowControl w:val="0"/>
        <w:autoSpaceDE w:val="0"/>
        <w:autoSpaceDN w:val="0"/>
        <w:adjustRightInd w:val="0"/>
        <w:spacing w:after="0" w:line="240" w:lineRule="auto"/>
        <w:jc w:val="right"/>
        <w:outlineLvl w:val="1"/>
        <w:rPr>
          <w:rFonts w:ascii="Times New Roman" w:hAnsi="Times New Roman"/>
          <w:b/>
          <w:color w:val="002060"/>
          <w:sz w:val="24"/>
          <w:szCs w:val="24"/>
          <w:lang w:eastAsia="ru-RU"/>
        </w:rPr>
      </w:pPr>
      <w:r>
        <w:rPr>
          <w:noProof/>
        </w:rPr>
        <w:drawing>
          <wp:inline distT="0" distB="0" distL="0" distR="0" wp14:anchorId="7ABC1C62" wp14:editId="1D99E3C0">
            <wp:extent cx="5939790" cy="2830830"/>
            <wp:effectExtent l="0" t="0" r="3810" b="7620"/>
            <wp:docPr id="1" name="Диаграмма 1">
              <a:extLst xmlns:a="http://schemas.openxmlformats.org/drawingml/2006/main">
                <a:ext uri="{FF2B5EF4-FFF2-40B4-BE49-F238E27FC236}">
                  <a16:creationId xmlns:a16="http://schemas.microsoft.com/office/drawing/2014/main" id="{EB034AC8-46E2-4F95-4B16-F29625918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8094CA" w14:textId="77777777" w:rsidR="006762BB" w:rsidRDefault="006762BB" w:rsidP="006762BB">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Следует отметить, что </w:t>
      </w:r>
      <w:r w:rsidRPr="00F74932">
        <w:rPr>
          <w:rFonts w:ascii="Times New Roman" w:hAnsi="Times New Roman"/>
          <w:sz w:val="28"/>
          <w:szCs w:val="28"/>
          <w:lang w:eastAsia="ru-RU"/>
        </w:rPr>
        <w:t xml:space="preserve">за 2021 год по большинству </w:t>
      </w:r>
      <w:r>
        <w:rPr>
          <w:rFonts w:ascii="Times New Roman" w:hAnsi="Times New Roman"/>
          <w:sz w:val="28"/>
          <w:szCs w:val="28"/>
          <w:lang w:eastAsia="ru-RU"/>
        </w:rPr>
        <w:t xml:space="preserve">основных макроэкономических </w:t>
      </w:r>
      <w:r w:rsidRPr="00F74932">
        <w:rPr>
          <w:rFonts w:ascii="Times New Roman" w:hAnsi="Times New Roman"/>
          <w:sz w:val="28"/>
          <w:szCs w:val="28"/>
          <w:lang w:eastAsia="ru-RU"/>
        </w:rPr>
        <w:t>показател</w:t>
      </w:r>
      <w:r>
        <w:rPr>
          <w:rFonts w:ascii="Times New Roman" w:hAnsi="Times New Roman"/>
          <w:sz w:val="28"/>
          <w:szCs w:val="28"/>
          <w:lang w:eastAsia="ru-RU"/>
        </w:rPr>
        <w:t xml:space="preserve">ей сложилась </w:t>
      </w:r>
      <w:r w:rsidRPr="00F74932">
        <w:rPr>
          <w:rFonts w:ascii="Times New Roman" w:hAnsi="Times New Roman"/>
          <w:sz w:val="28"/>
          <w:szCs w:val="28"/>
          <w:lang w:eastAsia="ru-RU"/>
        </w:rPr>
        <w:t>отрицательная динамика по сравнению с</w:t>
      </w:r>
      <w:r>
        <w:rPr>
          <w:rFonts w:ascii="Times New Roman" w:hAnsi="Times New Roman"/>
          <w:sz w:val="28"/>
          <w:szCs w:val="28"/>
          <w:lang w:eastAsia="ru-RU"/>
        </w:rPr>
        <w:t>о</w:t>
      </w:r>
      <w:r w:rsidRPr="00F74932">
        <w:rPr>
          <w:rFonts w:ascii="Times New Roman" w:hAnsi="Times New Roman"/>
          <w:sz w:val="28"/>
          <w:szCs w:val="28"/>
          <w:lang w:eastAsia="ru-RU"/>
        </w:rPr>
        <w:t xml:space="preserve"> значениями, запланированными Прогнозом СЭР РД на 2021 год.</w:t>
      </w:r>
    </w:p>
    <w:p w14:paraId="46D8D716" w14:textId="77777777" w:rsidR="006762BB" w:rsidRDefault="006762BB" w:rsidP="006762BB">
      <w:pPr>
        <w:widowControl w:val="0"/>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Однако, в ходе подготовки (разработки) </w:t>
      </w:r>
      <w:r w:rsidRPr="00F74932">
        <w:rPr>
          <w:rFonts w:ascii="Times New Roman" w:hAnsi="Times New Roman"/>
          <w:sz w:val="28"/>
          <w:szCs w:val="28"/>
          <w:lang w:eastAsia="ru-RU"/>
        </w:rPr>
        <w:t>уточненного Прогноза СЭР РД на 2021 год</w:t>
      </w:r>
      <w:r>
        <w:rPr>
          <w:rFonts w:ascii="Times New Roman" w:hAnsi="Times New Roman"/>
          <w:sz w:val="28"/>
          <w:szCs w:val="28"/>
          <w:lang w:eastAsia="ru-RU"/>
        </w:rPr>
        <w:t>,</w:t>
      </w:r>
      <w:r w:rsidRPr="00F74932">
        <w:rPr>
          <w:rFonts w:ascii="Times New Roman" w:hAnsi="Times New Roman"/>
          <w:sz w:val="28"/>
          <w:szCs w:val="28"/>
          <w:lang w:eastAsia="ru-RU"/>
        </w:rPr>
        <w:t xml:space="preserve"> не в полной мере проанализированы факторы, влияющие на формирование (прогнозирование) показателей, вследствие чего индекс инфляции на 6 % выше запланированного Прогнозом СЭР РД на 2021 год, а уровень реальных располагаемых денежных доходов населения и среднемесячной заработной платы ниже на 1,2 % и 4,1 % соответственно.</w:t>
      </w:r>
    </w:p>
    <w:p w14:paraId="07C035FD" w14:textId="77777777" w:rsidR="006762BB" w:rsidRPr="00C33FB7" w:rsidRDefault="006762BB" w:rsidP="006762BB">
      <w:pPr>
        <w:widowControl w:val="0"/>
        <w:autoSpaceDE w:val="0"/>
        <w:autoSpaceDN w:val="0"/>
        <w:adjustRightInd w:val="0"/>
        <w:spacing w:after="0" w:line="240" w:lineRule="auto"/>
        <w:ind w:firstLine="709"/>
        <w:jc w:val="both"/>
        <w:outlineLvl w:val="1"/>
        <w:rPr>
          <w:rFonts w:ascii="Times New Roman" w:hAnsi="Times New Roman"/>
          <w:sz w:val="28"/>
          <w:szCs w:val="20"/>
          <w:lang w:eastAsia="ru-RU"/>
        </w:rPr>
      </w:pPr>
      <w:r w:rsidRPr="00226D59">
        <w:rPr>
          <w:rFonts w:ascii="Times New Roman" w:hAnsi="Times New Roman"/>
          <w:b/>
          <w:bCs/>
          <w:color w:val="002060"/>
          <w:sz w:val="28"/>
          <w:szCs w:val="20"/>
          <w:lang w:eastAsia="ru-RU"/>
        </w:rPr>
        <w:t>2.3.</w:t>
      </w:r>
      <w:r w:rsidRPr="00C33FB7">
        <w:rPr>
          <w:rFonts w:ascii="Times New Roman" w:hAnsi="Times New Roman"/>
          <w:sz w:val="28"/>
          <w:szCs w:val="28"/>
          <w:lang w:eastAsia="ru-RU"/>
        </w:rPr>
        <w:t xml:space="preserve"> Анализ итогов социально-экономического </w:t>
      </w:r>
      <w:r w:rsidRPr="00C33FB7">
        <w:rPr>
          <w:rFonts w:ascii="Times New Roman" w:hAnsi="Times New Roman"/>
          <w:sz w:val="28"/>
          <w:szCs w:val="20"/>
          <w:lang w:eastAsia="ru-RU"/>
        </w:rPr>
        <w:t>развития Республики Дагестан в разрезе основных показателей показал следующее.</w:t>
      </w:r>
    </w:p>
    <w:p w14:paraId="73E3E7C0" w14:textId="77777777" w:rsidR="006762BB" w:rsidRPr="00C33FB7" w:rsidRDefault="006762BB" w:rsidP="006762BB">
      <w:pPr>
        <w:widowControl w:val="0"/>
        <w:autoSpaceDE w:val="0"/>
        <w:autoSpaceDN w:val="0"/>
        <w:adjustRightInd w:val="0"/>
        <w:spacing w:after="0" w:line="240" w:lineRule="auto"/>
        <w:ind w:firstLine="709"/>
        <w:jc w:val="both"/>
        <w:outlineLvl w:val="1"/>
        <w:rPr>
          <w:rFonts w:ascii="Times New Roman" w:hAnsi="Times New Roman"/>
          <w:color w:val="FF0000"/>
          <w:sz w:val="28"/>
          <w:szCs w:val="20"/>
          <w:lang w:eastAsia="ru-RU"/>
        </w:rPr>
      </w:pPr>
      <w:r w:rsidRPr="00226D59">
        <w:rPr>
          <w:rFonts w:ascii="Times New Roman" w:hAnsi="Times New Roman"/>
          <w:b/>
          <w:bCs/>
          <w:color w:val="002060"/>
          <w:sz w:val="28"/>
          <w:szCs w:val="20"/>
          <w:lang w:eastAsia="ru-RU"/>
        </w:rPr>
        <w:t>2.3.1.</w:t>
      </w:r>
      <w:r w:rsidRPr="00C33FB7">
        <w:rPr>
          <w:rFonts w:ascii="Times New Roman" w:hAnsi="Times New Roman"/>
          <w:sz w:val="28"/>
          <w:szCs w:val="20"/>
          <w:lang w:eastAsia="ru-RU"/>
        </w:rPr>
        <w:t xml:space="preserve"> Объем </w:t>
      </w:r>
      <w:r w:rsidRPr="00101461">
        <w:rPr>
          <w:rFonts w:ascii="Times New Roman" w:hAnsi="Times New Roman"/>
          <w:b/>
          <w:color w:val="002060"/>
          <w:sz w:val="28"/>
          <w:szCs w:val="20"/>
          <w:lang w:eastAsia="ru-RU"/>
        </w:rPr>
        <w:t>валового регионального продукта (ВРП)</w:t>
      </w:r>
      <w:r w:rsidRPr="00C33FB7">
        <w:rPr>
          <w:rFonts w:ascii="Times New Roman" w:hAnsi="Times New Roman"/>
          <w:sz w:val="28"/>
          <w:szCs w:val="20"/>
          <w:lang w:eastAsia="ru-RU"/>
        </w:rPr>
        <w:t xml:space="preserve"> за 2021 год, по предварительной оценке, составил 814 455,6 млн рублей, что на 66 278,3 млн рублей больше уровня 2020 года (748 177,3 млн рублей). </w:t>
      </w:r>
    </w:p>
    <w:p w14:paraId="093E9D7A" w14:textId="77777777" w:rsidR="006762BB" w:rsidRPr="00C33FB7" w:rsidRDefault="006762BB" w:rsidP="006762BB">
      <w:pPr>
        <w:widowControl w:val="0"/>
        <w:autoSpaceDE w:val="0"/>
        <w:autoSpaceDN w:val="0"/>
        <w:adjustRightInd w:val="0"/>
        <w:spacing w:after="0" w:line="240" w:lineRule="auto"/>
        <w:ind w:firstLine="709"/>
        <w:jc w:val="both"/>
        <w:outlineLvl w:val="1"/>
        <w:rPr>
          <w:rFonts w:ascii="Times New Roman" w:hAnsi="Times New Roman"/>
          <w:sz w:val="28"/>
          <w:szCs w:val="28"/>
          <w:lang w:eastAsia="ru-RU"/>
        </w:rPr>
      </w:pPr>
      <w:r w:rsidRPr="00C33FB7">
        <w:rPr>
          <w:rFonts w:ascii="Times New Roman" w:hAnsi="Times New Roman"/>
          <w:sz w:val="28"/>
          <w:szCs w:val="20"/>
          <w:lang w:eastAsia="ru-RU"/>
        </w:rPr>
        <w:t xml:space="preserve">Индекс ВРП за 2021 год составил 102 %, что на 2,7 % больше уровня 2020 года (99,3 %) и на 0,4 % меньше, </w:t>
      </w:r>
      <w:r w:rsidRPr="00C33FB7">
        <w:rPr>
          <w:rFonts w:ascii="Times New Roman" w:hAnsi="Times New Roman"/>
          <w:sz w:val="28"/>
          <w:szCs w:val="28"/>
          <w:lang w:eastAsia="ru-RU"/>
        </w:rPr>
        <w:t>чем запланировано Прогнозом СЭР РД на 2021 год (102,4 %).</w:t>
      </w:r>
    </w:p>
    <w:p w14:paraId="422BF403" w14:textId="77777777" w:rsidR="006762BB" w:rsidRPr="008C7418" w:rsidRDefault="006762BB" w:rsidP="006762BB">
      <w:pPr>
        <w:widowControl w:val="0"/>
        <w:autoSpaceDE w:val="0"/>
        <w:autoSpaceDN w:val="0"/>
        <w:adjustRightInd w:val="0"/>
        <w:spacing w:after="0" w:line="240" w:lineRule="auto"/>
        <w:ind w:firstLine="709"/>
        <w:jc w:val="both"/>
        <w:outlineLvl w:val="1"/>
        <w:rPr>
          <w:rFonts w:ascii="Times New Roman" w:hAnsi="Times New Roman"/>
          <w:sz w:val="28"/>
          <w:szCs w:val="20"/>
          <w:lang w:eastAsia="ru-RU"/>
        </w:rPr>
      </w:pPr>
      <w:r w:rsidRPr="00C33FB7">
        <w:rPr>
          <w:rFonts w:ascii="Times New Roman" w:hAnsi="Times New Roman"/>
          <w:sz w:val="28"/>
          <w:szCs w:val="20"/>
          <w:lang w:eastAsia="ru-RU"/>
        </w:rPr>
        <w:t xml:space="preserve">По предварительной оценке, </w:t>
      </w:r>
      <w:bookmarkStart w:id="3" w:name="_Hlk40974352"/>
      <w:r w:rsidRPr="00C33FB7">
        <w:rPr>
          <w:rFonts w:ascii="Times New Roman" w:hAnsi="Times New Roman"/>
          <w:sz w:val="28"/>
          <w:szCs w:val="20"/>
          <w:lang w:eastAsia="ru-RU"/>
        </w:rPr>
        <w:t xml:space="preserve">ВРП на душу населения </w:t>
      </w:r>
      <w:bookmarkEnd w:id="3"/>
      <w:r w:rsidRPr="00C33FB7">
        <w:rPr>
          <w:rFonts w:ascii="Times New Roman" w:hAnsi="Times New Roman"/>
          <w:sz w:val="28"/>
          <w:szCs w:val="20"/>
          <w:lang w:eastAsia="ru-RU"/>
        </w:rPr>
        <w:t xml:space="preserve">за 2021 год составляет 259,1 тыс. рублей, </w:t>
      </w:r>
      <w:bookmarkStart w:id="4" w:name="_Hlk40970236"/>
      <w:r w:rsidRPr="00C33FB7">
        <w:rPr>
          <w:rFonts w:ascii="Times New Roman" w:hAnsi="Times New Roman"/>
          <w:sz w:val="28"/>
          <w:szCs w:val="20"/>
          <w:lang w:eastAsia="ru-RU"/>
        </w:rPr>
        <w:t>что</w:t>
      </w:r>
      <w:r w:rsidRPr="00C33FB7">
        <w:t xml:space="preserve"> </w:t>
      </w:r>
      <w:r w:rsidRPr="00C33FB7">
        <w:rPr>
          <w:rFonts w:ascii="Times New Roman" w:hAnsi="Times New Roman"/>
          <w:sz w:val="28"/>
          <w:szCs w:val="20"/>
          <w:lang w:eastAsia="ru-RU"/>
        </w:rPr>
        <w:t xml:space="preserve">на </w:t>
      </w:r>
      <w:r w:rsidRPr="008C7418">
        <w:rPr>
          <w:rFonts w:ascii="Times New Roman" w:hAnsi="Times New Roman"/>
          <w:sz w:val="28"/>
          <w:szCs w:val="20"/>
          <w:lang w:eastAsia="ru-RU"/>
        </w:rPr>
        <w:t>19,5 тыс. рублей, или на 8,1 % больше уровня 2020 года (239,6 тыс. рублей).</w:t>
      </w:r>
    </w:p>
    <w:bookmarkEnd w:id="4"/>
    <w:p w14:paraId="2B3CF4C0" w14:textId="77777777" w:rsidR="006762BB" w:rsidRDefault="006762BB" w:rsidP="006762BB">
      <w:pPr>
        <w:widowControl w:val="0"/>
        <w:autoSpaceDE w:val="0"/>
        <w:autoSpaceDN w:val="0"/>
        <w:adjustRightInd w:val="0"/>
        <w:spacing w:after="0" w:line="240" w:lineRule="auto"/>
        <w:ind w:firstLine="709"/>
        <w:jc w:val="both"/>
        <w:outlineLvl w:val="1"/>
        <w:rPr>
          <w:rFonts w:ascii="Times New Roman" w:hAnsi="Times New Roman"/>
          <w:sz w:val="28"/>
          <w:szCs w:val="20"/>
          <w:lang w:eastAsia="ru-RU"/>
        </w:rPr>
      </w:pPr>
      <w:r w:rsidRPr="00C94691">
        <w:rPr>
          <w:rFonts w:ascii="Times New Roman" w:hAnsi="Times New Roman"/>
          <w:sz w:val="28"/>
          <w:szCs w:val="20"/>
          <w:lang w:eastAsia="ru-RU"/>
        </w:rPr>
        <w:t xml:space="preserve">Поступления налоговых и неналоговых доходов в консолидированный бюджет </w:t>
      </w:r>
      <w:r w:rsidRPr="00FA005E">
        <w:rPr>
          <w:rFonts w:ascii="Times New Roman" w:hAnsi="Times New Roman"/>
          <w:sz w:val="28"/>
          <w:szCs w:val="20"/>
          <w:lang w:eastAsia="ru-RU"/>
        </w:rPr>
        <w:t>Р</w:t>
      </w:r>
      <w:r>
        <w:rPr>
          <w:rFonts w:ascii="Times New Roman" w:hAnsi="Times New Roman"/>
          <w:sz w:val="28"/>
          <w:szCs w:val="20"/>
          <w:lang w:eastAsia="ru-RU"/>
        </w:rPr>
        <w:t xml:space="preserve">еспублики </w:t>
      </w:r>
      <w:r w:rsidRPr="00FA005E">
        <w:rPr>
          <w:rFonts w:ascii="Times New Roman" w:hAnsi="Times New Roman"/>
          <w:sz w:val="28"/>
          <w:szCs w:val="20"/>
          <w:lang w:eastAsia="ru-RU"/>
        </w:rPr>
        <w:t>Д</w:t>
      </w:r>
      <w:r>
        <w:rPr>
          <w:rFonts w:ascii="Times New Roman" w:hAnsi="Times New Roman"/>
          <w:sz w:val="28"/>
          <w:szCs w:val="20"/>
          <w:lang w:eastAsia="ru-RU"/>
        </w:rPr>
        <w:t>агестан</w:t>
      </w:r>
      <w:r w:rsidRPr="00C94691">
        <w:rPr>
          <w:rFonts w:ascii="Times New Roman" w:hAnsi="Times New Roman"/>
          <w:sz w:val="28"/>
          <w:szCs w:val="20"/>
          <w:lang w:eastAsia="ru-RU"/>
        </w:rPr>
        <w:t xml:space="preserve"> (55 635,1 млн рублей) в объеме ВРП (814 455,6 млн. рублей) составляют 6,8 % против 6,5 % за 2020 год.</w:t>
      </w:r>
    </w:p>
    <w:p w14:paraId="5C864589" w14:textId="77777777" w:rsidR="006762BB" w:rsidRPr="001E7976" w:rsidRDefault="006762BB" w:rsidP="006762BB">
      <w:pPr>
        <w:widowControl w:val="0"/>
        <w:autoSpaceDE w:val="0"/>
        <w:autoSpaceDN w:val="0"/>
        <w:adjustRightInd w:val="0"/>
        <w:spacing w:after="0" w:line="240" w:lineRule="auto"/>
        <w:ind w:firstLine="709"/>
        <w:jc w:val="both"/>
        <w:outlineLvl w:val="1"/>
        <w:rPr>
          <w:rFonts w:ascii="Times New Roman" w:hAnsi="Times New Roman"/>
          <w:color w:val="000000"/>
          <w:sz w:val="28"/>
          <w:szCs w:val="28"/>
          <w:lang w:eastAsia="ru-RU"/>
        </w:rPr>
      </w:pPr>
      <w:r w:rsidRPr="00226D59">
        <w:rPr>
          <w:rFonts w:ascii="Times New Roman" w:hAnsi="Times New Roman"/>
          <w:b/>
          <w:bCs/>
          <w:color w:val="002060"/>
          <w:sz w:val="28"/>
          <w:szCs w:val="20"/>
          <w:lang w:eastAsia="ru-RU"/>
        </w:rPr>
        <w:t>2.3.2.</w:t>
      </w:r>
      <w:r w:rsidRPr="001E7976">
        <w:rPr>
          <w:rFonts w:ascii="Times New Roman" w:hAnsi="Times New Roman"/>
          <w:b/>
          <w:bCs/>
          <w:iCs/>
          <w:color w:val="000000"/>
          <w:sz w:val="28"/>
          <w:szCs w:val="28"/>
          <w:lang w:eastAsia="ru-RU"/>
        </w:rPr>
        <w:t xml:space="preserve"> </w:t>
      </w:r>
      <w:r w:rsidRPr="00101461">
        <w:rPr>
          <w:rFonts w:ascii="Times New Roman" w:hAnsi="Times New Roman"/>
          <w:b/>
          <w:bCs/>
          <w:iCs/>
          <w:color w:val="002060"/>
          <w:sz w:val="28"/>
          <w:szCs w:val="28"/>
          <w:lang w:eastAsia="ru-RU"/>
        </w:rPr>
        <w:t xml:space="preserve">Инфляция (индекс потребительских цен) </w:t>
      </w:r>
      <w:r w:rsidRPr="001E7976">
        <w:rPr>
          <w:rFonts w:ascii="Times New Roman" w:hAnsi="Times New Roman"/>
          <w:bCs/>
          <w:iCs/>
          <w:color w:val="000000"/>
          <w:sz w:val="28"/>
          <w:szCs w:val="28"/>
          <w:lang w:eastAsia="ru-RU"/>
        </w:rPr>
        <w:t>в</w:t>
      </w:r>
      <w:r w:rsidRPr="001E7976">
        <w:rPr>
          <w:rFonts w:ascii="Times New Roman" w:hAnsi="Times New Roman"/>
          <w:color w:val="000000"/>
          <w:sz w:val="28"/>
          <w:szCs w:val="28"/>
          <w:lang w:eastAsia="ru-RU"/>
        </w:rPr>
        <w:t xml:space="preserve"> среднем за 2021 год составила 110,1 %, что на 5,4 процентных пунктов больше уровня 2020 года (104,7 %) и на 6,0 процентных пунктов больше, чем запланировано Прогнозом </w:t>
      </w:r>
      <w:r w:rsidRPr="001E7976">
        <w:rPr>
          <w:rFonts w:ascii="Times New Roman" w:hAnsi="Times New Roman"/>
          <w:color w:val="000000"/>
          <w:sz w:val="28"/>
          <w:szCs w:val="28"/>
          <w:lang w:eastAsia="ru-RU"/>
        </w:rPr>
        <w:lastRenderedPageBreak/>
        <w:t xml:space="preserve">СЭР РД на 2021 год (104,1 %). </w:t>
      </w:r>
    </w:p>
    <w:p w14:paraId="2626862B" w14:textId="77777777" w:rsidR="006762BB" w:rsidRPr="00F516A2"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F516A2">
        <w:rPr>
          <w:rFonts w:ascii="Times New Roman" w:hAnsi="Times New Roman"/>
          <w:color w:val="000000"/>
          <w:sz w:val="28"/>
          <w:szCs w:val="28"/>
          <w:lang w:eastAsia="ru-RU"/>
        </w:rPr>
        <w:t xml:space="preserve">Рост потребительских цен обусловлен с удорожанием продовольственных товаров на 12,6 % (за 2020 год – 5,3 %), не продовольственных товаров – на 8,7 % (за 2020 год – 4,5 %). </w:t>
      </w:r>
    </w:p>
    <w:p w14:paraId="2EF5DA97" w14:textId="77777777" w:rsidR="006762BB" w:rsidRPr="0027439D"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226D59">
        <w:rPr>
          <w:rFonts w:ascii="Times New Roman" w:hAnsi="Times New Roman"/>
          <w:b/>
          <w:bCs/>
          <w:color w:val="002060"/>
          <w:sz w:val="28"/>
          <w:szCs w:val="20"/>
          <w:lang w:eastAsia="ru-RU"/>
        </w:rPr>
        <w:t>2.3.3.</w:t>
      </w:r>
      <w:r w:rsidRPr="0027439D">
        <w:rPr>
          <w:rFonts w:ascii="Times New Roman" w:hAnsi="Times New Roman"/>
          <w:sz w:val="28"/>
          <w:szCs w:val="20"/>
          <w:lang w:eastAsia="ru-RU"/>
        </w:rPr>
        <w:t xml:space="preserve"> </w:t>
      </w:r>
      <w:r w:rsidRPr="0027439D">
        <w:rPr>
          <w:rFonts w:ascii="Times New Roman" w:hAnsi="Times New Roman"/>
          <w:color w:val="000000"/>
          <w:sz w:val="28"/>
          <w:szCs w:val="28"/>
          <w:lang w:eastAsia="ru-RU"/>
        </w:rPr>
        <w:t xml:space="preserve">Индекс </w:t>
      </w:r>
      <w:r w:rsidRPr="00101461">
        <w:rPr>
          <w:rFonts w:ascii="Times New Roman" w:hAnsi="Times New Roman"/>
          <w:b/>
          <w:color w:val="002060"/>
          <w:sz w:val="28"/>
          <w:szCs w:val="28"/>
          <w:lang w:eastAsia="ru-RU"/>
        </w:rPr>
        <w:t>промышленного производства</w:t>
      </w:r>
      <w:r w:rsidRPr="00101461">
        <w:rPr>
          <w:rFonts w:ascii="Times New Roman" w:hAnsi="Times New Roman"/>
          <w:color w:val="002060"/>
          <w:sz w:val="28"/>
          <w:szCs w:val="28"/>
          <w:lang w:eastAsia="ru-RU"/>
        </w:rPr>
        <w:t xml:space="preserve"> </w:t>
      </w:r>
      <w:r w:rsidRPr="0027439D">
        <w:rPr>
          <w:rFonts w:ascii="Times New Roman" w:hAnsi="Times New Roman"/>
          <w:color w:val="000000"/>
          <w:sz w:val="28"/>
          <w:szCs w:val="28"/>
          <w:lang w:eastAsia="ru-RU"/>
        </w:rPr>
        <w:t xml:space="preserve">за 2021 год составил </w:t>
      </w:r>
      <w:r w:rsidRPr="0027439D">
        <w:rPr>
          <w:rFonts w:ascii="Times New Roman" w:hAnsi="Times New Roman"/>
          <w:color w:val="000000"/>
          <w:sz w:val="28"/>
          <w:szCs w:val="28"/>
          <w:lang w:eastAsia="ru-RU"/>
        </w:rPr>
        <w:br/>
        <w:t xml:space="preserve">105,2 %, что на 4,2 </w:t>
      </w:r>
      <w:bookmarkStart w:id="5" w:name="_Hlk40871361"/>
      <w:r w:rsidRPr="0027439D">
        <w:rPr>
          <w:rFonts w:ascii="Times New Roman" w:hAnsi="Times New Roman"/>
          <w:color w:val="000000"/>
          <w:sz w:val="28"/>
          <w:szCs w:val="28"/>
          <w:lang w:eastAsia="ru-RU"/>
        </w:rPr>
        <w:t xml:space="preserve">процентных пунктов </w:t>
      </w:r>
      <w:bookmarkEnd w:id="5"/>
      <w:r w:rsidRPr="0027439D">
        <w:rPr>
          <w:rFonts w:ascii="Times New Roman" w:hAnsi="Times New Roman"/>
          <w:color w:val="000000"/>
          <w:sz w:val="28"/>
          <w:szCs w:val="28"/>
          <w:lang w:eastAsia="ru-RU"/>
        </w:rPr>
        <w:t>меньше уровня 2020 года (109,4 %), на 0,4 процентных пункта меньше уровня, запланированного Прогнозом СЭР РД на 2021 год (105,6 %).</w:t>
      </w:r>
    </w:p>
    <w:p w14:paraId="28CFAAD3" w14:textId="77777777" w:rsidR="006762BB" w:rsidRPr="0027439D" w:rsidRDefault="006762BB" w:rsidP="006762BB">
      <w:pPr>
        <w:widowControl w:val="0"/>
        <w:spacing w:after="0" w:line="240" w:lineRule="auto"/>
        <w:ind w:firstLine="709"/>
        <w:jc w:val="both"/>
        <w:rPr>
          <w:rFonts w:ascii="Times New Roman" w:hAnsi="Times New Roman"/>
          <w:sz w:val="28"/>
          <w:szCs w:val="28"/>
          <w:lang w:eastAsia="ru-RU"/>
        </w:rPr>
      </w:pPr>
      <w:r w:rsidRPr="0027439D">
        <w:rPr>
          <w:rFonts w:ascii="Times New Roman" w:hAnsi="Times New Roman"/>
          <w:sz w:val="28"/>
          <w:szCs w:val="28"/>
          <w:lang w:eastAsia="ru-RU"/>
        </w:rPr>
        <w:t xml:space="preserve">Объем отгруженной промышленной продукции составил 74 339,9 млн. рублей, что на 6 747,7 млн. рублей, или 10 % больше уровня 2020 года </w:t>
      </w:r>
      <w:r w:rsidRPr="0027439D">
        <w:rPr>
          <w:rFonts w:ascii="Times New Roman" w:hAnsi="Times New Roman"/>
          <w:sz w:val="28"/>
          <w:szCs w:val="28"/>
          <w:lang w:eastAsia="ru-RU"/>
        </w:rPr>
        <w:br/>
        <w:t>(67 592,2 млн рублей), при этом на 11 663,1 млн рублей, или 13,6 % меньше, чем запланировано Прогнозом СЭР РД на 2021 год (86 003,0 млн</w:t>
      </w:r>
      <w:r>
        <w:rPr>
          <w:rFonts w:ascii="Times New Roman" w:hAnsi="Times New Roman"/>
          <w:sz w:val="28"/>
          <w:szCs w:val="28"/>
          <w:lang w:eastAsia="ru-RU"/>
        </w:rPr>
        <w:t>.</w:t>
      </w:r>
      <w:r w:rsidRPr="0027439D">
        <w:rPr>
          <w:rFonts w:ascii="Times New Roman" w:hAnsi="Times New Roman"/>
          <w:sz w:val="28"/>
          <w:szCs w:val="28"/>
          <w:lang w:eastAsia="ru-RU"/>
        </w:rPr>
        <w:t xml:space="preserve"> рублей).</w:t>
      </w:r>
    </w:p>
    <w:p w14:paraId="41D91D92" w14:textId="77777777" w:rsidR="006762BB" w:rsidRDefault="006762BB" w:rsidP="006762BB">
      <w:pPr>
        <w:widowControl w:val="0"/>
        <w:spacing w:after="0" w:line="240" w:lineRule="auto"/>
        <w:ind w:firstLine="709"/>
        <w:jc w:val="both"/>
        <w:rPr>
          <w:rFonts w:ascii="Times New Roman" w:hAnsi="Times New Roman"/>
          <w:sz w:val="28"/>
          <w:szCs w:val="28"/>
          <w:lang w:eastAsia="ru-RU"/>
        </w:rPr>
      </w:pPr>
      <w:r w:rsidRPr="0027439D">
        <w:rPr>
          <w:rFonts w:ascii="Times New Roman" w:hAnsi="Times New Roman"/>
          <w:sz w:val="28"/>
          <w:szCs w:val="28"/>
          <w:lang w:eastAsia="ru-RU"/>
        </w:rPr>
        <w:t xml:space="preserve">Объем отгруженной промышленной продукции в расчете на душу населения составляет 23,6 тыс. рублей, против 628,3 тыс. рублей в среднем по Российской Федерации и 80,9 тыс. рублей в </w:t>
      </w:r>
      <w:r w:rsidRPr="00A70E21">
        <w:rPr>
          <w:rFonts w:ascii="Times New Roman" w:hAnsi="Times New Roman"/>
          <w:sz w:val="28"/>
          <w:szCs w:val="28"/>
          <w:lang w:eastAsia="ru-RU"/>
        </w:rPr>
        <w:t>среднем по субъектам СКФО (отставание в 26,6 раза и 3,4 раза соответственно). По данному показателю Республика Дагестан занимает 6 место после Чеченской</w:t>
      </w:r>
      <w:r w:rsidRPr="002C6B24">
        <w:rPr>
          <w:rFonts w:ascii="Times New Roman" w:hAnsi="Times New Roman"/>
          <w:sz w:val="28"/>
          <w:szCs w:val="28"/>
          <w:lang w:eastAsia="ru-RU"/>
        </w:rPr>
        <w:t xml:space="preserve"> Республики (</w:t>
      </w:r>
      <w:r>
        <w:rPr>
          <w:rFonts w:ascii="Times New Roman" w:hAnsi="Times New Roman"/>
          <w:sz w:val="28"/>
          <w:szCs w:val="28"/>
          <w:lang w:eastAsia="ru-RU"/>
        </w:rPr>
        <w:t>31,1</w:t>
      </w:r>
      <w:r w:rsidRPr="002C6B24">
        <w:rPr>
          <w:rFonts w:ascii="Times New Roman" w:hAnsi="Times New Roman"/>
          <w:sz w:val="28"/>
          <w:szCs w:val="28"/>
          <w:lang w:eastAsia="ru-RU"/>
        </w:rPr>
        <w:t xml:space="preserve"> тыс. рублей). </w:t>
      </w:r>
    </w:p>
    <w:p w14:paraId="4150375E" w14:textId="77777777" w:rsidR="006762BB" w:rsidRDefault="006762BB" w:rsidP="006762BB">
      <w:pPr>
        <w:widowControl w:val="0"/>
        <w:spacing w:after="0" w:line="240" w:lineRule="auto"/>
        <w:ind w:firstLine="709"/>
        <w:jc w:val="both"/>
        <w:rPr>
          <w:rFonts w:ascii="Times New Roman" w:hAnsi="Times New Roman"/>
          <w:sz w:val="28"/>
          <w:szCs w:val="28"/>
          <w:lang w:eastAsia="ru-RU"/>
        </w:rPr>
      </w:pPr>
    </w:p>
    <w:p w14:paraId="3D68D602" w14:textId="77777777" w:rsidR="006762BB" w:rsidRPr="00F92D8B" w:rsidRDefault="006762BB" w:rsidP="006762BB">
      <w:pPr>
        <w:widowControl w:val="0"/>
        <w:autoSpaceDE w:val="0"/>
        <w:autoSpaceDN w:val="0"/>
        <w:adjustRightInd w:val="0"/>
        <w:spacing w:after="0" w:line="240" w:lineRule="auto"/>
        <w:ind w:left="-300" w:firstLine="600"/>
        <w:jc w:val="center"/>
        <w:rPr>
          <w:rFonts w:ascii="Times New Roman" w:hAnsi="Times New Roman"/>
          <w:b/>
          <w:bCs/>
          <w:color w:val="002060"/>
          <w:sz w:val="28"/>
          <w:szCs w:val="28"/>
          <w:lang w:eastAsia="ru-RU"/>
        </w:rPr>
      </w:pPr>
      <w:r w:rsidRPr="00F92D8B">
        <w:rPr>
          <w:rFonts w:ascii="Times New Roman" w:hAnsi="Times New Roman"/>
          <w:b/>
          <w:bCs/>
          <w:color w:val="002060"/>
          <w:sz w:val="28"/>
          <w:szCs w:val="28"/>
          <w:lang w:eastAsia="ru-RU"/>
        </w:rPr>
        <w:t xml:space="preserve">Темпы роста и объемы промышленной продукции в расчете </w:t>
      </w:r>
    </w:p>
    <w:p w14:paraId="79E6E1CA" w14:textId="77777777" w:rsidR="006762BB" w:rsidRPr="00F92D8B" w:rsidRDefault="006762BB" w:rsidP="006762BB">
      <w:pPr>
        <w:widowControl w:val="0"/>
        <w:autoSpaceDE w:val="0"/>
        <w:autoSpaceDN w:val="0"/>
        <w:adjustRightInd w:val="0"/>
        <w:spacing w:after="0" w:line="240" w:lineRule="auto"/>
        <w:ind w:left="-300" w:firstLine="600"/>
        <w:jc w:val="center"/>
        <w:rPr>
          <w:rFonts w:ascii="Times New Roman" w:hAnsi="Times New Roman"/>
          <w:b/>
          <w:bCs/>
          <w:color w:val="002060"/>
          <w:sz w:val="28"/>
          <w:szCs w:val="28"/>
          <w:lang w:eastAsia="ru-RU"/>
        </w:rPr>
      </w:pPr>
      <w:r w:rsidRPr="00F92D8B">
        <w:rPr>
          <w:rFonts w:ascii="Times New Roman" w:hAnsi="Times New Roman"/>
          <w:b/>
          <w:bCs/>
          <w:color w:val="002060"/>
          <w:sz w:val="28"/>
          <w:szCs w:val="28"/>
          <w:lang w:eastAsia="ru-RU"/>
        </w:rPr>
        <w:t xml:space="preserve">на душу населения в РД в среднем по РФ и СКФО </w:t>
      </w:r>
    </w:p>
    <w:p w14:paraId="29710522" w14:textId="77777777" w:rsidR="006762BB" w:rsidRPr="00F92D8B" w:rsidRDefault="006762BB" w:rsidP="006762BB">
      <w:pPr>
        <w:widowControl w:val="0"/>
        <w:autoSpaceDE w:val="0"/>
        <w:autoSpaceDN w:val="0"/>
        <w:adjustRightInd w:val="0"/>
        <w:spacing w:after="0" w:line="240" w:lineRule="auto"/>
        <w:ind w:left="-300" w:firstLine="600"/>
        <w:jc w:val="center"/>
        <w:rPr>
          <w:rFonts w:ascii="Times New Roman" w:hAnsi="Times New Roman"/>
          <w:b/>
          <w:bCs/>
          <w:color w:val="002060"/>
          <w:sz w:val="28"/>
          <w:szCs w:val="28"/>
          <w:lang w:eastAsia="ru-RU"/>
        </w:rPr>
      </w:pPr>
    </w:p>
    <w:p w14:paraId="6FDEC1D7" w14:textId="77777777" w:rsidR="006762BB" w:rsidRPr="00F92D8B" w:rsidRDefault="006762BB" w:rsidP="006762BB">
      <w:pPr>
        <w:widowControl w:val="0"/>
        <w:spacing w:after="0" w:line="240" w:lineRule="auto"/>
        <w:jc w:val="both"/>
        <w:rPr>
          <w:rFonts w:ascii="Times New Roman" w:hAnsi="Times New Roman"/>
          <w:b/>
          <w:color w:val="002060"/>
          <w:sz w:val="24"/>
          <w:szCs w:val="24"/>
          <w:lang w:eastAsia="ru-RU"/>
        </w:rPr>
      </w:pPr>
      <w:r w:rsidRPr="00F92D8B">
        <w:rPr>
          <w:rFonts w:ascii="Times New Roman" w:hAnsi="Times New Roman"/>
          <w:b/>
          <w:color w:val="002060"/>
          <w:sz w:val="24"/>
          <w:szCs w:val="24"/>
          <w:lang w:eastAsia="ru-RU"/>
        </w:rPr>
        <w:t xml:space="preserve">                     темпы роста (%)                           в расчете на душу населения (тыс. рублей)</w:t>
      </w:r>
    </w:p>
    <w:p w14:paraId="4FBF42CD" w14:textId="77777777" w:rsidR="006762BB" w:rsidRPr="002C6B24" w:rsidRDefault="006762BB" w:rsidP="006762BB">
      <w:pPr>
        <w:widowControl w:val="0"/>
        <w:spacing w:after="0" w:line="240" w:lineRule="auto"/>
        <w:jc w:val="both"/>
        <w:rPr>
          <w:rFonts w:ascii="Times New Roman" w:hAnsi="Times New Roman"/>
          <w:sz w:val="28"/>
          <w:szCs w:val="28"/>
          <w:lang w:eastAsia="ru-RU"/>
        </w:rPr>
      </w:pPr>
    </w:p>
    <w:p w14:paraId="77728950" w14:textId="77777777" w:rsidR="006762BB" w:rsidRDefault="006762BB" w:rsidP="006762BB">
      <w:pPr>
        <w:widowControl w:val="0"/>
        <w:spacing w:after="0" w:line="240" w:lineRule="auto"/>
        <w:jc w:val="both"/>
        <w:rPr>
          <w:rFonts w:ascii="Times New Roman" w:hAnsi="Times New Roman"/>
          <w:sz w:val="28"/>
          <w:szCs w:val="28"/>
          <w:highlight w:val="yellow"/>
          <w:lang w:eastAsia="ru-RU"/>
        </w:rPr>
      </w:pPr>
      <w:r>
        <w:rPr>
          <w:noProof/>
        </w:rPr>
        <w:drawing>
          <wp:inline distT="0" distB="0" distL="0" distR="0" wp14:anchorId="33C2F1E0" wp14:editId="58C5EFE5">
            <wp:extent cx="3048000" cy="2743835"/>
            <wp:effectExtent l="0" t="0" r="0" b="18415"/>
            <wp:docPr id="5" name="Диаграмма 5">
              <a:extLst xmlns:a="http://schemas.openxmlformats.org/drawingml/2006/main">
                <a:ext uri="{FF2B5EF4-FFF2-40B4-BE49-F238E27FC236}">
                  <a16:creationId xmlns:a16="http://schemas.microsoft.com/office/drawing/2014/main" id="{C6783528-58FB-A480-3DB5-123B25BFA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0" distR="0" wp14:anchorId="3C911602" wp14:editId="25062132">
            <wp:extent cx="2870200" cy="2752428"/>
            <wp:effectExtent l="0" t="0" r="12700" b="16510"/>
            <wp:docPr id="3" name="Диаграмма 3">
              <a:extLst xmlns:a="http://schemas.openxmlformats.org/drawingml/2006/main">
                <a:ext uri="{FF2B5EF4-FFF2-40B4-BE49-F238E27FC236}">
                  <a16:creationId xmlns:a16="http://schemas.microsoft.com/office/drawing/2014/main" id="{16834091-40A3-DD92-9405-D7C4F9FFF3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0AAFE9" w14:textId="77777777" w:rsidR="006762BB" w:rsidRDefault="006762BB" w:rsidP="006762BB">
      <w:pPr>
        <w:widowControl w:val="0"/>
        <w:spacing w:after="0" w:line="240" w:lineRule="auto"/>
        <w:ind w:firstLine="709"/>
        <w:jc w:val="both"/>
        <w:rPr>
          <w:rFonts w:ascii="Times New Roman" w:hAnsi="Times New Roman"/>
          <w:b/>
          <w:bCs/>
          <w:color w:val="002060"/>
          <w:sz w:val="28"/>
          <w:szCs w:val="20"/>
          <w:lang w:eastAsia="ru-RU"/>
        </w:rPr>
      </w:pPr>
    </w:p>
    <w:p w14:paraId="350B3C36" w14:textId="77777777" w:rsidR="006762BB" w:rsidRPr="00906358" w:rsidRDefault="006762BB" w:rsidP="006762BB">
      <w:pPr>
        <w:widowControl w:val="0"/>
        <w:spacing w:after="0" w:line="240" w:lineRule="auto"/>
        <w:ind w:firstLine="709"/>
        <w:jc w:val="both"/>
        <w:rPr>
          <w:rFonts w:ascii="Times New Roman" w:hAnsi="Times New Roman"/>
          <w:sz w:val="28"/>
          <w:szCs w:val="28"/>
          <w:lang w:eastAsia="ru-RU"/>
        </w:rPr>
      </w:pPr>
      <w:r w:rsidRPr="00226D59">
        <w:rPr>
          <w:rFonts w:ascii="Times New Roman" w:hAnsi="Times New Roman"/>
          <w:b/>
          <w:bCs/>
          <w:color w:val="002060"/>
          <w:sz w:val="28"/>
          <w:szCs w:val="20"/>
          <w:lang w:eastAsia="ru-RU"/>
        </w:rPr>
        <w:t>2.3.4.</w:t>
      </w:r>
      <w:r w:rsidRPr="00906358">
        <w:rPr>
          <w:rFonts w:ascii="Times New Roman" w:hAnsi="Times New Roman"/>
          <w:sz w:val="28"/>
          <w:szCs w:val="28"/>
          <w:lang w:eastAsia="ru-RU"/>
        </w:rPr>
        <w:t xml:space="preserve"> Индекс производства продукции </w:t>
      </w:r>
      <w:r w:rsidRPr="00906358">
        <w:rPr>
          <w:rFonts w:ascii="Times New Roman" w:hAnsi="Times New Roman"/>
          <w:b/>
          <w:sz w:val="28"/>
          <w:szCs w:val="28"/>
          <w:lang w:eastAsia="ru-RU"/>
        </w:rPr>
        <w:t>сельского хозяйства</w:t>
      </w:r>
      <w:r w:rsidRPr="00906358">
        <w:rPr>
          <w:rFonts w:ascii="Times New Roman" w:hAnsi="Times New Roman"/>
          <w:sz w:val="28"/>
          <w:szCs w:val="28"/>
          <w:lang w:eastAsia="ru-RU"/>
        </w:rPr>
        <w:t xml:space="preserve"> за 2021 год составил 100,5 %, </w:t>
      </w:r>
      <w:bookmarkStart w:id="6" w:name="_Hlk8223181"/>
      <w:r w:rsidRPr="00906358">
        <w:rPr>
          <w:rFonts w:ascii="Times New Roman" w:hAnsi="Times New Roman"/>
          <w:sz w:val="28"/>
          <w:szCs w:val="28"/>
          <w:lang w:eastAsia="ru-RU"/>
        </w:rPr>
        <w:t xml:space="preserve">что на 0,8 процентных пунктов меньше уровня 2020 года (101,3 %) и на 1,9 процентных пунктов меньше уровня, запланированного Прогнозом </w:t>
      </w:r>
      <w:r w:rsidRPr="00906358">
        <w:rPr>
          <w:rFonts w:ascii="Times New Roman" w:hAnsi="Times New Roman"/>
          <w:color w:val="000000"/>
          <w:sz w:val="28"/>
          <w:szCs w:val="28"/>
          <w:lang w:eastAsia="ru-RU"/>
        </w:rPr>
        <w:t>СЭР РД на 2021 год (102,4 %)</w:t>
      </w:r>
      <w:r w:rsidRPr="00906358">
        <w:rPr>
          <w:rFonts w:ascii="Times New Roman" w:hAnsi="Times New Roman"/>
          <w:sz w:val="28"/>
          <w:szCs w:val="28"/>
          <w:lang w:eastAsia="ru-RU"/>
        </w:rPr>
        <w:t xml:space="preserve">. </w:t>
      </w:r>
    </w:p>
    <w:bookmarkEnd w:id="6"/>
    <w:p w14:paraId="0B11B0CC" w14:textId="77777777" w:rsidR="006762BB" w:rsidRPr="00906358" w:rsidRDefault="006762BB" w:rsidP="006762BB">
      <w:pPr>
        <w:widowControl w:val="0"/>
        <w:spacing w:after="0" w:line="240" w:lineRule="auto"/>
        <w:ind w:firstLine="709"/>
        <w:jc w:val="both"/>
        <w:rPr>
          <w:rFonts w:ascii="Times New Roman" w:hAnsi="Times New Roman"/>
          <w:sz w:val="28"/>
          <w:szCs w:val="28"/>
          <w:lang w:eastAsia="ru-RU"/>
        </w:rPr>
      </w:pPr>
      <w:r w:rsidRPr="00906358">
        <w:rPr>
          <w:rFonts w:ascii="Times New Roman" w:hAnsi="Times New Roman"/>
          <w:sz w:val="28"/>
          <w:szCs w:val="28"/>
          <w:lang w:eastAsia="ru-RU"/>
        </w:rPr>
        <w:t xml:space="preserve">Объем продукции сельского хозяйства за 2021 год составил 176 197,4 млн. рублей, что на 21 288,7 млн рублей, или 13,7 % больше, чем в 2020 году </w:t>
      </w:r>
      <w:r w:rsidRPr="00906358">
        <w:rPr>
          <w:rFonts w:ascii="Times New Roman" w:hAnsi="Times New Roman"/>
          <w:sz w:val="28"/>
          <w:szCs w:val="28"/>
          <w:lang w:eastAsia="ru-RU"/>
        </w:rPr>
        <w:lastRenderedPageBreak/>
        <w:t>(154 908,7 млн рублей), и на 23 775,1 млн. рублей, или 13,7 % больше, чем запланировано Прогнозом СЭР РД на 2021 год (152 422,3 млн рублей).</w:t>
      </w:r>
    </w:p>
    <w:p w14:paraId="40B846AB" w14:textId="77777777" w:rsidR="006762BB" w:rsidRDefault="006762BB" w:rsidP="006762BB">
      <w:pPr>
        <w:ind w:firstLine="708"/>
        <w:jc w:val="both"/>
        <w:rPr>
          <w:rFonts w:ascii="Times New Roman" w:hAnsi="Times New Roman"/>
          <w:color w:val="000000"/>
          <w:sz w:val="28"/>
          <w:szCs w:val="28"/>
          <w:lang w:eastAsia="ru-RU"/>
        </w:rPr>
      </w:pPr>
      <w:r w:rsidRPr="00A70E21">
        <w:rPr>
          <w:rFonts w:ascii="Times New Roman" w:hAnsi="Times New Roman"/>
          <w:color w:val="000000"/>
          <w:sz w:val="28"/>
          <w:szCs w:val="28"/>
          <w:lang w:eastAsia="ru-RU"/>
        </w:rPr>
        <w:t>Объем производства продукции сельского хозяйства в расчете на душу населения составляет 56,0 тыс. рублей, что на 4,1 тыс. рублей больше, чем в среднем по РФ (51,9 тыс. рублей), при этом на 9,4 тыс. рублей меньше, чем в среднем по СКФО (65,4 тыс. рублей). По данному показателю Республика Дагестан занимает 5 место после Республики Северная Осетия-Алания (58,9 тыс. рублей).</w:t>
      </w:r>
    </w:p>
    <w:p w14:paraId="787BEFAD" w14:textId="77777777" w:rsidR="006762BB" w:rsidRDefault="006762BB" w:rsidP="006762BB">
      <w:pPr>
        <w:spacing w:after="0" w:line="240" w:lineRule="auto"/>
        <w:ind w:firstLine="708"/>
        <w:jc w:val="both"/>
        <w:rPr>
          <w:rFonts w:ascii="Times New Roman" w:hAnsi="Times New Roman"/>
          <w:color w:val="000000"/>
          <w:sz w:val="28"/>
          <w:szCs w:val="28"/>
          <w:lang w:eastAsia="ru-RU"/>
        </w:rPr>
      </w:pPr>
      <w:r w:rsidRPr="00FC09B2">
        <w:rPr>
          <w:rFonts w:ascii="Times New Roman" w:hAnsi="Times New Roman"/>
          <w:color w:val="000000"/>
          <w:sz w:val="28"/>
          <w:szCs w:val="28"/>
          <w:lang w:eastAsia="ru-RU"/>
        </w:rPr>
        <w:t>Следует отметить, что по объему продукции сельского хозяйства Республика Дагестан отстает от уровня Ставропольского края в 1,5 раза (Р</w:t>
      </w:r>
      <w:r>
        <w:rPr>
          <w:rFonts w:ascii="Times New Roman" w:hAnsi="Times New Roman"/>
          <w:color w:val="000000"/>
          <w:sz w:val="28"/>
          <w:szCs w:val="28"/>
          <w:lang w:eastAsia="ru-RU"/>
        </w:rPr>
        <w:t xml:space="preserve">еспублика </w:t>
      </w:r>
      <w:r w:rsidRPr="00FC09B2">
        <w:rPr>
          <w:rFonts w:ascii="Times New Roman" w:hAnsi="Times New Roman"/>
          <w:color w:val="000000"/>
          <w:sz w:val="28"/>
          <w:szCs w:val="28"/>
          <w:lang w:eastAsia="ru-RU"/>
        </w:rPr>
        <w:t>Д</w:t>
      </w:r>
      <w:r>
        <w:rPr>
          <w:rFonts w:ascii="Times New Roman" w:hAnsi="Times New Roman"/>
          <w:color w:val="000000"/>
          <w:sz w:val="28"/>
          <w:szCs w:val="28"/>
          <w:lang w:eastAsia="ru-RU"/>
        </w:rPr>
        <w:t>агестан</w:t>
      </w:r>
      <w:r w:rsidRPr="00FC09B2">
        <w:rPr>
          <w:rFonts w:ascii="Times New Roman" w:hAnsi="Times New Roman"/>
          <w:color w:val="000000"/>
          <w:sz w:val="28"/>
          <w:szCs w:val="28"/>
          <w:lang w:eastAsia="ru-RU"/>
        </w:rPr>
        <w:t xml:space="preserve"> – 176</w:t>
      </w:r>
      <w:r>
        <w:rPr>
          <w:rFonts w:ascii="Times New Roman" w:hAnsi="Times New Roman"/>
          <w:color w:val="000000"/>
          <w:sz w:val="28"/>
          <w:szCs w:val="28"/>
          <w:lang w:eastAsia="ru-RU"/>
        </w:rPr>
        <w:t xml:space="preserve"> 198,1 </w:t>
      </w:r>
      <w:r w:rsidRPr="00FC09B2">
        <w:rPr>
          <w:rFonts w:ascii="Times New Roman" w:hAnsi="Times New Roman"/>
          <w:color w:val="000000"/>
          <w:sz w:val="28"/>
          <w:szCs w:val="28"/>
          <w:lang w:eastAsia="ru-RU"/>
        </w:rPr>
        <w:t xml:space="preserve">млн. рублей; </w:t>
      </w:r>
      <w:r w:rsidRPr="00F92D8B">
        <w:rPr>
          <w:rFonts w:ascii="Times New Roman" w:hAnsi="Times New Roman"/>
          <w:color w:val="000000"/>
          <w:sz w:val="28"/>
          <w:szCs w:val="28"/>
          <w:lang w:eastAsia="ru-RU"/>
        </w:rPr>
        <w:t>Ставропольск</w:t>
      </w:r>
      <w:r>
        <w:rPr>
          <w:rFonts w:ascii="Times New Roman" w:hAnsi="Times New Roman"/>
          <w:color w:val="000000"/>
          <w:sz w:val="28"/>
          <w:szCs w:val="28"/>
          <w:lang w:eastAsia="ru-RU"/>
        </w:rPr>
        <w:t xml:space="preserve">ий </w:t>
      </w:r>
      <w:r w:rsidRPr="00F92D8B">
        <w:rPr>
          <w:rFonts w:ascii="Times New Roman" w:hAnsi="Times New Roman"/>
          <w:color w:val="000000"/>
          <w:sz w:val="28"/>
          <w:szCs w:val="28"/>
          <w:lang w:eastAsia="ru-RU"/>
        </w:rPr>
        <w:t>кра</w:t>
      </w:r>
      <w:r>
        <w:rPr>
          <w:rFonts w:ascii="Times New Roman" w:hAnsi="Times New Roman"/>
          <w:color w:val="000000"/>
          <w:sz w:val="28"/>
          <w:szCs w:val="28"/>
          <w:lang w:eastAsia="ru-RU"/>
        </w:rPr>
        <w:t>й</w:t>
      </w:r>
      <w:r w:rsidRPr="00FC09B2">
        <w:rPr>
          <w:rFonts w:ascii="Times New Roman" w:hAnsi="Times New Roman"/>
          <w:color w:val="000000"/>
          <w:sz w:val="28"/>
          <w:szCs w:val="28"/>
          <w:lang w:eastAsia="ru-RU"/>
        </w:rPr>
        <w:t xml:space="preserve"> – 271</w:t>
      </w:r>
      <w:r>
        <w:rPr>
          <w:rFonts w:ascii="Times New Roman" w:hAnsi="Times New Roman"/>
          <w:color w:val="000000"/>
          <w:sz w:val="28"/>
          <w:szCs w:val="28"/>
          <w:lang w:eastAsia="ru-RU"/>
        </w:rPr>
        <w:t xml:space="preserve"> 789,3 </w:t>
      </w:r>
      <w:r w:rsidRPr="00FC09B2">
        <w:rPr>
          <w:rFonts w:ascii="Times New Roman" w:hAnsi="Times New Roman"/>
          <w:color w:val="000000"/>
          <w:sz w:val="28"/>
          <w:szCs w:val="28"/>
          <w:lang w:eastAsia="ru-RU"/>
        </w:rPr>
        <w:t>млн рублей), при этом по поступлению налогов по виду деятельности «сельское, лесное хозяйство, охота, рыболовство, рыбоводство» отставание в 9,2 раза</w:t>
      </w:r>
      <w:r>
        <w:rPr>
          <w:rFonts w:ascii="Times New Roman" w:hAnsi="Times New Roman"/>
          <w:color w:val="000000"/>
          <w:sz w:val="28"/>
          <w:szCs w:val="28"/>
          <w:lang w:eastAsia="ru-RU"/>
        </w:rPr>
        <w:t xml:space="preserve"> (Республика Дагестан – 523,1 млн рублей; </w:t>
      </w:r>
      <w:r w:rsidRPr="00F92D8B">
        <w:rPr>
          <w:rFonts w:ascii="Times New Roman" w:hAnsi="Times New Roman"/>
          <w:color w:val="000000"/>
          <w:sz w:val="28"/>
          <w:szCs w:val="28"/>
          <w:lang w:eastAsia="ru-RU"/>
        </w:rPr>
        <w:t>Ставропольск</w:t>
      </w:r>
      <w:r>
        <w:rPr>
          <w:rFonts w:ascii="Times New Roman" w:hAnsi="Times New Roman"/>
          <w:color w:val="000000"/>
          <w:sz w:val="28"/>
          <w:szCs w:val="28"/>
          <w:lang w:eastAsia="ru-RU"/>
        </w:rPr>
        <w:t xml:space="preserve">ий </w:t>
      </w:r>
      <w:r w:rsidRPr="00F92D8B">
        <w:rPr>
          <w:rFonts w:ascii="Times New Roman" w:hAnsi="Times New Roman"/>
          <w:color w:val="000000"/>
          <w:sz w:val="28"/>
          <w:szCs w:val="28"/>
          <w:lang w:eastAsia="ru-RU"/>
        </w:rPr>
        <w:t>кра</w:t>
      </w:r>
      <w:r>
        <w:rPr>
          <w:rFonts w:ascii="Times New Roman" w:hAnsi="Times New Roman"/>
          <w:color w:val="000000"/>
          <w:sz w:val="28"/>
          <w:szCs w:val="28"/>
          <w:lang w:eastAsia="ru-RU"/>
        </w:rPr>
        <w:t>й – 7 397,7 млн рублей)</w:t>
      </w:r>
      <w:r w:rsidRPr="00FC09B2">
        <w:rPr>
          <w:rFonts w:ascii="Times New Roman" w:hAnsi="Times New Roman"/>
          <w:color w:val="000000"/>
          <w:sz w:val="28"/>
          <w:szCs w:val="28"/>
          <w:lang w:eastAsia="ru-RU"/>
        </w:rPr>
        <w:t>.</w:t>
      </w:r>
    </w:p>
    <w:p w14:paraId="45A6ACB8" w14:textId="77777777" w:rsidR="006762BB" w:rsidRDefault="006762BB" w:rsidP="006762BB">
      <w:pPr>
        <w:spacing w:after="0" w:line="240" w:lineRule="auto"/>
        <w:ind w:firstLine="708"/>
        <w:jc w:val="both"/>
        <w:rPr>
          <w:rFonts w:ascii="Times New Roman" w:hAnsi="Times New Roman"/>
          <w:color w:val="000000"/>
          <w:sz w:val="28"/>
          <w:szCs w:val="28"/>
          <w:lang w:eastAsia="ru-RU"/>
        </w:rPr>
      </w:pPr>
    </w:p>
    <w:p w14:paraId="263CE5D6" w14:textId="77777777" w:rsidR="006762BB" w:rsidRPr="00CE1B43" w:rsidRDefault="006762BB"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r w:rsidRPr="00CE1B43">
        <w:rPr>
          <w:rFonts w:ascii="Times New Roman" w:hAnsi="Times New Roman"/>
          <w:b/>
          <w:bCs/>
          <w:color w:val="002060"/>
          <w:sz w:val="28"/>
          <w:szCs w:val="20"/>
          <w:lang w:eastAsia="ru-RU"/>
        </w:rPr>
        <w:t xml:space="preserve">Объем продукции сельского хозяйства </w:t>
      </w:r>
      <w:r>
        <w:rPr>
          <w:rFonts w:ascii="Times New Roman" w:hAnsi="Times New Roman"/>
          <w:b/>
          <w:bCs/>
          <w:color w:val="002060"/>
          <w:sz w:val="28"/>
          <w:szCs w:val="20"/>
          <w:lang w:eastAsia="ru-RU"/>
        </w:rPr>
        <w:t>и поступление</w:t>
      </w:r>
      <w:r w:rsidRPr="00CE1B43">
        <w:rPr>
          <w:rFonts w:ascii="Times New Roman" w:hAnsi="Times New Roman"/>
          <w:b/>
          <w:bCs/>
          <w:color w:val="002060"/>
          <w:sz w:val="28"/>
          <w:szCs w:val="20"/>
          <w:lang w:eastAsia="ru-RU"/>
        </w:rPr>
        <w:t xml:space="preserve"> налогов </w:t>
      </w:r>
    </w:p>
    <w:p w14:paraId="094A182A" w14:textId="77777777" w:rsidR="006762BB" w:rsidRDefault="006762BB" w:rsidP="006762BB">
      <w:pPr>
        <w:widowControl w:val="0"/>
        <w:autoSpaceDE w:val="0"/>
        <w:autoSpaceDN w:val="0"/>
        <w:adjustRightInd w:val="0"/>
        <w:spacing w:after="0" w:line="240" w:lineRule="auto"/>
        <w:jc w:val="center"/>
        <w:outlineLvl w:val="1"/>
        <w:rPr>
          <w:rFonts w:ascii="Times New Roman" w:hAnsi="Times New Roman"/>
          <w:color w:val="000000"/>
          <w:sz w:val="28"/>
          <w:szCs w:val="28"/>
          <w:lang w:eastAsia="ru-RU"/>
        </w:rPr>
      </w:pPr>
      <w:r w:rsidRPr="00CE1B43">
        <w:rPr>
          <w:rFonts w:ascii="Times New Roman" w:hAnsi="Times New Roman"/>
          <w:b/>
          <w:bCs/>
          <w:color w:val="002060"/>
          <w:sz w:val="28"/>
          <w:szCs w:val="20"/>
          <w:lang w:eastAsia="ru-RU"/>
        </w:rPr>
        <w:t>по Республике Дагестан и Ставропольскому краю</w:t>
      </w:r>
    </w:p>
    <w:p w14:paraId="7A8DB96D" w14:textId="77777777" w:rsidR="006762BB" w:rsidRDefault="006762BB" w:rsidP="006762BB">
      <w:pPr>
        <w:spacing w:after="0" w:line="240" w:lineRule="auto"/>
        <w:ind w:firstLine="708"/>
        <w:jc w:val="both"/>
        <w:rPr>
          <w:rFonts w:ascii="Times New Roman" w:hAnsi="Times New Roman"/>
          <w:color w:val="000000"/>
          <w:sz w:val="28"/>
          <w:szCs w:val="28"/>
          <w:lang w:eastAsia="ru-RU"/>
        </w:rPr>
      </w:pPr>
    </w:p>
    <w:p w14:paraId="2A0F9751" w14:textId="77777777" w:rsidR="006762BB" w:rsidRPr="00F92D8B" w:rsidRDefault="006762BB" w:rsidP="006762BB">
      <w:pPr>
        <w:spacing w:after="0" w:line="240" w:lineRule="auto"/>
        <w:jc w:val="both"/>
        <w:rPr>
          <w:rFonts w:ascii="Times New Roman" w:hAnsi="Times New Roman"/>
          <w:b/>
          <w:bCs/>
          <w:color w:val="002060"/>
          <w:sz w:val="28"/>
          <w:szCs w:val="20"/>
          <w:lang w:eastAsia="ru-RU"/>
        </w:rPr>
      </w:pPr>
      <w:r>
        <w:rPr>
          <w:rFonts w:ascii="Times New Roman" w:hAnsi="Times New Roman"/>
          <w:b/>
          <w:color w:val="000000"/>
          <w:sz w:val="28"/>
          <w:szCs w:val="28"/>
          <w:lang w:eastAsia="ru-RU"/>
        </w:rPr>
        <w:t xml:space="preserve">      </w:t>
      </w:r>
      <w:r w:rsidRPr="00F92D8B">
        <w:rPr>
          <w:rFonts w:ascii="Times New Roman" w:hAnsi="Times New Roman"/>
          <w:b/>
          <w:bCs/>
          <w:color w:val="002060"/>
          <w:sz w:val="28"/>
          <w:szCs w:val="20"/>
          <w:lang w:eastAsia="ru-RU"/>
        </w:rPr>
        <w:t>Объем продукции                                                  Поступление налогов</w:t>
      </w:r>
    </w:p>
    <w:p w14:paraId="332CB6B3" w14:textId="77777777" w:rsidR="006762BB" w:rsidRPr="00F92D8B" w:rsidRDefault="006762BB" w:rsidP="006762BB">
      <w:pPr>
        <w:spacing w:after="0" w:line="240" w:lineRule="auto"/>
        <w:jc w:val="both"/>
        <w:rPr>
          <w:rFonts w:ascii="Times New Roman" w:hAnsi="Times New Roman"/>
          <w:b/>
          <w:bCs/>
          <w:color w:val="002060"/>
          <w:sz w:val="28"/>
          <w:szCs w:val="20"/>
          <w:lang w:eastAsia="ru-RU"/>
        </w:rPr>
      </w:pPr>
      <w:r w:rsidRPr="00F92D8B">
        <w:rPr>
          <w:rFonts w:ascii="Times New Roman" w:hAnsi="Times New Roman"/>
          <w:b/>
          <w:bCs/>
          <w:color w:val="002060"/>
          <w:sz w:val="28"/>
          <w:szCs w:val="20"/>
          <w:lang w:eastAsia="ru-RU"/>
        </w:rPr>
        <w:t xml:space="preserve">         (млрд рублей)                                                                (млн рублей)</w:t>
      </w:r>
    </w:p>
    <w:p w14:paraId="5569B450" w14:textId="77777777" w:rsidR="006762BB" w:rsidRDefault="006762BB" w:rsidP="006762BB">
      <w:pPr>
        <w:spacing w:after="0" w:line="240" w:lineRule="auto"/>
        <w:jc w:val="both"/>
        <w:rPr>
          <w:rFonts w:ascii="Times New Roman" w:hAnsi="Times New Roman"/>
          <w:color w:val="000000"/>
          <w:sz w:val="28"/>
          <w:szCs w:val="28"/>
          <w:lang w:eastAsia="ru-RU"/>
        </w:rPr>
      </w:pPr>
      <w:r>
        <w:rPr>
          <w:noProof/>
        </w:rPr>
        <w:drawing>
          <wp:inline distT="0" distB="0" distL="0" distR="0" wp14:anchorId="7734462A" wp14:editId="3663CB22">
            <wp:extent cx="3093508" cy="3353858"/>
            <wp:effectExtent l="0" t="0" r="12065" b="18415"/>
            <wp:docPr id="4" name="Диаграмма 4">
              <a:extLst xmlns:a="http://schemas.openxmlformats.org/drawingml/2006/main">
                <a:ext uri="{FF2B5EF4-FFF2-40B4-BE49-F238E27FC236}">
                  <a16:creationId xmlns:a16="http://schemas.microsoft.com/office/drawing/2014/main" id="{00000000-0008-0000-0000-00000C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drawing>
          <wp:inline distT="0" distB="0" distL="0" distR="0" wp14:anchorId="36F6214F" wp14:editId="2C7838DB">
            <wp:extent cx="2795058" cy="3349625"/>
            <wp:effectExtent l="0" t="0" r="5715" b="3175"/>
            <wp:docPr id="9" name="Диаграмма 9">
              <a:extLst xmlns:a="http://schemas.openxmlformats.org/drawingml/2006/main">
                <a:ext uri="{FF2B5EF4-FFF2-40B4-BE49-F238E27FC236}">
                  <a16:creationId xmlns:a16="http://schemas.microsoft.com/office/drawing/2014/main" id="{00000000-0008-0000-0000-00000D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3373F3F" w14:textId="77777777" w:rsidR="006762BB" w:rsidRPr="00FE59F6" w:rsidRDefault="006762BB" w:rsidP="006762BB">
      <w:pPr>
        <w:spacing w:after="0" w:line="240" w:lineRule="auto"/>
        <w:jc w:val="both"/>
        <w:rPr>
          <w:rFonts w:ascii="Times New Roman" w:hAnsi="Times New Roman"/>
          <w:color w:val="000000"/>
          <w:sz w:val="28"/>
          <w:szCs w:val="28"/>
          <w:lang w:eastAsia="ru-RU"/>
        </w:rPr>
      </w:pPr>
    </w:p>
    <w:p w14:paraId="09823A18" w14:textId="77777777" w:rsidR="006762BB" w:rsidRPr="0044318B"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226D59">
        <w:rPr>
          <w:rFonts w:ascii="Times New Roman" w:hAnsi="Times New Roman"/>
          <w:b/>
          <w:bCs/>
          <w:color w:val="002060"/>
          <w:sz w:val="28"/>
          <w:szCs w:val="20"/>
          <w:lang w:eastAsia="ru-RU"/>
        </w:rPr>
        <w:t>2.3.5.</w:t>
      </w:r>
      <w:r w:rsidRPr="0044318B">
        <w:rPr>
          <w:rFonts w:ascii="Times New Roman" w:hAnsi="Times New Roman"/>
          <w:sz w:val="28"/>
          <w:szCs w:val="28"/>
          <w:lang w:eastAsia="ru-RU"/>
        </w:rPr>
        <w:t xml:space="preserve"> </w:t>
      </w:r>
      <w:r w:rsidRPr="0044318B">
        <w:rPr>
          <w:rFonts w:ascii="Times New Roman" w:hAnsi="Times New Roman"/>
          <w:color w:val="000000"/>
          <w:sz w:val="28"/>
          <w:szCs w:val="28"/>
          <w:lang w:eastAsia="ru-RU"/>
        </w:rPr>
        <w:t xml:space="preserve">Объем </w:t>
      </w:r>
      <w:r w:rsidRPr="0044318B">
        <w:rPr>
          <w:rFonts w:ascii="Times New Roman" w:hAnsi="Times New Roman"/>
          <w:b/>
          <w:color w:val="000000"/>
          <w:sz w:val="28"/>
          <w:szCs w:val="28"/>
          <w:lang w:eastAsia="ru-RU"/>
        </w:rPr>
        <w:t>инвестиций</w:t>
      </w:r>
      <w:r w:rsidRPr="0044318B">
        <w:rPr>
          <w:rFonts w:ascii="Times New Roman" w:hAnsi="Times New Roman"/>
          <w:color w:val="000000"/>
          <w:sz w:val="28"/>
          <w:szCs w:val="28"/>
          <w:lang w:eastAsia="ru-RU"/>
        </w:rPr>
        <w:t xml:space="preserve"> в основной капитал за счет всех источников финансирования по предварительным данным за 2021 год составил 251 368,0 млн. рублей, что на 22 070,1 млн рублей, или 8,1 % меньше уровня 2020 года (273 438,1 млн рублей).</w:t>
      </w:r>
    </w:p>
    <w:p w14:paraId="63FB54E7" w14:textId="77777777" w:rsidR="006762BB" w:rsidRPr="0044318B" w:rsidRDefault="006762BB" w:rsidP="006762BB">
      <w:pPr>
        <w:widowControl w:val="0"/>
        <w:spacing w:after="0" w:line="240" w:lineRule="auto"/>
        <w:ind w:firstLine="709"/>
        <w:jc w:val="both"/>
        <w:rPr>
          <w:rFonts w:ascii="Times New Roman" w:hAnsi="Times New Roman"/>
          <w:sz w:val="28"/>
          <w:szCs w:val="28"/>
          <w:lang w:eastAsia="ru-RU"/>
        </w:rPr>
      </w:pPr>
      <w:r w:rsidRPr="0044318B">
        <w:rPr>
          <w:rFonts w:ascii="Times New Roman" w:hAnsi="Times New Roman"/>
          <w:color w:val="000000"/>
          <w:sz w:val="28"/>
          <w:szCs w:val="28"/>
          <w:lang w:eastAsia="ru-RU"/>
        </w:rPr>
        <w:t xml:space="preserve">Темп роста инвестиций составил 88,6 %, </w:t>
      </w:r>
      <w:r w:rsidRPr="0044318B">
        <w:rPr>
          <w:rFonts w:ascii="Times New Roman" w:hAnsi="Times New Roman"/>
          <w:sz w:val="28"/>
          <w:szCs w:val="28"/>
          <w:lang w:eastAsia="ru-RU"/>
        </w:rPr>
        <w:t xml:space="preserve">что на 22,4 процентных пункта </w:t>
      </w:r>
      <w:r w:rsidRPr="0044318B">
        <w:rPr>
          <w:rFonts w:ascii="Times New Roman" w:hAnsi="Times New Roman"/>
          <w:sz w:val="28"/>
          <w:szCs w:val="28"/>
          <w:lang w:eastAsia="ru-RU"/>
        </w:rPr>
        <w:lastRenderedPageBreak/>
        <w:t>ниже уровня 2020 года (111,0 %) и на 14,5 процентных пункта меньше уровня, запланированного Прогнозом</w:t>
      </w:r>
      <w:r w:rsidRPr="0044318B">
        <w:rPr>
          <w:rFonts w:ascii="Times New Roman" w:hAnsi="Times New Roman"/>
          <w:color w:val="000000"/>
          <w:sz w:val="28"/>
          <w:szCs w:val="28"/>
          <w:lang w:eastAsia="ru-RU"/>
        </w:rPr>
        <w:t xml:space="preserve"> СЭР РД на 2021 год (103,1 %)</w:t>
      </w:r>
      <w:r w:rsidRPr="0044318B">
        <w:rPr>
          <w:rFonts w:ascii="Times New Roman" w:hAnsi="Times New Roman"/>
          <w:sz w:val="28"/>
          <w:szCs w:val="28"/>
          <w:lang w:eastAsia="ru-RU"/>
        </w:rPr>
        <w:t xml:space="preserve">. </w:t>
      </w:r>
    </w:p>
    <w:p w14:paraId="3BF505DF" w14:textId="77777777" w:rsidR="006762BB"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44318B">
        <w:rPr>
          <w:rFonts w:ascii="Times New Roman" w:hAnsi="Times New Roman"/>
          <w:color w:val="000000"/>
          <w:sz w:val="28"/>
          <w:szCs w:val="28"/>
          <w:lang w:eastAsia="ru-RU"/>
        </w:rPr>
        <w:t xml:space="preserve">Объем инвестиции в основной капитал в расчете на душу населения составил 80,0 тыс. рублей, </w:t>
      </w:r>
      <w:r w:rsidRPr="00AD4790">
        <w:rPr>
          <w:rFonts w:ascii="Times New Roman" w:hAnsi="Times New Roman"/>
          <w:color w:val="000000"/>
          <w:sz w:val="28"/>
          <w:szCs w:val="28"/>
          <w:lang w:eastAsia="ru-RU"/>
        </w:rPr>
        <w:t>что в 1,9 раза ниже, чем в среднем по Российской Федерации (157,3 тыс. рублей), при этом в 1,1 раза больше уровня в среднем по СКФО (72,5 тыс. рублей). Республика Дагестан по данному показателю среди субъектов СКФО занимает 2 место после Ставропольского края (91,2 тыс. рублей).</w:t>
      </w:r>
    </w:p>
    <w:p w14:paraId="41EF21B1" w14:textId="77777777" w:rsidR="006762BB"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p>
    <w:p w14:paraId="0DEC4970" w14:textId="77777777" w:rsidR="006762BB" w:rsidRPr="00F92D8B" w:rsidRDefault="006762BB" w:rsidP="006762BB">
      <w:pPr>
        <w:widowControl w:val="0"/>
        <w:shd w:val="clear" w:color="auto" w:fill="FFFFFF"/>
        <w:autoSpaceDE w:val="0"/>
        <w:autoSpaceDN w:val="0"/>
        <w:adjustRightInd w:val="0"/>
        <w:spacing w:after="0" w:line="240" w:lineRule="auto"/>
        <w:jc w:val="center"/>
        <w:outlineLvl w:val="1"/>
        <w:rPr>
          <w:rFonts w:ascii="Times New Roman" w:hAnsi="Times New Roman"/>
          <w:b/>
          <w:bCs/>
          <w:color w:val="002060"/>
          <w:sz w:val="28"/>
          <w:szCs w:val="28"/>
          <w:lang w:eastAsia="ru-RU"/>
        </w:rPr>
      </w:pPr>
      <w:r w:rsidRPr="00F92D8B">
        <w:rPr>
          <w:rFonts w:ascii="Times New Roman" w:hAnsi="Times New Roman"/>
          <w:b/>
          <w:bCs/>
          <w:color w:val="002060"/>
          <w:sz w:val="28"/>
          <w:szCs w:val="28"/>
          <w:lang w:eastAsia="ru-RU"/>
        </w:rPr>
        <w:t>Темпы роста и объем инвестиций в основной капитал</w:t>
      </w:r>
    </w:p>
    <w:p w14:paraId="3CCA01C3" w14:textId="77777777" w:rsidR="006762BB" w:rsidRPr="00F92D8B" w:rsidRDefault="006762BB" w:rsidP="006762BB">
      <w:pPr>
        <w:widowControl w:val="0"/>
        <w:autoSpaceDE w:val="0"/>
        <w:autoSpaceDN w:val="0"/>
        <w:adjustRightInd w:val="0"/>
        <w:spacing w:after="0" w:line="240" w:lineRule="auto"/>
        <w:ind w:left="-300" w:firstLine="600"/>
        <w:jc w:val="center"/>
        <w:rPr>
          <w:rFonts w:ascii="Times New Roman" w:hAnsi="Times New Roman"/>
          <w:b/>
          <w:bCs/>
          <w:color w:val="002060"/>
          <w:sz w:val="28"/>
          <w:szCs w:val="28"/>
          <w:lang w:eastAsia="ru-RU"/>
        </w:rPr>
      </w:pPr>
      <w:r w:rsidRPr="00F92D8B">
        <w:rPr>
          <w:rFonts w:ascii="Times New Roman" w:hAnsi="Times New Roman"/>
          <w:b/>
          <w:bCs/>
          <w:color w:val="002060"/>
          <w:sz w:val="28"/>
          <w:szCs w:val="28"/>
          <w:lang w:eastAsia="ru-RU"/>
        </w:rPr>
        <w:t>в расчете на душу населения в РД и в среднем по РФ и СКФО</w:t>
      </w:r>
    </w:p>
    <w:p w14:paraId="2CB278E6" w14:textId="77777777" w:rsidR="006762BB" w:rsidRPr="00F92D8B" w:rsidRDefault="006762BB" w:rsidP="006762BB">
      <w:pPr>
        <w:widowControl w:val="0"/>
        <w:autoSpaceDE w:val="0"/>
        <w:autoSpaceDN w:val="0"/>
        <w:adjustRightInd w:val="0"/>
        <w:spacing w:after="0" w:line="240" w:lineRule="auto"/>
        <w:ind w:left="-300" w:firstLine="600"/>
        <w:jc w:val="center"/>
        <w:rPr>
          <w:rFonts w:ascii="Times New Roman" w:hAnsi="Times New Roman"/>
          <w:b/>
          <w:bCs/>
          <w:color w:val="002060"/>
          <w:sz w:val="24"/>
          <w:szCs w:val="24"/>
          <w:lang w:eastAsia="ru-RU"/>
        </w:rPr>
      </w:pPr>
    </w:p>
    <w:p w14:paraId="55D4C7FA" w14:textId="77777777" w:rsidR="006762BB" w:rsidRDefault="006762BB" w:rsidP="006762BB">
      <w:pPr>
        <w:widowControl w:val="0"/>
        <w:autoSpaceDE w:val="0"/>
        <w:autoSpaceDN w:val="0"/>
        <w:adjustRightInd w:val="0"/>
        <w:spacing w:after="0" w:line="240" w:lineRule="auto"/>
        <w:rPr>
          <w:rFonts w:ascii="Times New Roman" w:hAnsi="Times New Roman"/>
          <w:color w:val="000000"/>
          <w:sz w:val="28"/>
          <w:szCs w:val="28"/>
          <w:lang w:eastAsia="ru-RU"/>
        </w:rPr>
      </w:pPr>
      <w:r w:rsidRPr="00F92D8B">
        <w:rPr>
          <w:rFonts w:ascii="Times New Roman" w:hAnsi="Times New Roman"/>
          <w:color w:val="002060"/>
          <w:sz w:val="24"/>
          <w:szCs w:val="24"/>
          <w:lang w:eastAsia="ru-RU"/>
        </w:rPr>
        <w:t xml:space="preserve">  </w:t>
      </w:r>
      <w:r>
        <w:rPr>
          <w:rFonts w:ascii="Times New Roman" w:hAnsi="Times New Roman"/>
          <w:color w:val="002060"/>
          <w:sz w:val="24"/>
          <w:szCs w:val="24"/>
          <w:lang w:eastAsia="ru-RU"/>
        </w:rPr>
        <w:t xml:space="preserve">   </w:t>
      </w:r>
      <w:r w:rsidRPr="00F92D8B">
        <w:rPr>
          <w:rFonts w:ascii="Times New Roman" w:hAnsi="Times New Roman"/>
          <w:color w:val="002060"/>
          <w:sz w:val="24"/>
          <w:szCs w:val="24"/>
          <w:lang w:eastAsia="ru-RU"/>
        </w:rPr>
        <w:t xml:space="preserve">     </w:t>
      </w:r>
      <w:r w:rsidRPr="00F92D8B">
        <w:rPr>
          <w:rFonts w:ascii="Times New Roman" w:hAnsi="Times New Roman"/>
          <w:b/>
          <w:color w:val="002060"/>
          <w:sz w:val="24"/>
          <w:szCs w:val="24"/>
          <w:lang w:eastAsia="ru-RU"/>
        </w:rPr>
        <w:t>темпы роста (%)</w:t>
      </w:r>
      <w:r w:rsidRPr="00F92D8B">
        <w:rPr>
          <w:rFonts w:ascii="Times New Roman" w:hAnsi="Times New Roman"/>
          <w:color w:val="002060"/>
          <w:sz w:val="24"/>
          <w:szCs w:val="24"/>
          <w:lang w:eastAsia="ru-RU"/>
        </w:rPr>
        <w:t xml:space="preserve">                </w:t>
      </w:r>
      <w:r>
        <w:rPr>
          <w:rFonts w:ascii="Times New Roman" w:hAnsi="Times New Roman"/>
          <w:color w:val="002060"/>
          <w:sz w:val="24"/>
          <w:szCs w:val="24"/>
          <w:lang w:eastAsia="ru-RU"/>
        </w:rPr>
        <w:t xml:space="preserve">   </w:t>
      </w:r>
      <w:r w:rsidRPr="00F92D8B">
        <w:rPr>
          <w:rFonts w:ascii="Times New Roman" w:hAnsi="Times New Roman"/>
          <w:color w:val="002060"/>
          <w:sz w:val="24"/>
          <w:szCs w:val="24"/>
          <w:lang w:eastAsia="ru-RU"/>
        </w:rPr>
        <w:t xml:space="preserve">               </w:t>
      </w:r>
      <w:r w:rsidRPr="00F92D8B">
        <w:rPr>
          <w:rFonts w:ascii="Times New Roman" w:hAnsi="Times New Roman"/>
          <w:b/>
          <w:color w:val="002060"/>
          <w:sz w:val="24"/>
          <w:szCs w:val="24"/>
          <w:lang w:eastAsia="ru-RU"/>
        </w:rPr>
        <w:t>в расчете на душу населения (тыс. рублей)</w:t>
      </w:r>
    </w:p>
    <w:p w14:paraId="5F08930A" w14:textId="77777777" w:rsidR="006762BB" w:rsidRPr="00AD4790" w:rsidRDefault="006762BB" w:rsidP="006762BB">
      <w:pPr>
        <w:widowControl w:val="0"/>
        <w:autoSpaceDE w:val="0"/>
        <w:autoSpaceDN w:val="0"/>
        <w:adjustRightInd w:val="0"/>
        <w:spacing w:after="0" w:line="240" w:lineRule="auto"/>
        <w:jc w:val="both"/>
        <w:rPr>
          <w:rFonts w:ascii="Times New Roman" w:hAnsi="Times New Roman"/>
          <w:color w:val="000000"/>
          <w:sz w:val="28"/>
          <w:szCs w:val="28"/>
          <w:lang w:eastAsia="ru-RU"/>
        </w:rPr>
      </w:pPr>
      <w:r w:rsidRPr="00BE701A">
        <w:rPr>
          <w:noProof/>
          <w:lang w:eastAsia="ru-RU"/>
        </w:rPr>
        <w:t xml:space="preserve"> </w:t>
      </w:r>
      <w:r>
        <w:rPr>
          <w:noProof/>
        </w:rPr>
        <w:drawing>
          <wp:inline distT="0" distB="0" distL="0" distR="0" wp14:anchorId="187A8875" wp14:editId="6DECF6EE">
            <wp:extent cx="2959735" cy="3223260"/>
            <wp:effectExtent l="0" t="0" r="12065" b="15240"/>
            <wp:docPr id="10" name="Диаграмма 10">
              <a:extLst xmlns:a="http://schemas.openxmlformats.org/drawingml/2006/main">
                <a:ext uri="{FF2B5EF4-FFF2-40B4-BE49-F238E27FC236}">
                  <a16:creationId xmlns:a16="http://schemas.microsoft.com/office/drawing/2014/main" id="{00000000-0008-0000-0000-000005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rPr>
        <w:drawing>
          <wp:inline distT="0" distB="0" distL="0" distR="0" wp14:anchorId="187886C3" wp14:editId="0A8182C8">
            <wp:extent cx="2908300" cy="3200400"/>
            <wp:effectExtent l="0" t="0" r="6350" b="0"/>
            <wp:docPr id="11" name="Диаграмма 11">
              <a:extLst xmlns:a="http://schemas.openxmlformats.org/drawingml/2006/main">
                <a:ext uri="{FF2B5EF4-FFF2-40B4-BE49-F238E27FC236}">
                  <a16:creationId xmlns:a16="http://schemas.microsoft.com/office/drawing/2014/main" id="{00000000-0008-0000-0000-000006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FDE2F0" w14:textId="77777777" w:rsidR="006762BB" w:rsidRPr="00FA15FD"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highlight w:val="yellow"/>
          <w:lang w:eastAsia="ru-RU"/>
        </w:rPr>
      </w:pPr>
    </w:p>
    <w:p w14:paraId="34F7F824" w14:textId="77777777" w:rsidR="006762BB" w:rsidRPr="00A70D4D" w:rsidRDefault="006762BB" w:rsidP="005237E7">
      <w:pPr>
        <w:widowControl w:val="0"/>
        <w:autoSpaceDE w:val="0"/>
        <w:autoSpaceDN w:val="0"/>
        <w:adjustRightInd w:val="0"/>
        <w:spacing w:after="0" w:line="288" w:lineRule="auto"/>
        <w:ind w:firstLine="709"/>
        <w:jc w:val="both"/>
        <w:rPr>
          <w:rFonts w:ascii="Times New Roman" w:hAnsi="Times New Roman"/>
          <w:color w:val="000000"/>
          <w:sz w:val="28"/>
          <w:szCs w:val="28"/>
          <w:lang w:eastAsia="ru-RU"/>
        </w:rPr>
      </w:pPr>
      <w:r w:rsidRPr="00226D59">
        <w:rPr>
          <w:rFonts w:ascii="Times New Roman" w:hAnsi="Times New Roman"/>
          <w:b/>
          <w:bCs/>
          <w:color w:val="002060"/>
          <w:sz w:val="28"/>
          <w:szCs w:val="20"/>
          <w:lang w:eastAsia="ru-RU"/>
        </w:rPr>
        <w:t>2.3.6.</w:t>
      </w:r>
      <w:r w:rsidRPr="00A70D4D">
        <w:rPr>
          <w:rFonts w:ascii="Times New Roman" w:hAnsi="Times New Roman"/>
          <w:b/>
          <w:color w:val="000000"/>
          <w:sz w:val="28"/>
          <w:szCs w:val="28"/>
          <w:lang w:eastAsia="ru-RU"/>
        </w:rPr>
        <w:t xml:space="preserve"> </w:t>
      </w:r>
      <w:r w:rsidRPr="00A70D4D">
        <w:rPr>
          <w:rFonts w:ascii="Times New Roman" w:hAnsi="Times New Roman"/>
          <w:color w:val="000000"/>
          <w:sz w:val="28"/>
          <w:szCs w:val="28"/>
          <w:lang w:eastAsia="ru-RU"/>
        </w:rPr>
        <w:t xml:space="preserve">Объем работ, выполненных по виду деятельности </w:t>
      </w:r>
      <w:r w:rsidRPr="006344B7">
        <w:rPr>
          <w:rFonts w:ascii="Times New Roman" w:hAnsi="Times New Roman"/>
          <w:b/>
          <w:bCs/>
          <w:iCs/>
          <w:color w:val="000000"/>
          <w:sz w:val="28"/>
          <w:szCs w:val="28"/>
          <w:lang w:eastAsia="ru-RU"/>
        </w:rPr>
        <w:t>«строительство»,</w:t>
      </w:r>
      <w:r w:rsidRPr="00A70D4D">
        <w:rPr>
          <w:rFonts w:ascii="Times New Roman" w:hAnsi="Times New Roman"/>
          <w:b/>
          <w:bCs/>
          <w:i/>
          <w:iCs/>
          <w:color w:val="000000"/>
          <w:sz w:val="28"/>
          <w:szCs w:val="28"/>
          <w:lang w:eastAsia="ru-RU"/>
        </w:rPr>
        <w:t xml:space="preserve"> </w:t>
      </w:r>
      <w:r w:rsidRPr="00A70D4D">
        <w:rPr>
          <w:rFonts w:ascii="Times New Roman" w:hAnsi="Times New Roman"/>
          <w:color w:val="000000"/>
          <w:sz w:val="28"/>
          <w:szCs w:val="28"/>
          <w:lang w:eastAsia="ru-RU"/>
        </w:rPr>
        <w:t>составил 189 606,8 млн рублей, что на 8 629,0 млн рублей, или 4,8 % больше, чем в 2020 году (180 977,8 млн рублей).</w:t>
      </w:r>
    </w:p>
    <w:p w14:paraId="27F74696" w14:textId="77777777" w:rsidR="006762BB" w:rsidRPr="00A70D4D" w:rsidRDefault="006762BB" w:rsidP="005237E7">
      <w:pPr>
        <w:widowControl w:val="0"/>
        <w:autoSpaceDE w:val="0"/>
        <w:autoSpaceDN w:val="0"/>
        <w:adjustRightInd w:val="0"/>
        <w:spacing w:after="0" w:line="288" w:lineRule="auto"/>
        <w:ind w:firstLine="709"/>
        <w:jc w:val="both"/>
        <w:rPr>
          <w:rFonts w:ascii="Times New Roman" w:hAnsi="Times New Roman"/>
          <w:color w:val="000000"/>
          <w:sz w:val="28"/>
          <w:szCs w:val="28"/>
          <w:lang w:eastAsia="ru-RU"/>
        </w:rPr>
      </w:pPr>
      <w:r w:rsidRPr="00A70D4D">
        <w:rPr>
          <w:rFonts w:ascii="Times New Roman" w:hAnsi="Times New Roman"/>
          <w:color w:val="000000"/>
          <w:sz w:val="28"/>
          <w:szCs w:val="28"/>
          <w:lang w:eastAsia="ru-RU"/>
        </w:rPr>
        <w:t xml:space="preserve">Темп роста по данному показателю составил 102 %, что на 2,4 процентных пунктов больше уровня 2020 года (99,6 %) и на 0,5 процентных пунктов больше уровня, запланированного Прогнозом СЭР РД на 2021 год </w:t>
      </w:r>
      <w:r w:rsidRPr="00A70D4D">
        <w:rPr>
          <w:rFonts w:ascii="Times New Roman" w:hAnsi="Times New Roman"/>
          <w:color w:val="000000"/>
          <w:sz w:val="28"/>
          <w:szCs w:val="28"/>
          <w:lang w:eastAsia="ru-RU"/>
        </w:rPr>
        <w:br/>
        <w:t xml:space="preserve">(101,5 %). </w:t>
      </w:r>
    </w:p>
    <w:p w14:paraId="545BA33C" w14:textId="77777777" w:rsidR="006762BB" w:rsidRPr="006507B1" w:rsidRDefault="006762BB" w:rsidP="005237E7">
      <w:pPr>
        <w:widowControl w:val="0"/>
        <w:spacing w:after="0" w:line="288" w:lineRule="auto"/>
        <w:ind w:firstLine="709"/>
        <w:jc w:val="both"/>
        <w:rPr>
          <w:rFonts w:ascii="Times New Roman" w:hAnsi="Times New Roman"/>
          <w:sz w:val="28"/>
          <w:szCs w:val="24"/>
          <w:lang w:eastAsia="ru-RU"/>
        </w:rPr>
      </w:pPr>
      <w:r w:rsidRPr="00F92D8B">
        <w:rPr>
          <w:rFonts w:ascii="Times New Roman" w:hAnsi="Times New Roman"/>
          <w:sz w:val="28"/>
          <w:szCs w:val="24"/>
          <w:lang w:eastAsia="ru-RU"/>
        </w:rPr>
        <w:t>Среди субъектов СКФО по объему строительных работ Республика Дагестан находится на первом месте. По данному показателю</w:t>
      </w:r>
      <w:r w:rsidRPr="00F92D8B">
        <w:t xml:space="preserve"> </w:t>
      </w:r>
      <w:r w:rsidRPr="00F92D8B">
        <w:rPr>
          <w:rFonts w:ascii="Times New Roman" w:hAnsi="Times New Roman"/>
          <w:sz w:val="28"/>
          <w:szCs w:val="24"/>
          <w:lang w:eastAsia="ru-RU"/>
        </w:rPr>
        <w:t xml:space="preserve">Республика </w:t>
      </w:r>
      <w:r>
        <w:rPr>
          <w:rFonts w:ascii="Times New Roman" w:hAnsi="Times New Roman"/>
          <w:sz w:val="28"/>
          <w:szCs w:val="24"/>
          <w:lang w:eastAsia="ru-RU"/>
        </w:rPr>
        <w:t>Д</w:t>
      </w:r>
      <w:r w:rsidRPr="00F92D8B">
        <w:rPr>
          <w:rFonts w:ascii="Times New Roman" w:hAnsi="Times New Roman"/>
          <w:sz w:val="28"/>
          <w:szCs w:val="24"/>
          <w:lang w:eastAsia="ru-RU"/>
        </w:rPr>
        <w:t>агестан в 1,</w:t>
      </w:r>
      <w:r>
        <w:rPr>
          <w:rFonts w:ascii="Times New Roman" w:hAnsi="Times New Roman"/>
          <w:sz w:val="28"/>
          <w:szCs w:val="24"/>
          <w:lang w:eastAsia="ru-RU"/>
        </w:rPr>
        <w:t>4</w:t>
      </w:r>
      <w:r w:rsidRPr="00F92D8B">
        <w:rPr>
          <w:rFonts w:ascii="Times New Roman" w:hAnsi="Times New Roman"/>
          <w:sz w:val="28"/>
          <w:szCs w:val="24"/>
          <w:lang w:eastAsia="ru-RU"/>
        </w:rPr>
        <w:t xml:space="preserve"> раза опережает Ставропольский край (131 595,2 млн рублей), при этом удельный вес налоговых поступлений в объеме строительных работ </w:t>
      </w:r>
      <w:r w:rsidRPr="006507B1">
        <w:rPr>
          <w:rFonts w:ascii="Times New Roman" w:hAnsi="Times New Roman"/>
          <w:sz w:val="28"/>
          <w:szCs w:val="24"/>
          <w:lang w:eastAsia="ru-RU"/>
        </w:rPr>
        <w:t>(1,6 %) в 3,2 раза меньше, чем по Ставропольскому краю (5,2 %).</w:t>
      </w:r>
    </w:p>
    <w:p w14:paraId="5A921E38" w14:textId="77777777" w:rsidR="006762BB" w:rsidRDefault="006762BB" w:rsidP="005237E7">
      <w:pPr>
        <w:widowControl w:val="0"/>
        <w:autoSpaceDE w:val="0"/>
        <w:autoSpaceDN w:val="0"/>
        <w:adjustRightInd w:val="0"/>
        <w:spacing w:after="0" w:line="288" w:lineRule="auto"/>
        <w:ind w:firstLine="709"/>
        <w:jc w:val="both"/>
        <w:rPr>
          <w:rFonts w:ascii="Times New Roman" w:hAnsi="Times New Roman"/>
          <w:color w:val="000000"/>
          <w:sz w:val="28"/>
          <w:szCs w:val="28"/>
          <w:lang w:eastAsia="ru-RU"/>
        </w:rPr>
      </w:pPr>
      <w:r w:rsidRPr="006507B1">
        <w:rPr>
          <w:rFonts w:ascii="Times New Roman" w:hAnsi="Times New Roman"/>
          <w:color w:val="000000"/>
          <w:sz w:val="28"/>
          <w:szCs w:val="28"/>
          <w:lang w:eastAsia="ru-RU"/>
        </w:rPr>
        <w:lastRenderedPageBreak/>
        <w:t>Объем строительных работ в расчете на душу населения составил 60,3 тыс. рублей, что в 1,2 раза ниже, чем в среднем по Российской Федерации (74,0 тыс. рублей), при этом в 1,3 раза больше уровня в среднем по СКФО</w:t>
      </w:r>
      <w:r>
        <w:rPr>
          <w:rFonts w:ascii="Times New Roman" w:hAnsi="Times New Roman"/>
          <w:color w:val="000000"/>
          <w:sz w:val="28"/>
          <w:szCs w:val="28"/>
          <w:lang w:eastAsia="ru-RU"/>
        </w:rPr>
        <w:t xml:space="preserve"> </w:t>
      </w:r>
      <w:r w:rsidRPr="006507B1">
        <w:rPr>
          <w:rFonts w:ascii="Times New Roman" w:hAnsi="Times New Roman"/>
          <w:color w:val="000000"/>
          <w:sz w:val="28"/>
          <w:szCs w:val="28"/>
          <w:lang w:eastAsia="ru-RU"/>
        </w:rPr>
        <w:t>(47,2 тыс. рублей</w:t>
      </w:r>
      <w:r w:rsidRPr="003E51AC">
        <w:rPr>
          <w:rFonts w:ascii="Times New Roman" w:hAnsi="Times New Roman"/>
          <w:color w:val="000000"/>
          <w:sz w:val="28"/>
          <w:szCs w:val="28"/>
          <w:lang w:eastAsia="ru-RU"/>
        </w:rPr>
        <w:t xml:space="preserve">) и </w:t>
      </w:r>
      <w:r w:rsidRPr="00F92D8B">
        <w:rPr>
          <w:rFonts w:ascii="Times New Roman" w:hAnsi="Times New Roman"/>
          <w:color w:val="000000"/>
          <w:sz w:val="28"/>
          <w:szCs w:val="28"/>
          <w:lang w:eastAsia="ru-RU"/>
        </w:rPr>
        <w:t>в 1,3 раза</w:t>
      </w:r>
      <w:r w:rsidRPr="003E51AC">
        <w:rPr>
          <w:rFonts w:ascii="Times New Roman" w:hAnsi="Times New Roman"/>
          <w:color w:val="000000"/>
          <w:sz w:val="28"/>
          <w:szCs w:val="28"/>
          <w:lang w:eastAsia="ru-RU"/>
        </w:rPr>
        <w:t xml:space="preserve"> больше,</w:t>
      </w:r>
      <w:r w:rsidRPr="00F92D8B">
        <w:rPr>
          <w:rFonts w:ascii="Times New Roman" w:hAnsi="Times New Roman"/>
          <w:color w:val="000000"/>
          <w:sz w:val="28"/>
          <w:szCs w:val="28"/>
          <w:lang w:eastAsia="ru-RU"/>
        </w:rPr>
        <w:t xml:space="preserve"> чем по Ставропольскому краю (4</w:t>
      </w:r>
      <w:r w:rsidRPr="003E51AC">
        <w:rPr>
          <w:rFonts w:ascii="Times New Roman" w:hAnsi="Times New Roman"/>
          <w:color w:val="000000"/>
          <w:sz w:val="28"/>
          <w:szCs w:val="28"/>
          <w:lang w:eastAsia="ru-RU"/>
        </w:rPr>
        <w:t>7,2</w:t>
      </w:r>
      <w:r w:rsidRPr="00F92D8B">
        <w:rPr>
          <w:rFonts w:ascii="Times New Roman" w:hAnsi="Times New Roman"/>
          <w:color w:val="000000"/>
          <w:sz w:val="28"/>
          <w:szCs w:val="28"/>
          <w:lang w:eastAsia="ru-RU"/>
        </w:rPr>
        <w:t xml:space="preserve"> тыс. рублей).</w:t>
      </w:r>
    </w:p>
    <w:p w14:paraId="329E39FD" w14:textId="197F664B" w:rsidR="006762BB" w:rsidRDefault="006762BB"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p>
    <w:p w14:paraId="7B236B1C" w14:textId="77777777" w:rsidR="006762BB" w:rsidRPr="00F92D8B" w:rsidRDefault="006762BB"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r w:rsidRPr="00F92D8B">
        <w:rPr>
          <w:rFonts w:ascii="Times New Roman" w:hAnsi="Times New Roman"/>
          <w:b/>
          <w:bCs/>
          <w:color w:val="002060"/>
          <w:sz w:val="28"/>
          <w:szCs w:val="20"/>
          <w:lang w:eastAsia="ru-RU"/>
        </w:rPr>
        <w:t xml:space="preserve">Объем продукции сельского хозяйства в расчете на душу </w:t>
      </w:r>
    </w:p>
    <w:p w14:paraId="18D106F6" w14:textId="77777777" w:rsidR="006762BB" w:rsidRPr="00F92D8B" w:rsidRDefault="006762BB"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r w:rsidRPr="00F92D8B">
        <w:rPr>
          <w:rFonts w:ascii="Times New Roman" w:hAnsi="Times New Roman"/>
          <w:b/>
          <w:bCs/>
          <w:color w:val="002060"/>
          <w:sz w:val="28"/>
          <w:szCs w:val="20"/>
          <w:lang w:eastAsia="ru-RU"/>
        </w:rPr>
        <w:t>населения и удельный вес налогов в объеме строительных работ</w:t>
      </w:r>
    </w:p>
    <w:p w14:paraId="2604D386" w14:textId="77777777" w:rsidR="006762BB" w:rsidRPr="00F92D8B" w:rsidRDefault="006762BB"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r w:rsidRPr="00F92D8B">
        <w:rPr>
          <w:rFonts w:ascii="Times New Roman" w:hAnsi="Times New Roman"/>
          <w:b/>
          <w:bCs/>
          <w:color w:val="002060"/>
          <w:sz w:val="28"/>
          <w:szCs w:val="20"/>
          <w:lang w:eastAsia="ru-RU"/>
        </w:rPr>
        <w:t>по Республике Дагестан и Ставропольскому краю</w:t>
      </w:r>
    </w:p>
    <w:p w14:paraId="22339273" w14:textId="77777777" w:rsidR="006762BB" w:rsidRPr="00F92D8B" w:rsidRDefault="006762BB" w:rsidP="006762BB">
      <w:pPr>
        <w:widowControl w:val="0"/>
        <w:autoSpaceDE w:val="0"/>
        <w:autoSpaceDN w:val="0"/>
        <w:adjustRightInd w:val="0"/>
        <w:spacing w:after="0" w:line="240" w:lineRule="auto"/>
        <w:ind w:firstLine="709"/>
        <w:jc w:val="both"/>
        <w:outlineLvl w:val="1"/>
        <w:rPr>
          <w:rFonts w:ascii="Times New Roman" w:hAnsi="Times New Roman"/>
          <w:sz w:val="28"/>
          <w:szCs w:val="20"/>
          <w:lang w:eastAsia="ru-RU"/>
        </w:rPr>
      </w:pPr>
    </w:p>
    <w:p w14:paraId="2F86064B" w14:textId="77777777" w:rsidR="006762BB" w:rsidRPr="00F92D8B" w:rsidRDefault="006762BB" w:rsidP="006762BB">
      <w:pPr>
        <w:widowControl w:val="0"/>
        <w:autoSpaceDE w:val="0"/>
        <w:autoSpaceDN w:val="0"/>
        <w:adjustRightInd w:val="0"/>
        <w:spacing w:after="0" w:line="240" w:lineRule="auto"/>
        <w:jc w:val="both"/>
        <w:outlineLvl w:val="1"/>
        <w:rPr>
          <w:rFonts w:ascii="Times New Roman" w:hAnsi="Times New Roman"/>
          <w:b/>
          <w:bCs/>
          <w:color w:val="002060"/>
          <w:sz w:val="28"/>
          <w:szCs w:val="20"/>
          <w:lang w:eastAsia="ru-RU"/>
        </w:rPr>
      </w:pPr>
      <w:r w:rsidRPr="00F92D8B">
        <w:rPr>
          <w:rFonts w:ascii="Times New Roman" w:hAnsi="Times New Roman"/>
          <w:b/>
          <w:bCs/>
          <w:color w:val="002060"/>
          <w:sz w:val="28"/>
          <w:szCs w:val="20"/>
          <w:lang w:eastAsia="ru-RU"/>
        </w:rPr>
        <w:t xml:space="preserve">     в расчете на душу населения                      налоговые поступления </w:t>
      </w:r>
    </w:p>
    <w:p w14:paraId="43AC2DC8" w14:textId="77777777" w:rsidR="006762BB" w:rsidRPr="00F92D8B" w:rsidRDefault="006762BB" w:rsidP="006762BB">
      <w:pPr>
        <w:widowControl w:val="0"/>
        <w:autoSpaceDE w:val="0"/>
        <w:autoSpaceDN w:val="0"/>
        <w:adjustRightInd w:val="0"/>
        <w:spacing w:after="0" w:line="240" w:lineRule="auto"/>
        <w:jc w:val="both"/>
        <w:outlineLvl w:val="1"/>
        <w:rPr>
          <w:rFonts w:ascii="Times New Roman" w:hAnsi="Times New Roman"/>
          <w:b/>
          <w:bCs/>
          <w:color w:val="002060"/>
          <w:sz w:val="24"/>
          <w:szCs w:val="24"/>
          <w:lang w:eastAsia="ru-RU"/>
        </w:rPr>
      </w:pPr>
      <w:r w:rsidRPr="00F92D8B">
        <w:rPr>
          <w:rFonts w:ascii="Times New Roman" w:hAnsi="Times New Roman"/>
          <w:b/>
          <w:bCs/>
          <w:color w:val="002060"/>
          <w:sz w:val="28"/>
          <w:szCs w:val="20"/>
          <w:lang w:eastAsia="ru-RU"/>
        </w:rPr>
        <w:t xml:space="preserve">                 (</w:t>
      </w:r>
      <w:r w:rsidRPr="00F92D8B">
        <w:rPr>
          <w:rFonts w:ascii="Times New Roman" w:hAnsi="Times New Roman"/>
          <w:b/>
          <w:bCs/>
          <w:color w:val="002060"/>
          <w:sz w:val="24"/>
          <w:szCs w:val="24"/>
          <w:lang w:eastAsia="ru-RU"/>
        </w:rPr>
        <w:t>тыс. рублей)</w:t>
      </w:r>
      <w:r w:rsidRPr="00F92D8B">
        <w:rPr>
          <w:rFonts w:ascii="Times New Roman" w:hAnsi="Times New Roman"/>
          <w:color w:val="002060"/>
          <w:sz w:val="24"/>
          <w:szCs w:val="24"/>
          <w:lang w:eastAsia="ru-RU"/>
        </w:rPr>
        <w:t xml:space="preserve">                                                              (</w:t>
      </w:r>
      <w:r w:rsidRPr="00F92D8B">
        <w:rPr>
          <w:rFonts w:ascii="Times New Roman" w:hAnsi="Times New Roman"/>
          <w:b/>
          <w:bCs/>
          <w:color w:val="002060"/>
          <w:sz w:val="24"/>
          <w:szCs w:val="24"/>
          <w:lang w:eastAsia="ru-RU"/>
        </w:rPr>
        <w:t>млн. рублей)</w:t>
      </w:r>
    </w:p>
    <w:p w14:paraId="3F6536E2" w14:textId="77777777" w:rsidR="006762BB" w:rsidRDefault="006762BB" w:rsidP="006762BB">
      <w:pPr>
        <w:widowControl w:val="0"/>
        <w:autoSpaceDE w:val="0"/>
        <w:autoSpaceDN w:val="0"/>
        <w:adjustRightInd w:val="0"/>
        <w:spacing w:after="0" w:line="240" w:lineRule="auto"/>
        <w:jc w:val="both"/>
        <w:rPr>
          <w:rFonts w:ascii="Times New Roman" w:hAnsi="Times New Roman"/>
          <w:color w:val="000000"/>
          <w:sz w:val="28"/>
          <w:szCs w:val="28"/>
          <w:lang w:eastAsia="ru-RU"/>
        </w:rPr>
      </w:pPr>
      <w:r>
        <w:rPr>
          <w:noProof/>
        </w:rPr>
        <w:drawing>
          <wp:inline distT="0" distB="0" distL="0" distR="0" wp14:anchorId="622C5615" wp14:editId="6ED25081">
            <wp:extent cx="2940050" cy="3334215"/>
            <wp:effectExtent l="0" t="0" r="12700" b="0"/>
            <wp:docPr id="12" name="Диаграмма 12">
              <a:extLst xmlns:a="http://schemas.openxmlformats.org/drawingml/2006/main">
                <a:ext uri="{FF2B5EF4-FFF2-40B4-BE49-F238E27FC236}">
                  <a16:creationId xmlns:a16="http://schemas.microsoft.com/office/drawing/2014/main" id="{00000000-0008-0000-0000-000007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rPr>
        <w:drawing>
          <wp:inline distT="0" distB="0" distL="0" distR="0" wp14:anchorId="4BAB4408" wp14:editId="546E9EA2">
            <wp:extent cx="2875280" cy="3017520"/>
            <wp:effectExtent l="0" t="0" r="1270" b="11430"/>
            <wp:docPr id="13" name="Диаграмма 13">
              <a:extLst xmlns:a="http://schemas.openxmlformats.org/drawingml/2006/main">
                <a:ext uri="{FF2B5EF4-FFF2-40B4-BE49-F238E27FC236}">
                  <a16:creationId xmlns:a16="http://schemas.microsoft.com/office/drawing/2014/main" id="{00000000-0008-0000-0000-000008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F76527" w14:textId="77777777" w:rsidR="006762BB" w:rsidRPr="00A70D4D"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p>
    <w:p w14:paraId="35F055F8" w14:textId="77777777" w:rsidR="006762BB" w:rsidRPr="003B44E4" w:rsidRDefault="006762BB" w:rsidP="005237E7">
      <w:pPr>
        <w:spacing w:after="0" w:line="380" w:lineRule="exact"/>
        <w:ind w:firstLine="708"/>
        <w:jc w:val="both"/>
        <w:rPr>
          <w:rFonts w:ascii="Times New Roman" w:hAnsi="Times New Roman"/>
          <w:color w:val="000000"/>
          <w:sz w:val="28"/>
          <w:szCs w:val="28"/>
          <w:lang w:eastAsia="ru-RU"/>
        </w:rPr>
      </w:pPr>
      <w:r w:rsidRPr="00226D59">
        <w:rPr>
          <w:rFonts w:ascii="Times New Roman" w:hAnsi="Times New Roman"/>
          <w:b/>
          <w:bCs/>
          <w:color w:val="002060"/>
          <w:sz w:val="28"/>
          <w:szCs w:val="20"/>
          <w:lang w:eastAsia="ru-RU"/>
        </w:rPr>
        <w:t>2.3.7.</w:t>
      </w:r>
      <w:r w:rsidRPr="003B44E4">
        <w:rPr>
          <w:rFonts w:ascii="Times New Roman" w:hAnsi="Times New Roman"/>
          <w:color w:val="000000"/>
          <w:sz w:val="28"/>
          <w:szCs w:val="28"/>
          <w:lang w:eastAsia="ru-RU"/>
        </w:rPr>
        <w:t xml:space="preserve"> Оборот </w:t>
      </w:r>
      <w:r w:rsidRPr="003B44E4">
        <w:rPr>
          <w:rFonts w:ascii="Times New Roman" w:hAnsi="Times New Roman"/>
          <w:b/>
          <w:bCs/>
          <w:iCs/>
          <w:color w:val="000000"/>
          <w:sz w:val="28"/>
          <w:szCs w:val="28"/>
          <w:lang w:eastAsia="ru-RU"/>
        </w:rPr>
        <w:t xml:space="preserve">розничной торговли </w:t>
      </w:r>
      <w:r w:rsidRPr="003B44E4">
        <w:rPr>
          <w:rFonts w:ascii="Times New Roman" w:hAnsi="Times New Roman"/>
          <w:color w:val="000000"/>
          <w:sz w:val="28"/>
          <w:szCs w:val="28"/>
          <w:lang w:eastAsia="ru-RU"/>
        </w:rPr>
        <w:t xml:space="preserve">составил 657 564,5 млн рублей, что на </w:t>
      </w:r>
      <w:r>
        <w:rPr>
          <w:rFonts w:ascii="Times New Roman" w:hAnsi="Times New Roman"/>
          <w:color w:val="000000"/>
          <w:sz w:val="28"/>
          <w:szCs w:val="28"/>
          <w:lang w:eastAsia="ru-RU"/>
        </w:rPr>
        <w:t>69 600,3 млн</w:t>
      </w:r>
      <w:r w:rsidRPr="003B44E4">
        <w:rPr>
          <w:rFonts w:ascii="Times New Roman" w:hAnsi="Times New Roman"/>
          <w:color w:val="000000"/>
          <w:sz w:val="28"/>
          <w:szCs w:val="28"/>
          <w:lang w:eastAsia="ru-RU"/>
        </w:rPr>
        <w:t xml:space="preserve"> рублей, или </w:t>
      </w:r>
      <w:r>
        <w:rPr>
          <w:rFonts w:ascii="Times New Roman" w:hAnsi="Times New Roman"/>
          <w:color w:val="000000"/>
          <w:sz w:val="28"/>
          <w:szCs w:val="28"/>
          <w:lang w:eastAsia="ru-RU"/>
        </w:rPr>
        <w:t>11,8</w:t>
      </w:r>
      <w:r w:rsidRPr="003B44E4">
        <w:rPr>
          <w:rFonts w:ascii="Times New Roman" w:hAnsi="Times New Roman"/>
          <w:color w:val="000000"/>
          <w:sz w:val="28"/>
          <w:szCs w:val="28"/>
          <w:lang w:eastAsia="ru-RU"/>
        </w:rPr>
        <w:t xml:space="preserve"> % больше уровня 20</w:t>
      </w:r>
      <w:r>
        <w:rPr>
          <w:rFonts w:ascii="Times New Roman" w:hAnsi="Times New Roman"/>
          <w:color w:val="000000"/>
          <w:sz w:val="28"/>
          <w:szCs w:val="28"/>
          <w:lang w:eastAsia="ru-RU"/>
        </w:rPr>
        <w:t>20</w:t>
      </w:r>
      <w:r w:rsidRPr="003B44E4">
        <w:rPr>
          <w:rFonts w:ascii="Times New Roman" w:hAnsi="Times New Roman"/>
          <w:color w:val="000000"/>
          <w:sz w:val="28"/>
          <w:szCs w:val="28"/>
          <w:lang w:eastAsia="ru-RU"/>
        </w:rPr>
        <w:t xml:space="preserve"> года (587 964,2 тыс. рублей).</w:t>
      </w:r>
    </w:p>
    <w:p w14:paraId="601EEBE6" w14:textId="77777777" w:rsidR="006762BB" w:rsidRPr="00050A8E" w:rsidRDefault="006762BB" w:rsidP="005237E7">
      <w:pPr>
        <w:widowControl w:val="0"/>
        <w:autoSpaceDE w:val="0"/>
        <w:autoSpaceDN w:val="0"/>
        <w:adjustRightInd w:val="0"/>
        <w:spacing w:after="0" w:line="380" w:lineRule="exact"/>
        <w:ind w:firstLine="709"/>
        <w:jc w:val="both"/>
        <w:rPr>
          <w:rFonts w:ascii="Times New Roman" w:hAnsi="Times New Roman"/>
          <w:color w:val="000000"/>
          <w:sz w:val="28"/>
          <w:szCs w:val="28"/>
          <w:lang w:eastAsia="ru-RU"/>
        </w:rPr>
      </w:pPr>
      <w:r w:rsidRPr="00050A8E">
        <w:rPr>
          <w:rFonts w:ascii="Times New Roman" w:hAnsi="Times New Roman"/>
          <w:color w:val="000000"/>
          <w:sz w:val="28"/>
          <w:szCs w:val="28"/>
          <w:lang w:eastAsia="ru-RU"/>
        </w:rPr>
        <w:t>Темп роста составил 101 %, что на 6,6 процентных пунктов больше уровня 2020 года (94,4 %) и на 6,6 %</w:t>
      </w:r>
      <w:r w:rsidRPr="00050A8E">
        <w:t xml:space="preserve"> </w:t>
      </w:r>
      <w:r w:rsidRPr="00050A8E">
        <w:rPr>
          <w:rFonts w:ascii="Times New Roman" w:hAnsi="Times New Roman"/>
          <w:color w:val="000000"/>
          <w:sz w:val="28"/>
          <w:szCs w:val="28"/>
          <w:lang w:eastAsia="ru-RU"/>
        </w:rPr>
        <w:t>процентных пунктов меньше, чем запланировано Прогнозом СЭР РД на 202</w:t>
      </w:r>
      <w:r>
        <w:rPr>
          <w:rFonts w:ascii="Times New Roman" w:hAnsi="Times New Roman"/>
          <w:color w:val="000000"/>
          <w:sz w:val="28"/>
          <w:szCs w:val="28"/>
          <w:lang w:eastAsia="ru-RU"/>
        </w:rPr>
        <w:t>1</w:t>
      </w:r>
      <w:r w:rsidRPr="00050A8E">
        <w:rPr>
          <w:rFonts w:ascii="Times New Roman" w:hAnsi="Times New Roman"/>
          <w:color w:val="000000"/>
          <w:sz w:val="28"/>
          <w:szCs w:val="28"/>
          <w:lang w:eastAsia="ru-RU"/>
        </w:rPr>
        <w:t xml:space="preserve"> год (101,0 %). </w:t>
      </w:r>
    </w:p>
    <w:p w14:paraId="1D4CCA79" w14:textId="77777777" w:rsidR="006762BB" w:rsidRPr="00050A8E" w:rsidRDefault="006762BB" w:rsidP="005237E7">
      <w:pPr>
        <w:widowControl w:val="0"/>
        <w:autoSpaceDE w:val="0"/>
        <w:autoSpaceDN w:val="0"/>
        <w:adjustRightInd w:val="0"/>
        <w:spacing w:after="0" w:line="380" w:lineRule="exact"/>
        <w:ind w:firstLine="709"/>
        <w:jc w:val="both"/>
        <w:rPr>
          <w:rFonts w:ascii="Times New Roman" w:hAnsi="Times New Roman"/>
          <w:color w:val="000000"/>
          <w:sz w:val="28"/>
          <w:szCs w:val="28"/>
          <w:lang w:eastAsia="ru-RU"/>
        </w:rPr>
      </w:pPr>
      <w:r w:rsidRPr="00050A8E">
        <w:rPr>
          <w:rFonts w:ascii="Times New Roman" w:hAnsi="Times New Roman"/>
          <w:color w:val="000000"/>
          <w:sz w:val="28"/>
          <w:szCs w:val="28"/>
          <w:lang w:eastAsia="ru-RU"/>
        </w:rPr>
        <w:t>Оборот розничной торговли в расчете на душу населения составил 209,2 тыс. рублей, что на 59,9 тыс. рублей меньше, чем в среднем по Р</w:t>
      </w:r>
      <w:r>
        <w:rPr>
          <w:rFonts w:ascii="Times New Roman" w:hAnsi="Times New Roman"/>
          <w:color w:val="000000"/>
          <w:sz w:val="28"/>
          <w:szCs w:val="28"/>
          <w:lang w:eastAsia="ru-RU"/>
        </w:rPr>
        <w:t xml:space="preserve">оссийской </w:t>
      </w:r>
      <w:r w:rsidRPr="00050A8E">
        <w:rPr>
          <w:rFonts w:ascii="Times New Roman" w:hAnsi="Times New Roman"/>
          <w:color w:val="000000"/>
          <w:sz w:val="28"/>
          <w:szCs w:val="28"/>
          <w:lang w:eastAsia="ru-RU"/>
        </w:rPr>
        <w:t>Ф</w:t>
      </w:r>
      <w:r>
        <w:rPr>
          <w:rFonts w:ascii="Times New Roman" w:hAnsi="Times New Roman"/>
          <w:color w:val="000000"/>
          <w:sz w:val="28"/>
          <w:szCs w:val="28"/>
          <w:lang w:eastAsia="ru-RU"/>
        </w:rPr>
        <w:t>едерации</w:t>
      </w:r>
      <w:r w:rsidRPr="00050A8E">
        <w:rPr>
          <w:rFonts w:ascii="Times New Roman" w:hAnsi="Times New Roman"/>
          <w:color w:val="000000"/>
          <w:sz w:val="28"/>
          <w:szCs w:val="28"/>
          <w:lang w:eastAsia="ru-RU"/>
        </w:rPr>
        <w:t xml:space="preserve"> (269,1 тыс. рублей), при этом на 22,9 тыс. рублей больше, чем в среднем по СКФО (186,3 тыс. рублей).</w:t>
      </w:r>
    </w:p>
    <w:p w14:paraId="2600375C" w14:textId="77777777" w:rsidR="006762BB" w:rsidRDefault="006762BB" w:rsidP="005237E7">
      <w:pPr>
        <w:widowControl w:val="0"/>
        <w:autoSpaceDE w:val="0"/>
        <w:autoSpaceDN w:val="0"/>
        <w:adjustRightInd w:val="0"/>
        <w:spacing w:after="0" w:line="380" w:lineRule="exact"/>
        <w:ind w:firstLine="709"/>
        <w:jc w:val="both"/>
        <w:rPr>
          <w:rFonts w:ascii="Times New Roman" w:hAnsi="Times New Roman"/>
          <w:color w:val="000000"/>
          <w:sz w:val="28"/>
          <w:szCs w:val="28"/>
          <w:lang w:eastAsia="ru-RU"/>
        </w:rPr>
      </w:pPr>
      <w:r w:rsidRPr="00050A8E">
        <w:rPr>
          <w:rFonts w:ascii="Times New Roman" w:hAnsi="Times New Roman"/>
          <w:color w:val="000000"/>
          <w:sz w:val="28"/>
          <w:szCs w:val="28"/>
          <w:lang w:eastAsia="ru-RU"/>
        </w:rPr>
        <w:t>Республика Дагестан по данному показателю среди субъектов СКФО занимает 2 место после Ставропольского края</w:t>
      </w:r>
      <w:r>
        <w:rPr>
          <w:rFonts w:ascii="Times New Roman" w:hAnsi="Times New Roman"/>
          <w:color w:val="000000"/>
          <w:sz w:val="28"/>
          <w:szCs w:val="28"/>
          <w:lang w:eastAsia="ru-RU"/>
        </w:rPr>
        <w:t xml:space="preserve"> (215,8 тыс. рублей)</w:t>
      </w:r>
      <w:r w:rsidRPr="00050A8E">
        <w:rPr>
          <w:rFonts w:ascii="Times New Roman" w:hAnsi="Times New Roman"/>
          <w:color w:val="000000"/>
          <w:sz w:val="28"/>
          <w:szCs w:val="28"/>
          <w:lang w:eastAsia="ru-RU"/>
        </w:rPr>
        <w:t>.</w:t>
      </w:r>
    </w:p>
    <w:p w14:paraId="71588F1F" w14:textId="77777777" w:rsidR="006762BB"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p>
    <w:p w14:paraId="6D779C22" w14:textId="77777777" w:rsidR="006762BB" w:rsidRPr="00395ECE" w:rsidRDefault="006762BB" w:rsidP="009D557D">
      <w:pPr>
        <w:widowControl w:val="0"/>
        <w:shd w:val="clear" w:color="auto" w:fill="FFFFFF"/>
        <w:autoSpaceDE w:val="0"/>
        <w:autoSpaceDN w:val="0"/>
        <w:adjustRightInd w:val="0"/>
        <w:spacing w:after="0" w:line="260" w:lineRule="exact"/>
        <w:jc w:val="center"/>
        <w:outlineLvl w:val="1"/>
        <w:rPr>
          <w:rFonts w:ascii="Times New Roman" w:hAnsi="Times New Roman"/>
          <w:b/>
          <w:bCs/>
          <w:color w:val="002060"/>
          <w:sz w:val="28"/>
          <w:szCs w:val="28"/>
          <w:lang w:eastAsia="ru-RU"/>
        </w:rPr>
      </w:pPr>
      <w:r>
        <w:rPr>
          <w:rFonts w:ascii="Times New Roman" w:hAnsi="Times New Roman"/>
          <w:b/>
          <w:bCs/>
          <w:color w:val="002060"/>
          <w:sz w:val="28"/>
          <w:szCs w:val="28"/>
          <w:lang w:eastAsia="ru-RU"/>
        </w:rPr>
        <w:lastRenderedPageBreak/>
        <w:t>Оборот розничной торговли</w:t>
      </w:r>
    </w:p>
    <w:p w14:paraId="28EADBAA" w14:textId="77777777" w:rsidR="009D557D" w:rsidRDefault="006762BB" w:rsidP="009D557D">
      <w:pPr>
        <w:widowControl w:val="0"/>
        <w:autoSpaceDE w:val="0"/>
        <w:autoSpaceDN w:val="0"/>
        <w:adjustRightInd w:val="0"/>
        <w:spacing w:after="0" w:line="260" w:lineRule="exact"/>
        <w:ind w:firstLine="600"/>
        <w:jc w:val="center"/>
        <w:rPr>
          <w:rFonts w:ascii="Times New Roman" w:hAnsi="Times New Roman"/>
          <w:b/>
          <w:bCs/>
          <w:color w:val="002060"/>
          <w:sz w:val="28"/>
          <w:szCs w:val="28"/>
          <w:lang w:eastAsia="ru-RU"/>
        </w:rPr>
      </w:pPr>
      <w:r w:rsidRPr="00395ECE">
        <w:rPr>
          <w:rFonts w:ascii="Times New Roman" w:hAnsi="Times New Roman"/>
          <w:b/>
          <w:bCs/>
          <w:color w:val="002060"/>
          <w:sz w:val="28"/>
          <w:szCs w:val="28"/>
          <w:lang w:eastAsia="ru-RU"/>
        </w:rPr>
        <w:t>в расчете на душу населения в Р</w:t>
      </w:r>
      <w:r>
        <w:rPr>
          <w:rFonts w:ascii="Times New Roman" w:hAnsi="Times New Roman"/>
          <w:b/>
          <w:bCs/>
          <w:color w:val="002060"/>
          <w:sz w:val="28"/>
          <w:szCs w:val="28"/>
          <w:lang w:eastAsia="ru-RU"/>
        </w:rPr>
        <w:t xml:space="preserve">еспублике </w:t>
      </w:r>
      <w:r w:rsidRPr="00395ECE">
        <w:rPr>
          <w:rFonts w:ascii="Times New Roman" w:hAnsi="Times New Roman"/>
          <w:b/>
          <w:bCs/>
          <w:color w:val="002060"/>
          <w:sz w:val="28"/>
          <w:szCs w:val="28"/>
          <w:lang w:eastAsia="ru-RU"/>
        </w:rPr>
        <w:t>Д</w:t>
      </w:r>
      <w:r>
        <w:rPr>
          <w:rFonts w:ascii="Times New Roman" w:hAnsi="Times New Roman"/>
          <w:b/>
          <w:bCs/>
          <w:color w:val="002060"/>
          <w:sz w:val="28"/>
          <w:szCs w:val="28"/>
          <w:lang w:eastAsia="ru-RU"/>
        </w:rPr>
        <w:t>агестан</w:t>
      </w:r>
      <w:r w:rsidRPr="00395ECE">
        <w:rPr>
          <w:rFonts w:ascii="Times New Roman" w:hAnsi="Times New Roman"/>
          <w:b/>
          <w:bCs/>
          <w:color w:val="002060"/>
          <w:sz w:val="28"/>
          <w:szCs w:val="28"/>
          <w:lang w:eastAsia="ru-RU"/>
        </w:rPr>
        <w:t xml:space="preserve"> </w:t>
      </w:r>
    </w:p>
    <w:p w14:paraId="20ADB891" w14:textId="0FAE3318" w:rsidR="006762BB" w:rsidRPr="00395ECE" w:rsidRDefault="006762BB" w:rsidP="009D557D">
      <w:pPr>
        <w:widowControl w:val="0"/>
        <w:autoSpaceDE w:val="0"/>
        <w:autoSpaceDN w:val="0"/>
        <w:adjustRightInd w:val="0"/>
        <w:spacing w:after="0" w:line="260" w:lineRule="exact"/>
        <w:ind w:firstLine="600"/>
        <w:jc w:val="center"/>
        <w:rPr>
          <w:rFonts w:ascii="Times New Roman" w:hAnsi="Times New Roman"/>
          <w:b/>
          <w:bCs/>
          <w:color w:val="002060"/>
          <w:sz w:val="28"/>
          <w:szCs w:val="28"/>
          <w:lang w:eastAsia="ru-RU"/>
        </w:rPr>
      </w:pPr>
      <w:r w:rsidRPr="00395ECE">
        <w:rPr>
          <w:rFonts w:ascii="Times New Roman" w:hAnsi="Times New Roman"/>
          <w:b/>
          <w:bCs/>
          <w:color w:val="002060"/>
          <w:sz w:val="28"/>
          <w:szCs w:val="28"/>
          <w:lang w:eastAsia="ru-RU"/>
        </w:rPr>
        <w:t xml:space="preserve">и в среднем по </w:t>
      </w:r>
      <w:r w:rsidRPr="004F7571">
        <w:rPr>
          <w:rFonts w:ascii="Times New Roman" w:hAnsi="Times New Roman"/>
          <w:b/>
          <w:bCs/>
          <w:color w:val="002060"/>
          <w:sz w:val="28"/>
          <w:szCs w:val="28"/>
          <w:lang w:eastAsia="ru-RU"/>
        </w:rPr>
        <w:t>Р</w:t>
      </w:r>
      <w:r>
        <w:rPr>
          <w:rFonts w:ascii="Times New Roman" w:hAnsi="Times New Roman"/>
          <w:b/>
          <w:bCs/>
          <w:color w:val="002060"/>
          <w:sz w:val="28"/>
          <w:szCs w:val="28"/>
          <w:lang w:eastAsia="ru-RU"/>
        </w:rPr>
        <w:t xml:space="preserve">оссийской </w:t>
      </w:r>
      <w:r w:rsidRPr="004F7571">
        <w:rPr>
          <w:rFonts w:ascii="Times New Roman" w:hAnsi="Times New Roman"/>
          <w:b/>
          <w:bCs/>
          <w:color w:val="002060"/>
          <w:sz w:val="28"/>
          <w:szCs w:val="28"/>
          <w:lang w:eastAsia="ru-RU"/>
        </w:rPr>
        <w:t>Ф</w:t>
      </w:r>
      <w:r>
        <w:rPr>
          <w:rFonts w:ascii="Times New Roman" w:hAnsi="Times New Roman"/>
          <w:b/>
          <w:bCs/>
          <w:color w:val="002060"/>
          <w:sz w:val="28"/>
          <w:szCs w:val="28"/>
          <w:lang w:eastAsia="ru-RU"/>
        </w:rPr>
        <w:t>едерации</w:t>
      </w:r>
      <w:r w:rsidRPr="00395ECE">
        <w:rPr>
          <w:rFonts w:ascii="Times New Roman" w:hAnsi="Times New Roman"/>
          <w:b/>
          <w:bCs/>
          <w:color w:val="002060"/>
          <w:sz w:val="28"/>
          <w:szCs w:val="28"/>
          <w:lang w:eastAsia="ru-RU"/>
        </w:rPr>
        <w:t xml:space="preserve"> и СКФО</w:t>
      </w:r>
    </w:p>
    <w:p w14:paraId="438E6206" w14:textId="77777777" w:rsidR="006762BB" w:rsidRPr="00395ECE" w:rsidRDefault="006762BB" w:rsidP="006762BB">
      <w:pPr>
        <w:widowControl w:val="0"/>
        <w:autoSpaceDE w:val="0"/>
        <w:autoSpaceDN w:val="0"/>
        <w:adjustRightInd w:val="0"/>
        <w:spacing w:after="0" w:line="260" w:lineRule="exact"/>
        <w:ind w:left="-300" w:firstLine="600"/>
        <w:jc w:val="center"/>
        <w:rPr>
          <w:rFonts w:ascii="Times New Roman" w:hAnsi="Times New Roman"/>
          <w:b/>
          <w:bCs/>
          <w:color w:val="002060"/>
          <w:sz w:val="24"/>
          <w:szCs w:val="24"/>
          <w:lang w:eastAsia="ru-RU"/>
        </w:rPr>
      </w:pPr>
    </w:p>
    <w:p w14:paraId="485367BB" w14:textId="77777777" w:rsidR="006762BB" w:rsidRDefault="006762BB" w:rsidP="006762BB">
      <w:pPr>
        <w:widowControl w:val="0"/>
        <w:autoSpaceDE w:val="0"/>
        <w:autoSpaceDN w:val="0"/>
        <w:adjustRightInd w:val="0"/>
        <w:spacing w:after="0" w:line="240" w:lineRule="auto"/>
        <w:jc w:val="right"/>
        <w:rPr>
          <w:rFonts w:ascii="Times New Roman" w:hAnsi="Times New Roman"/>
          <w:b/>
          <w:color w:val="002060"/>
          <w:sz w:val="24"/>
          <w:szCs w:val="24"/>
          <w:lang w:eastAsia="ru-RU"/>
        </w:rPr>
      </w:pPr>
      <w:r w:rsidRPr="00395ECE">
        <w:rPr>
          <w:rFonts w:ascii="Times New Roman" w:hAnsi="Times New Roman"/>
          <w:b/>
          <w:color w:val="002060"/>
          <w:sz w:val="24"/>
          <w:szCs w:val="24"/>
          <w:lang w:eastAsia="ru-RU"/>
        </w:rPr>
        <w:t xml:space="preserve"> (тыс. рублей)</w:t>
      </w:r>
    </w:p>
    <w:p w14:paraId="42BF4BD2" w14:textId="77777777" w:rsidR="006762BB" w:rsidRDefault="006762BB" w:rsidP="006762BB">
      <w:pPr>
        <w:widowControl w:val="0"/>
        <w:autoSpaceDE w:val="0"/>
        <w:autoSpaceDN w:val="0"/>
        <w:adjustRightInd w:val="0"/>
        <w:spacing w:after="0" w:line="240" w:lineRule="auto"/>
        <w:jc w:val="center"/>
        <w:rPr>
          <w:rFonts w:ascii="Times New Roman" w:hAnsi="Times New Roman"/>
          <w:b/>
          <w:color w:val="002060"/>
          <w:sz w:val="24"/>
          <w:szCs w:val="24"/>
          <w:lang w:eastAsia="ru-RU"/>
        </w:rPr>
      </w:pPr>
      <w:r>
        <w:rPr>
          <w:noProof/>
        </w:rPr>
        <w:drawing>
          <wp:inline distT="0" distB="0" distL="0" distR="0" wp14:anchorId="1ACF5B89" wp14:editId="43934734">
            <wp:extent cx="5175250" cy="3401122"/>
            <wp:effectExtent l="0" t="0" r="6350" b="8890"/>
            <wp:docPr id="14" name="Диаграмма 14">
              <a:extLst xmlns:a="http://schemas.openxmlformats.org/drawingml/2006/main">
                <a:ext uri="{FF2B5EF4-FFF2-40B4-BE49-F238E27FC236}">
                  <a16:creationId xmlns:a16="http://schemas.microsoft.com/office/drawing/2014/main" id="{780E150F-2AEA-A942-3B9C-7526166BDC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CC9DCB" w14:textId="77777777" w:rsidR="006762BB" w:rsidRPr="00395ECE" w:rsidRDefault="006762BB" w:rsidP="006762BB">
      <w:pPr>
        <w:widowControl w:val="0"/>
        <w:autoSpaceDE w:val="0"/>
        <w:autoSpaceDN w:val="0"/>
        <w:adjustRightInd w:val="0"/>
        <w:spacing w:after="0" w:line="240" w:lineRule="auto"/>
        <w:rPr>
          <w:rFonts w:ascii="Times New Roman" w:hAnsi="Times New Roman"/>
          <w:color w:val="002060"/>
          <w:sz w:val="24"/>
          <w:szCs w:val="24"/>
          <w:lang w:eastAsia="ru-RU"/>
        </w:rPr>
      </w:pPr>
    </w:p>
    <w:p w14:paraId="27CE3ACE" w14:textId="77777777" w:rsidR="006762BB" w:rsidRPr="00604CF6" w:rsidRDefault="006762BB" w:rsidP="005237E7">
      <w:pPr>
        <w:spacing w:after="0" w:line="380" w:lineRule="exact"/>
        <w:ind w:firstLine="708"/>
        <w:jc w:val="both"/>
        <w:rPr>
          <w:rFonts w:ascii="Times New Roman" w:hAnsi="Times New Roman"/>
          <w:sz w:val="28"/>
          <w:szCs w:val="28"/>
          <w:lang w:eastAsia="ru-RU"/>
        </w:rPr>
      </w:pPr>
      <w:r w:rsidRPr="00226D59">
        <w:rPr>
          <w:rFonts w:ascii="Times New Roman" w:hAnsi="Times New Roman"/>
          <w:b/>
          <w:bCs/>
          <w:color w:val="002060"/>
          <w:sz w:val="28"/>
          <w:szCs w:val="20"/>
          <w:lang w:eastAsia="ru-RU"/>
        </w:rPr>
        <w:t>2.3.8.</w:t>
      </w:r>
      <w:r w:rsidRPr="00604CF6">
        <w:rPr>
          <w:rFonts w:ascii="Times New Roman" w:hAnsi="Times New Roman"/>
          <w:sz w:val="28"/>
          <w:szCs w:val="28"/>
          <w:lang w:eastAsia="ru-RU"/>
        </w:rPr>
        <w:t xml:space="preserve"> Объем оказанных </w:t>
      </w:r>
      <w:r w:rsidRPr="006344B7">
        <w:rPr>
          <w:rFonts w:ascii="Times New Roman" w:hAnsi="Times New Roman"/>
          <w:b/>
          <w:sz w:val="28"/>
          <w:szCs w:val="28"/>
          <w:lang w:eastAsia="ru-RU"/>
        </w:rPr>
        <w:t>платных услуг</w:t>
      </w:r>
      <w:r w:rsidRPr="00604CF6">
        <w:rPr>
          <w:rFonts w:ascii="Times New Roman" w:hAnsi="Times New Roman"/>
          <w:sz w:val="28"/>
          <w:szCs w:val="28"/>
          <w:lang w:eastAsia="ru-RU"/>
        </w:rPr>
        <w:t xml:space="preserve"> населению составил 145 986,8 млн рублей, что на 18,3 %, или 22 585,9 тыс. рублей больше уровня 2020 года (123 400,9 млн. рублей), и на 14 704,9 млн рублей</w:t>
      </w:r>
      <w:r>
        <w:rPr>
          <w:rFonts w:ascii="Times New Roman" w:hAnsi="Times New Roman"/>
          <w:sz w:val="28"/>
          <w:szCs w:val="28"/>
          <w:lang w:eastAsia="ru-RU"/>
        </w:rPr>
        <w:t>,</w:t>
      </w:r>
      <w:r w:rsidRPr="00604CF6">
        <w:rPr>
          <w:rFonts w:ascii="Times New Roman" w:hAnsi="Times New Roman"/>
          <w:sz w:val="28"/>
          <w:szCs w:val="28"/>
          <w:lang w:eastAsia="ru-RU"/>
        </w:rPr>
        <w:t xml:space="preserve"> или 11,2 % ниже уровня, запланированного Прогнозом СЭР РД на 2021 год (131 281,9 млн рублей).</w:t>
      </w:r>
    </w:p>
    <w:p w14:paraId="2DB2C44F" w14:textId="77777777" w:rsidR="006762BB" w:rsidRPr="00604CF6" w:rsidRDefault="006762BB" w:rsidP="005237E7">
      <w:pPr>
        <w:widowControl w:val="0"/>
        <w:autoSpaceDE w:val="0"/>
        <w:autoSpaceDN w:val="0"/>
        <w:adjustRightInd w:val="0"/>
        <w:spacing w:after="0" w:line="380" w:lineRule="exact"/>
        <w:ind w:firstLine="709"/>
        <w:jc w:val="both"/>
        <w:rPr>
          <w:rFonts w:ascii="Times New Roman" w:hAnsi="Times New Roman"/>
          <w:color w:val="000000"/>
          <w:sz w:val="28"/>
          <w:szCs w:val="28"/>
          <w:lang w:eastAsia="ru-RU"/>
        </w:rPr>
      </w:pPr>
      <w:r w:rsidRPr="00604CF6">
        <w:rPr>
          <w:rFonts w:ascii="Times New Roman" w:hAnsi="Times New Roman"/>
          <w:sz w:val="28"/>
          <w:szCs w:val="28"/>
          <w:lang w:eastAsia="ru-RU"/>
        </w:rPr>
        <w:t xml:space="preserve">Темп роста по данному показателю составил 116,6 %, что на 27,4 процентных пунктов больше уровня 2020 года (89,2 %) и на 13,8 процентных пунктов </w:t>
      </w:r>
      <w:r w:rsidRPr="00604CF6">
        <w:rPr>
          <w:rFonts w:ascii="Times New Roman" w:hAnsi="Times New Roman"/>
          <w:color w:val="000000"/>
          <w:sz w:val="28"/>
          <w:szCs w:val="28"/>
          <w:lang w:eastAsia="ru-RU"/>
        </w:rPr>
        <w:t>больше, чем запланировано Прогнозом СЭР РД на 2020 год (102,8 %).</w:t>
      </w:r>
    </w:p>
    <w:p w14:paraId="3E21CB83" w14:textId="77777777" w:rsidR="006762BB" w:rsidRPr="0082050A" w:rsidRDefault="006762BB" w:rsidP="005237E7">
      <w:pPr>
        <w:widowControl w:val="0"/>
        <w:autoSpaceDE w:val="0"/>
        <w:autoSpaceDN w:val="0"/>
        <w:adjustRightInd w:val="0"/>
        <w:spacing w:after="0" w:line="380" w:lineRule="exact"/>
        <w:ind w:firstLine="709"/>
        <w:jc w:val="both"/>
        <w:rPr>
          <w:rFonts w:ascii="Times New Roman" w:hAnsi="Times New Roman"/>
          <w:sz w:val="28"/>
          <w:szCs w:val="28"/>
          <w:lang w:eastAsia="ru-RU"/>
        </w:rPr>
      </w:pPr>
      <w:r w:rsidRPr="0082050A">
        <w:rPr>
          <w:rFonts w:ascii="Times New Roman" w:hAnsi="Times New Roman"/>
          <w:sz w:val="28"/>
          <w:szCs w:val="28"/>
          <w:lang w:eastAsia="ru-RU"/>
        </w:rPr>
        <w:t>В расчете на одного жителя республики объем оказанных платных услуг составил 46,4 тыс. рублей против 75,8 тыс. рублей в среднем по Российской Федерации и 48,2 тыс. рублей в среднем по субъектам СКФО и находится на 2 месте среди субъектов СКФО после Ставропольского края (64,8 тыс. рублей).</w:t>
      </w:r>
    </w:p>
    <w:p w14:paraId="31893F00" w14:textId="77777777" w:rsidR="006762BB" w:rsidRPr="0006578A" w:rsidRDefault="006762BB" w:rsidP="005237E7">
      <w:pPr>
        <w:widowControl w:val="0"/>
        <w:autoSpaceDE w:val="0"/>
        <w:autoSpaceDN w:val="0"/>
        <w:adjustRightInd w:val="0"/>
        <w:spacing w:after="0" w:line="380" w:lineRule="exact"/>
        <w:ind w:firstLine="709"/>
        <w:jc w:val="both"/>
        <w:rPr>
          <w:rFonts w:ascii="Times New Roman" w:hAnsi="Times New Roman"/>
          <w:sz w:val="28"/>
          <w:szCs w:val="28"/>
          <w:lang w:eastAsia="ru-RU"/>
        </w:rPr>
      </w:pPr>
      <w:r w:rsidRPr="0082050A">
        <w:rPr>
          <w:rFonts w:ascii="Times New Roman" w:hAnsi="Times New Roman"/>
          <w:sz w:val="28"/>
          <w:szCs w:val="28"/>
          <w:lang w:eastAsia="ru-RU"/>
        </w:rPr>
        <w:t xml:space="preserve">Среди субъектов СКФО по обороту розничной торговли и объему платных услуг (803 551,3 млн. рублей) Республика Дагестан находится на первом месте. По данному показателю Республика Дагестан опережает Ставропольский край (781 975,6 млн. рублей), </w:t>
      </w:r>
      <w:r w:rsidRPr="0006578A">
        <w:rPr>
          <w:rFonts w:ascii="Times New Roman" w:hAnsi="Times New Roman"/>
          <w:sz w:val="28"/>
          <w:szCs w:val="28"/>
          <w:lang w:eastAsia="ru-RU"/>
        </w:rPr>
        <w:t>при этом удельный вес налоговых поступлений в обороте розничной торговли и объеме платных услуг (0,6 %) в 5,5 раза меньше, чем по Ставропольскому краю (3,3 %).</w:t>
      </w:r>
    </w:p>
    <w:p w14:paraId="7942B7BE" w14:textId="77777777" w:rsidR="006762BB" w:rsidRPr="00A65B37" w:rsidRDefault="006762BB" w:rsidP="006762BB">
      <w:pPr>
        <w:widowControl w:val="0"/>
        <w:autoSpaceDE w:val="0"/>
        <w:autoSpaceDN w:val="0"/>
        <w:adjustRightInd w:val="0"/>
        <w:spacing w:after="0" w:line="240" w:lineRule="auto"/>
        <w:ind w:firstLine="709"/>
        <w:jc w:val="both"/>
        <w:rPr>
          <w:rFonts w:ascii="Times New Roman" w:hAnsi="Times New Roman"/>
          <w:color w:val="FF0000"/>
          <w:sz w:val="28"/>
          <w:szCs w:val="28"/>
          <w:highlight w:val="yellow"/>
          <w:lang w:eastAsia="ru-RU"/>
        </w:rPr>
      </w:pPr>
    </w:p>
    <w:p w14:paraId="0F8FDE93" w14:textId="77777777" w:rsidR="006762BB" w:rsidRPr="0006578A" w:rsidRDefault="006762BB"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r w:rsidRPr="0006578A">
        <w:rPr>
          <w:rFonts w:ascii="Times New Roman" w:hAnsi="Times New Roman"/>
          <w:b/>
          <w:bCs/>
          <w:color w:val="002060"/>
          <w:sz w:val="28"/>
          <w:szCs w:val="20"/>
          <w:lang w:eastAsia="ru-RU"/>
        </w:rPr>
        <w:lastRenderedPageBreak/>
        <w:t>Суммарный оборот розничной торговли и объем платных услуг населению и удельный вес налогов виду деятельности «оптово-розничная торговля и ремонт автотранспортных средств»</w:t>
      </w:r>
    </w:p>
    <w:p w14:paraId="1D5A6C45" w14:textId="54F9C839" w:rsidR="006762BB" w:rsidRDefault="006762BB"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r w:rsidRPr="0006578A">
        <w:rPr>
          <w:rFonts w:ascii="Times New Roman" w:hAnsi="Times New Roman"/>
          <w:b/>
          <w:bCs/>
          <w:color w:val="002060"/>
          <w:sz w:val="28"/>
          <w:szCs w:val="20"/>
          <w:lang w:eastAsia="ru-RU"/>
        </w:rPr>
        <w:t>по Республике Дагестан и Ставропольскому краю</w:t>
      </w:r>
    </w:p>
    <w:p w14:paraId="0D8306C8" w14:textId="77777777" w:rsidR="009D557D" w:rsidRDefault="009D557D" w:rsidP="006762BB">
      <w:pPr>
        <w:widowControl w:val="0"/>
        <w:autoSpaceDE w:val="0"/>
        <w:autoSpaceDN w:val="0"/>
        <w:adjustRightInd w:val="0"/>
        <w:spacing w:after="0" w:line="240" w:lineRule="auto"/>
        <w:jc w:val="center"/>
        <w:outlineLvl w:val="1"/>
        <w:rPr>
          <w:rFonts w:ascii="Times New Roman" w:hAnsi="Times New Roman"/>
          <w:b/>
          <w:bCs/>
          <w:color w:val="002060"/>
          <w:sz w:val="28"/>
          <w:szCs w:val="20"/>
          <w:lang w:eastAsia="ru-RU"/>
        </w:rPr>
      </w:pPr>
    </w:p>
    <w:p w14:paraId="30F855C1" w14:textId="77777777" w:rsidR="006762BB" w:rsidRDefault="006762BB" w:rsidP="006762BB">
      <w:pPr>
        <w:widowControl w:val="0"/>
        <w:autoSpaceDE w:val="0"/>
        <w:autoSpaceDN w:val="0"/>
        <w:adjustRightInd w:val="0"/>
        <w:spacing w:after="0" w:line="240" w:lineRule="auto"/>
        <w:jc w:val="right"/>
        <w:outlineLvl w:val="1"/>
        <w:rPr>
          <w:rFonts w:ascii="Times New Roman" w:hAnsi="Times New Roman"/>
          <w:b/>
          <w:bCs/>
          <w:color w:val="002060"/>
          <w:sz w:val="28"/>
          <w:szCs w:val="20"/>
          <w:lang w:eastAsia="ru-RU"/>
        </w:rPr>
      </w:pPr>
      <w:r>
        <w:rPr>
          <w:rFonts w:ascii="Times New Roman" w:hAnsi="Times New Roman"/>
          <w:b/>
          <w:bCs/>
          <w:color w:val="002060"/>
          <w:sz w:val="28"/>
          <w:szCs w:val="20"/>
          <w:lang w:eastAsia="ru-RU"/>
        </w:rPr>
        <w:t>(млн. рублей)</w:t>
      </w:r>
    </w:p>
    <w:p w14:paraId="5F6386D0" w14:textId="77777777" w:rsidR="006762BB" w:rsidRPr="007F211D" w:rsidRDefault="006762BB" w:rsidP="006762BB">
      <w:pPr>
        <w:widowControl w:val="0"/>
        <w:autoSpaceDE w:val="0"/>
        <w:autoSpaceDN w:val="0"/>
        <w:adjustRightInd w:val="0"/>
        <w:spacing w:after="0" w:line="240" w:lineRule="auto"/>
        <w:jc w:val="center"/>
        <w:outlineLvl w:val="1"/>
        <w:rPr>
          <w:rFonts w:ascii="Times New Roman" w:hAnsi="Times New Roman"/>
          <w:sz w:val="28"/>
          <w:szCs w:val="28"/>
          <w:lang w:eastAsia="ru-RU"/>
        </w:rPr>
      </w:pPr>
      <w:r>
        <w:rPr>
          <w:noProof/>
        </w:rPr>
        <w:drawing>
          <wp:inline distT="0" distB="0" distL="0" distR="0" wp14:anchorId="70DED6E7" wp14:editId="52792D81">
            <wp:extent cx="5689600" cy="2485622"/>
            <wp:effectExtent l="0" t="0" r="0" b="3810"/>
            <wp:docPr id="15" name="Диаграмма 15">
              <a:extLst xmlns:a="http://schemas.openxmlformats.org/drawingml/2006/main">
                <a:ext uri="{FF2B5EF4-FFF2-40B4-BE49-F238E27FC236}">
                  <a16:creationId xmlns:a16="http://schemas.microsoft.com/office/drawing/2014/main" id="{CA41A3FB-A58F-CAE5-B8FB-E2916A0486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37CD7B" w14:textId="77777777" w:rsidR="006762BB" w:rsidRDefault="006762BB" w:rsidP="006762BB">
      <w:pPr>
        <w:widowControl w:val="0"/>
        <w:autoSpaceDE w:val="0"/>
        <w:autoSpaceDN w:val="0"/>
        <w:adjustRightInd w:val="0"/>
        <w:spacing w:after="0" w:line="240" w:lineRule="auto"/>
        <w:ind w:firstLine="709"/>
        <w:jc w:val="both"/>
        <w:rPr>
          <w:rFonts w:ascii="Times New Roman" w:hAnsi="Times New Roman"/>
          <w:b/>
          <w:bCs/>
          <w:color w:val="002060"/>
          <w:sz w:val="28"/>
          <w:szCs w:val="20"/>
          <w:lang w:eastAsia="ru-RU"/>
        </w:rPr>
      </w:pPr>
    </w:p>
    <w:p w14:paraId="5FD29B15" w14:textId="77777777" w:rsidR="006762BB" w:rsidRPr="00E6376A" w:rsidRDefault="006762BB" w:rsidP="006762BB">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r w:rsidRPr="00226D59">
        <w:rPr>
          <w:rFonts w:ascii="Times New Roman" w:hAnsi="Times New Roman"/>
          <w:b/>
          <w:bCs/>
          <w:color w:val="002060"/>
          <w:sz w:val="28"/>
          <w:szCs w:val="20"/>
          <w:lang w:eastAsia="ru-RU"/>
        </w:rPr>
        <w:t>2.3.9.</w:t>
      </w:r>
      <w:r w:rsidRPr="00E6376A">
        <w:rPr>
          <w:rFonts w:ascii="Times New Roman" w:hAnsi="Times New Roman"/>
          <w:color w:val="000000"/>
          <w:sz w:val="28"/>
          <w:szCs w:val="28"/>
          <w:lang w:eastAsia="ru-RU"/>
        </w:rPr>
        <w:t xml:space="preserve"> Среднемесячная </w:t>
      </w:r>
      <w:r w:rsidRPr="00A7098E">
        <w:rPr>
          <w:rFonts w:ascii="Times New Roman" w:hAnsi="Times New Roman"/>
          <w:b/>
          <w:bCs/>
          <w:color w:val="000000"/>
          <w:sz w:val="28"/>
          <w:szCs w:val="28"/>
          <w:lang w:eastAsia="ru-RU"/>
        </w:rPr>
        <w:t>заработная плата</w:t>
      </w:r>
      <w:r w:rsidRPr="00E6376A">
        <w:rPr>
          <w:rFonts w:ascii="Times New Roman" w:hAnsi="Times New Roman"/>
          <w:b/>
          <w:bCs/>
          <w:i/>
          <w:iCs/>
          <w:color w:val="000000"/>
          <w:sz w:val="28"/>
          <w:szCs w:val="28"/>
          <w:lang w:eastAsia="ru-RU"/>
        </w:rPr>
        <w:t xml:space="preserve"> </w:t>
      </w:r>
      <w:r w:rsidRPr="00E6376A">
        <w:rPr>
          <w:rFonts w:ascii="Times New Roman" w:hAnsi="Times New Roman"/>
          <w:color w:val="000000"/>
          <w:sz w:val="28"/>
          <w:szCs w:val="28"/>
          <w:lang w:eastAsia="ru-RU"/>
        </w:rPr>
        <w:t>работников составляет в размере 32 116,7 рубля и сравнению с 2020 годом увеличилась на 2,8 %, или</w:t>
      </w:r>
      <w:r>
        <w:rPr>
          <w:rFonts w:ascii="Times New Roman" w:hAnsi="Times New Roman"/>
          <w:color w:val="000000"/>
          <w:sz w:val="28"/>
          <w:szCs w:val="28"/>
          <w:lang w:eastAsia="ru-RU"/>
        </w:rPr>
        <w:t xml:space="preserve"> </w:t>
      </w:r>
      <w:r w:rsidRPr="00E6376A">
        <w:rPr>
          <w:rFonts w:ascii="Times New Roman" w:hAnsi="Times New Roman"/>
          <w:color w:val="000000"/>
          <w:sz w:val="28"/>
          <w:szCs w:val="28"/>
          <w:lang w:eastAsia="ru-RU"/>
        </w:rPr>
        <w:t xml:space="preserve">875,2 рубля. </w:t>
      </w:r>
    </w:p>
    <w:p w14:paraId="2D9465B2" w14:textId="77777777" w:rsidR="006762BB" w:rsidRPr="00E6376A" w:rsidRDefault="006762BB" w:rsidP="006762B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E6376A">
        <w:rPr>
          <w:rFonts w:ascii="Times New Roman" w:hAnsi="Times New Roman"/>
          <w:color w:val="000000"/>
          <w:sz w:val="28"/>
          <w:szCs w:val="28"/>
          <w:lang w:eastAsia="ru-RU"/>
        </w:rPr>
        <w:t xml:space="preserve">При этом по данному показателю Республика Дагестан </w:t>
      </w:r>
      <w:r w:rsidRPr="00E6376A">
        <w:rPr>
          <w:rFonts w:ascii="Times New Roman" w:hAnsi="Times New Roman"/>
          <w:sz w:val="28"/>
          <w:szCs w:val="28"/>
          <w:lang w:eastAsia="ru-RU"/>
        </w:rPr>
        <w:t xml:space="preserve">в 1,8 раза </w:t>
      </w:r>
      <w:r w:rsidRPr="00E6376A">
        <w:rPr>
          <w:rFonts w:ascii="Times New Roman" w:hAnsi="Times New Roman"/>
          <w:color w:val="000000"/>
          <w:sz w:val="28"/>
          <w:szCs w:val="28"/>
          <w:lang w:eastAsia="ru-RU"/>
        </w:rPr>
        <w:t xml:space="preserve">отстает от </w:t>
      </w:r>
      <w:r w:rsidRPr="00E6376A">
        <w:rPr>
          <w:rFonts w:ascii="Times New Roman" w:hAnsi="Times New Roman"/>
          <w:sz w:val="28"/>
          <w:szCs w:val="28"/>
          <w:lang w:eastAsia="ru-RU"/>
        </w:rPr>
        <w:t>среднего значения по Российской Федерации (56 544,7 рублей) и в 1,1 раза от среднего значения по субъектам СКФО (32 005,7 рублей) и занимает последнее 4 место среди субъектов СКФО.</w:t>
      </w:r>
    </w:p>
    <w:p w14:paraId="310E3B2D" w14:textId="77777777" w:rsidR="006762BB" w:rsidRPr="00E6376A" w:rsidRDefault="006762BB" w:rsidP="006762BB">
      <w:pPr>
        <w:widowControl w:val="0"/>
        <w:autoSpaceDE w:val="0"/>
        <w:autoSpaceDN w:val="0"/>
        <w:adjustRightInd w:val="0"/>
        <w:spacing w:after="0" w:line="240" w:lineRule="auto"/>
        <w:ind w:firstLine="709"/>
        <w:jc w:val="both"/>
        <w:rPr>
          <w:rFonts w:ascii="Times New Roman" w:hAnsi="Times New Roman"/>
          <w:sz w:val="28"/>
          <w:szCs w:val="28"/>
          <w:lang w:eastAsia="ru-RU"/>
        </w:rPr>
      </w:pPr>
    </w:p>
    <w:p w14:paraId="0A00FB34" w14:textId="77777777" w:rsidR="006762BB" w:rsidRPr="00E6376A" w:rsidRDefault="006762BB" w:rsidP="006762BB">
      <w:pPr>
        <w:widowControl w:val="0"/>
        <w:autoSpaceDE w:val="0"/>
        <w:autoSpaceDN w:val="0"/>
        <w:adjustRightInd w:val="0"/>
        <w:spacing w:after="0" w:line="240" w:lineRule="auto"/>
        <w:jc w:val="center"/>
        <w:rPr>
          <w:rFonts w:ascii="Times New Roman" w:hAnsi="Times New Roman"/>
          <w:b/>
          <w:bCs/>
          <w:color w:val="002060"/>
          <w:sz w:val="28"/>
          <w:szCs w:val="20"/>
          <w:lang w:eastAsia="ru-RU"/>
        </w:rPr>
      </w:pPr>
      <w:r w:rsidRPr="00E6376A">
        <w:rPr>
          <w:rFonts w:ascii="Times New Roman" w:hAnsi="Times New Roman"/>
          <w:b/>
          <w:bCs/>
          <w:color w:val="002060"/>
          <w:sz w:val="28"/>
          <w:szCs w:val="20"/>
          <w:lang w:eastAsia="ru-RU"/>
        </w:rPr>
        <w:t>Уровень среднемесячной заработной платы в среднем</w:t>
      </w:r>
    </w:p>
    <w:p w14:paraId="62B1A2CD" w14:textId="77777777" w:rsidR="006762BB" w:rsidRPr="00E6376A" w:rsidRDefault="006762BB" w:rsidP="006762BB">
      <w:pPr>
        <w:widowControl w:val="0"/>
        <w:autoSpaceDE w:val="0"/>
        <w:autoSpaceDN w:val="0"/>
        <w:adjustRightInd w:val="0"/>
        <w:spacing w:after="0" w:line="240" w:lineRule="auto"/>
        <w:jc w:val="center"/>
        <w:rPr>
          <w:rFonts w:ascii="Times New Roman" w:hAnsi="Times New Roman"/>
          <w:b/>
          <w:bCs/>
          <w:color w:val="002060"/>
          <w:sz w:val="28"/>
          <w:szCs w:val="20"/>
          <w:lang w:eastAsia="ru-RU"/>
        </w:rPr>
      </w:pPr>
      <w:r w:rsidRPr="00E6376A">
        <w:rPr>
          <w:rFonts w:ascii="Times New Roman" w:hAnsi="Times New Roman"/>
          <w:b/>
          <w:bCs/>
          <w:color w:val="002060"/>
          <w:sz w:val="28"/>
          <w:szCs w:val="20"/>
          <w:lang w:eastAsia="ru-RU"/>
        </w:rPr>
        <w:t xml:space="preserve">по Российской Федерации, субъектам СКФО и Республике Дагестан </w:t>
      </w:r>
    </w:p>
    <w:p w14:paraId="53BF730E" w14:textId="77777777" w:rsidR="006762BB" w:rsidRPr="00E6376A" w:rsidRDefault="006762BB" w:rsidP="006762BB">
      <w:pPr>
        <w:widowControl w:val="0"/>
        <w:autoSpaceDE w:val="0"/>
        <w:autoSpaceDN w:val="0"/>
        <w:adjustRightInd w:val="0"/>
        <w:spacing w:after="0" w:line="240" w:lineRule="auto"/>
        <w:jc w:val="center"/>
        <w:rPr>
          <w:rFonts w:ascii="Times New Roman" w:hAnsi="Times New Roman"/>
          <w:b/>
          <w:bCs/>
          <w:color w:val="002060"/>
          <w:sz w:val="28"/>
          <w:szCs w:val="20"/>
          <w:lang w:eastAsia="ru-RU"/>
        </w:rPr>
      </w:pPr>
      <w:r w:rsidRPr="00E6376A">
        <w:rPr>
          <w:rFonts w:ascii="Times New Roman" w:hAnsi="Times New Roman"/>
          <w:b/>
          <w:bCs/>
          <w:color w:val="002060"/>
          <w:sz w:val="28"/>
          <w:szCs w:val="20"/>
          <w:lang w:eastAsia="ru-RU"/>
        </w:rPr>
        <w:t>за 2021 год</w:t>
      </w:r>
    </w:p>
    <w:p w14:paraId="72ADBF18" w14:textId="77777777" w:rsidR="006762BB" w:rsidRPr="00E6376A" w:rsidRDefault="006762BB" w:rsidP="006762BB">
      <w:pPr>
        <w:widowControl w:val="0"/>
        <w:autoSpaceDE w:val="0"/>
        <w:autoSpaceDN w:val="0"/>
        <w:adjustRightInd w:val="0"/>
        <w:spacing w:after="0" w:line="240" w:lineRule="auto"/>
        <w:ind w:firstLine="709"/>
        <w:jc w:val="right"/>
        <w:rPr>
          <w:rFonts w:ascii="Times New Roman" w:hAnsi="Times New Roman"/>
          <w:b/>
          <w:bCs/>
          <w:color w:val="002060"/>
          <w:sz w:val="28"/>
          <w:szCs w:val="20"/>
          <w:lang w:eastAsia="ru-RU"/>
        </w:rPr>
      </w:pPr>
      <w:r w:rsidRPr="00E6376A">
        <w:rPr>
          <w:rFonts w:ascii="Times New Roman" w:hAnsi="Times New Roman"/>
          <w:b/>
          <w:bCs/>
          <w:color w:val="002060"/>
          <w:sz w:val="28"/>
          <w:szCs w:val="20"/>
          <w:lang w:eastAsia="ru-RU"/>
        </w:rPr>
        <w:t>тыс. рублей</w:t>
      </w:r>
    </w:p>
    <w:p w14:paraId="0E88E1D9" w14:textId="77777777" w:rsidR="006762BB" w:rsidRPr="00A63AE2" w:rsidRDefault="006762BB" w:rsidP="006762BB">
      <w:pPr>
        <w:widowControl w:val="0"/>
        <w:autoSpaceDE w:val="0"/>
        <w:autoSpaceDN w:val="0"/>
        <w:adjustRightInd w:val="0"/>
        <w:spacing w:after="0" w:line="240" w:lineRule="auto"/>
        <w:jc w:val="both"/>
        <w:rPr>
          <w:rFonts w:ascii="Times New Roman" w:hAnsi="Times New Roman"/>
          <w:sz w:val="28"/>
          <w:szCs w:val="28"/>
          <w:highlight w:val="yellow"/>
          <w:lang w:eastAsia="ru-RU"/>
        </w:rPr>
      </w:pPr>
      <w:r>
        <w:rPr>
          <w:noProof/>
        </w:rPr>
        <w:drawing>
          <wp:inline distT="0" distB="0" distL="0" distR="0" wp14:anchorId="5A2A7E8E" wp14:editId="6538C90D">
            <wp:extent cx="5939790" cy="2486722"/>
            <wp:effectExtent l="0" t="0" r="3810" b="6985"/>
            <wp:docPr id="16" name="Диаграмма 16">
              <a:extLst xmlns:a="http://schemas.openxmlformats.org/drawingml/2006/main">
                <a:ext uri="{FF2B5EF4-FFF2-40B4-BE49-F238E27FC236}">
                  <a16:creationId xmlns:a16="http://schemas.microsoft.com/office/drawing/2014/main" id="{00000000-0008-0000-0000-00000B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BE8318" w14:textId="77777777" w:rsidR="006762BB" w:rsidRPr="00E6376A" w:rsidRDefault="006762BB" w:rsidP="005237E7">
      <w:pPr>
        <w:widowControl w:val="0"/>
        <w:autoSpaceDE w:val="0"/>
        <w:autoSpaceDN w:val="0"/>
        <w:adjustRightInd w:val="0"/>
        <w:spacing w:after="0" w:line="400" w:lineRule="exact"/>
        <w:ind w:firstLine="709"/>
        <w:jc w:val="both"/>
        <w:rPr>
          <w:rFonts w:ascii="Times New Roman" w:hAnsi="Times New Roman"/>
          <w:sz w:val="28"/>
          <w:szCs w:val="28"/>
          <w:lang w:eastAsia="ru-RU"/>
        </w:rPr>
      </w:pPr>
      <w:r w:rsidRPr="00226D59">
        <w:rPr>
          <w:rFonts w:ascii="Times New Roman" w:hAnsi="Times New Roman"/>
          <w:b/>
          <w:bCs/>
          <w:color w:val="002060"/>
          <w:sz w:val="28"/>
          <w:szCs w:val="20"/>
          <w:lang w:eastAsia="ru-RU"/>
        </w:rPr>
        <w:lastRenderedPageBreak/>
        <w:t>2.3.10.</w:t>
      </w:r>
      <w:r w:rsidRPr="00E6376A">
        <w:rPr>
          <w:rFonts w:ascii="Times New Roman" w:hAnsi="Times New Roman"/>
          <w:sz w:val="28"/>
          <w:szCs w:val="28"/>
          <w:lang w:eastAsia="ru-RU"/>
        </w:rPr>
        <w:t xml:space="preserve"> По итогам 2021 года </w:t>
      </w:r>
      <w:r>
        <w:rPr>
          <w:rFonts w:ascii="Times New Roman" w:hAnsi="Times New Roman"/>
          <w:sz w:val="28"/>
          <w:szCs w:val="28"/>
          <w:lang w:eastAsia="ru-RU"/>
        </w:rPr>
        <w:t xml:space="preserve">численность </w:t>
      </w:r>
      <w:r w:rsidRPr="00E6376A">
        <w:rPr>
          <w:rFonts w:ascii="Times New Roman" w:hAnsi="Times New Roman"/>
          <w:sz w:val="28"/>
          <w:szCs w:val="28"/>
          <w:lang w:eastAsia="ru-RU"/>
        </w:rPr>
        <w:t xml:space="preserve">официально зарегистрированных </w:t>
      </w:r>
      <w:r w:rsidRPr="00E6376A">
        <w:rPr>
          <w:rFonts w:ascii="Times New Roman" w:hAnsi="Times New Roman"/>
          <w:b/>
          <w:sz w:val="28"/>
          <w:szCs w:val="28"/>
          <w:lang w:eastAsia="ru-RU"/>
        </w:rPr>
        <w:t xml:space="preserve">безработных </w:t>
      </w:r>
      <w:r w:rsidRPr="00E6376A">
        <w:rPr>
          <w:rFonts w:ascii="Times New Roman" w:hAnsi="Times New Roman"/>
          <w:sz w:val="28"/>
          <w:szCs w:val="28"/>
          <w:lang w:eastAsia="ru-RU"/>
        </w:rPr>
        <w:t>граждан составил</w:t>
      </w:r>
      <w:r>
        <w:rPr>
          <w:rFonts w:ascii="Times New Roman" w:hAnsi="Times New Roman"/>
          <w:sz w:val="28"/>
          <w:szCs w:val="28"/>
          <w:lang w:eastAsia="ru-RU"/>
        </w:rPr>
        <w:t>а</w:t>
      </w:r>
      <w:r w:rsidRPr="00E6376A">
        <w:rPr>
          <w:rFonts w:ascii="Times New Roman" w:hAnsi="Times New Roman"/>
          <w:sz w:val="28"/>
          <w:szCs w:val="28"/>
          <w:lang w:eastAsia="ru-RU"/>
        </w:rPr>
        <w:t xml:space="preserve"> 32,0 тыс. человек и по сравнению с аналогичным периодом 2020 года (74,4 тыс. человек) уменьшилось на 74,4 тыс. человек, или в 3,3 раза. </w:t>
      </w:r>
    </w:p>
    <w:p w14:paraId="49B7EA8A" w14:textId="77777777" w:rsidR="006762BB" w:rsidRDefault="006762BB" w:rsidP="005237E7">
      <w:pPr>
        <w:spacing w:after="0" w:line="400" w:lineRule="exact"/>
        <w:ind w:firstLine="708"/>
        <w:jc w:val="both"/>
        <w:rPr>
          <w:rFonts w:ascii="Times New Roman" w:hAnsi="Times New Roman"/>
          <w:sz w:val="28"/>
          <w:szCs w:val="28"/>
          <w:lang w:eastAsia="ru-RU"/>
        </w:rPr>
      </w:pPr>
      <w:r w:rsidRPr="00E6376A">
        <w:rPr>
          <w:rFonts w:ascii="Times New Roman" w:hAnsi="Times New Roman"/>
          <w:sz w:val="28"/>
          <w:szCs w:val="28"/>
          <w:lang w:eastAsia="ru-RU"/>
        </w:rPr>
        <w:t>Уровень зарегистрированной безработицы (отношение численности зарегистрированных безработных граждан к численности экономически активного населения) составил 2,7 %, что в 2,7 раза выше, чем в среднем по Российской Федерации (1,0 %), при этом 1,3 раза ниже, чем в среднем по СКФО (3,5 %).</w:t>
      </w:r>
      <w:r w:rsidRPr="00E6376A">
        <w:t xml:space="preserve"> </w:t>
      </w:r>
      <w:r w:rsidRPr="00E6376A">
        <w:rPr>
          <w:rFonts w:ascii="Times New Roman" w:hAnsi="Times New Roman"/>
          <w:sz w:val="28"/>
          <w:szCs w:val="28"/>
          <w:lang w:eastAsia="ru-RU"/>
        </w:rPr>
        <w:t>По уровню безработицы Республика Дагестан занимает 3 место среди субъектов СКФО.</w:t>
      </w:r>
    </w:p>
    <w:p w14:paraId="2FAD7A2A" w14:textId="77777777" w:rsidR="006762BB" w:rsidRPr="00226D59" w:rsidRDefault="006762BB" w:rsidP="005237E7">
      <w:pPr>
        <w:widowControl w:val="0"/>
        <w:autoSpaceDE w:val="0"/>
        <w:autoSpaceDN w:val="0"/>
        <w:adjustRightInd w:val="0"/>
        <w:spacing w:after="0" w:line="400" w:lineRule="exact"/>
        <w:ind w:firstLine="709"/>
        <w:jc w:val="both"/>
        <w:rPr>
          <w:rFonts w:ascii="Times New Roman" w:eastAsia="Times New Roman" w:hAnsi="Times New Roman"/>
          <w:sz w:val="28"/>
          <w:szCs w:val="28"/>
          <w:lang w:eastAsia="ar-SA"/>
        </w:rPr>
      </w:pPr>
      <w:r>
        <w:rPr>
          <w:rFonts w:ascii="Times New Roman" w:eastAsia="Times New Roman" w:hAnsi="Times New Roman"/>
          <w:b/>
          <w:color w:val="002060"/>
          <w:sz w:val="28"/>
          <w:szCs w:val="28"/>
          <w:lang w:eastAsia="ar-SA"/>
        </w:rPr>
        <w:t>2</w:t>
      </w:r>
      <w:r w:rsidRPr="00226D59">
        <w:rPr>
          <w:rFonts w:ascii="Times New Roman" w:eastAsia="Times New Roman" w:hAnsi="Times New Roman"/>
          <w:b/>
          <w:color w:val="002060"/>
          <w:sz w:val="28"/>
          <w:szCs w:val="28"/>
          <w:lang w:eastAsia="ar-SA"/>
        </w:rPr>
        <w:t>.4.</w:t>
      </w:r>
      <w:r w:rsidRPr="00226D59">
        <w:rPr>
          <w:rFonts w:ascii="Times New Roman" w:eastAsia="Times New Roman" w:hAnsi="Times New Roman"/>
          <w:sz w:val="28"/>
          <w:szCs w:val="28"/>
          <w:lang w:eastAsia="ar-SA"/>
        </w:rPr>
        <w:t xml:space="preserve"> Сравнительный анализ основных макроэкономических показателей по итогам 2021 год</w:t>
      </w:r>
      <w:r>
        <w:rPr>
          <w:rFonts w:ascii="Times New Roman" w:eastAsia="Times New Roman" w:hAnsi="Times New Roman"/>
          <w:sz w:val="28"/>
          <w:szCs w:val="28"/>
          <w:lang w:eastAsia="ar-SA"/>
        </w:rPr>
        <w:t>а</w:t>
      </w:r>
      <w:r w:rsidRPr="00226D59">
        <w:rPr>
          <w:rFonts w:ascii="Times New Roman" w:eastAsia="Times New Roman" w:hAnsi="Times New Roman"/>
          <w:sz w:val="28"/>
          <w:szCs w:val="28"/>
          <w:lang w:eastAsia="ar-SA"/>
        </w:rPr>
        <w:t xml:space="preserve"> с показателями, запланированными в Программе деятельности Правительства Республики Дагестан на период до 2024 года и показателями </w:t>
      </w:r>
      <w:r w:rsidRPr="00B6770C">
        <w:rPr>
          <w:rFonts w:ascii="Times New Roman" w:eastAsia="Times New Roman" w:hAnsi="Times New Roman"/>
          <w:color w:val="0070C0"/>
          <w:sz w:val="28"/>
          <w:szCs w:val="28"/>
          <w:lang w:eastAsia="ar-SA"/>
        </w:rPr>
        <w:t xml:space="preserve">проекта стратегии </w:t>
      </w:r>
      <w:r w:rsidRPr="00226D59">
        <w:rPr>
          <w:rFonts w:ascii="Times New Roman" w:eastAsia="Times New Roman" w:hAnsi="Times New Roman"/>
          <w:sz w:val="28"/>
          <w:szCs w:val="28"/>
          <w:lang w:eastAsia="ar-SA"/>
        </w:rPr>
        <w:t>социально-экономического развития Республики Дагестан до 2030 год, показал следующее.</w:t>
      </w:r>
    </w:p>
    <w:p w14:paraId="2D34626B" w14:textId="77777777" w:rsidR="006762BB" w:rsidRPr="00226D59" w:rsidRDefault="006762BB" w:rsidP="005237E7">
      <w:pPr>
        <w:widowControl w:val="0"/>
        <w:autoSpaceDE w:val="0"/>
        <w:autoSpaceDN w:val="0"/>
        <w:adjustRightInd w:val="0"/>
        <w:spacing w:after="0" w:line="400" w:lineRule="exact"/>
        <w:ind w:firstLine="709"/>
        <w:jc w:val="both"/>
        <w:outlineLvl w:val="1"/>
        <w:rPr>
          <w:rFonts w:ascii="Times New Roman" w:eastAsia="Times New Roman" w:hAnsi="Times New Roman"/>
          <w:bCs/>
          <w:sz w:val="28"/>
          <w:szCs w:val="28"/>
          <w:lang w:eastAsia="ru-RU"/>
        </w:rPr>
      </w:pPr>
      <w:bookmarkStart w:id="7" w:name="_Hlk104294167"/>
      <w:r w:rsidRPr="00226D59">
        <w:rPr>
          <w:rFonts w:ascii="Times New Roman" w:eastAsia="Times New Roman" w:hAnsi="Times New Roman"/>
          <w:bCs/>
          <w:sz w:val="28"/>
          <w:szCs w:val="28"/>
          <w:lang w:eastAsia="ru-RU"/>
        </w:rPr>
        <w:t>Темпы роста 7 показателей (из сравниваемых 8-ми) не достигнуты уровня, запланированного в Программе</w:t>
      </w:r>
      <w:r w:rsidRPr="00226D59">
        <w:rPr>
          <w:rFonts w:ascii="Times New Roman" w:eastAsia="Times New Roman" w:hAnsi="Times New Roman"/>
          <w:sz w:val="20"/>
          <w:szCs w:val="20"/>
          <w:lang w:eastAsia="ru-RU"/>
        </w:rPr>
        <w:t xml:space="preserve"> </w:t>
      </w:r>
      <w:r w:rsidRPr="00226D59">
        <w:rPr>
          <w:rFonts w:ascii="Times New Roman" w:eastAsia="Times New Roman" w:hAnsi="Times New Roman"/>
          <w:bCs/>
          <w:sz w:val="28"/>
          <w:szCs w:val="28"/>
          <w:lang w:eastAsia="ru-RU"/>
        </w:rPr>
        <w:t>деятельности Правительства Республики Дагестан на период до 2024 года (далее – Программа), в частности</w:t>
      </w:r>
      <w:r>
        <w:rPr>
          <w:rFonts w:ascii="Times New Roman" w:eastAsia="Times New Roman" w:hAnsi="Times New Roman"/>
          <w:bCs/>
          <w:sz w:val="28"/>
          <w:szCs w:val="28"/>
          <w:lang w:eastAsia="ru-RU"/>
        </w:rPr>
        <w:t>,</w:t>
      </w:r>
      <w:r w:rsidRPr="00226D59">
        <w:rPr>
          <w:rFonts w:ascii="Times New Roman" w:eastAsia="Times New Roman" w:hAnsi="Times New Roman"/>
          <w:bCs/>
          <w:sz w:val="28"/>
          <w:szCs w:val="28"/>
          <w:lang w:eastAsia="ru-RU"/>
        </w:rPr>
        <w:t xml:space="preserve"> по</w:t>
      </w:r>
      <w:r w:rsidRPr="00226D59">
        <w:rPr>
          <w:rFonts w:ascii="Times New Roman" w:eastAsia="Times New Roman" w:hAnsi="Times New Roman"/>
          <w:sz w:val="28"/>
          <w:szCs w:val="20"/>
          <w:lang w:eastAsia="ru-RU"/>
        </w:rPr>
        <w:t xml:space="preserve"> темпам роста</w:t>
      </w:r>
      <w:r w:rsidRPr="00226D59">
        <w:rPr>
          <w:rFonts w:ascii="Times New Roman" w:eastAsia="Times New Roman" w:hAnsi="Times New Roman"/>
          <w:bCs/>
          <w:sz w:val="28"/>
          <w:szCs w:val="28"/>
          <w:lang w:eastAsia="ru-RU"/>
        </w:rPr>
        <w:t>:</w:t>
      </w:r>
    </w:p>
    <w:p w14:paraId="4DB06F73" w14:textId="77777777" w:rsidR="006762BB" w:rsidRPr="00226D59" w:rsidRDefault="006762BB" w:rsidP="005237E7">
      <w:pPr>
        <w:widowControl w:val="0"/>
        <w:autoSpaceDE w:val="0"/>
        <w:autoSpaceDN w:val="0"/>
        <w:adjustRightInd w:val="0"/>
        <w:spacing w:after="0" w:line="400" w:lineRule="exact"/>
        <w:ind w:firstLine="709"/>
        <w:jc w:val="both"/>
        <w:outlineLvl w:val="1"/>
        <w:rPr>
          <w:rFonts w:ascii="Times New Roman" w:eastAsia="Times New Roman" w:hAnsi="Times New Roman"/>
          <w:bCs/>
          <w:sz w:val="28"/>
          <w:szCs w:val="28"/>
          <w:lang w:eastAsia="ru-RU"/>
        </w:rPr>
      </w:pPr>
      <w:r w:rsidRPr="00226D59">
        <w:rPr>
          <w:rFonts w:ascii="Times New Roman" w:eastAsia="Times New Roman" w:hAnsi="Times New Roman"/>
          <w:bCs/>
          <w:sz w:val="28"/>
          <w:szCs w:val="28"/>
          <w:lang w:eastAsia="ru-RU"/>
        </w:rPr>
        <w:t>- ВРП – на 1,6 % (по отчету – 102,0 %; по Программе – 103,6 %);</w:t>
      </w:r>
    </w:p>
    <w:p w14:paraId="04B05AAF" w14:textId="77777777" w:rsidR="006762BB" w:rsidRPr="00226D59" w:rsidRDefault="006762BB" w:rsidP="005237E7">
      <w:pPr>
        <w:widowControl w:val="0"/>
        <w:autoSpaceDE w:val="0"/>
        <w:autoSpaceDN w:val="0"/>
        <w:adjustRightInd w:val="0"/>
        <w:spacing w:after="0" w:line="400" w:lineRule="exact"/>
        <w:ind w:firstLine="709"/>
        <w:jc w:val="both"/>
        <w:outlineLvl w:val="1"/>
        <w:rPr>
          <w:rFonts w:ascii="Times New Roman" w:eastAsia="Times New Roman" w:hAnsi="Times New Roman"/>
          <w:bCs/>
          <w:sz w:val="28"/>
          <w:szCs w:val="28"/>
          <w:lang w:eastAsia="ru-RU"/>
        </w:rPr>
      </w:pPr>
      <w:r w:rsidRPr="00226D59">
        <w:rPr>
          <w:rFonts w:ascii="Times New Roman" w:eastAsia="Times New Roman" w:hAnsi="Times New Roman"/>
          <w:bCs/>
          <w:sz w:val="28"/>
          <w:szCs w:val="28"/>
          <w:lang w:eastAsia="ru-RU"/>
        </w:rPr>
        <w:t>- объему промышленного производства – на 6,2 % (по отчету – 105,2 %; по Программе – 111,4 %);</w:t>
      </w:r>
    </w:p>
    <w:p w14:paraId="7C939F1F" w14:textId="77777777" w:rsidR="006762BB" w:rsidRPr="00226D59" w:rsidRDefault="006762BB" w:rsidP="005237E7">
      <w:pPr>
        <w:widowControl w:val="0"/>
        <w:autoSpaceDE w:val="0"/>
        <w:autoSpaceDN w:val="0"/>
        <w:adjustRightInd w:val="0"/>
        <w:spacing w:after="0" w:line="400" w:lineRule="exact"/>
        <w:ind w:firstLine="709"/>
        <w:jc w:val="both"/>
        <w:rPr>
          <w:rFonts w:ascii="Times New Roman" w:eastAsia="Times New Roman" w:hAnsi="Times New Roman"/>
          <w:sz w:val="28"/>
          <w:szCs w:val="20"/>
          <w:lang w:eastAsia="ru-RU"/>
        </w:rPr>
      </w:pPr>
      <w:r w:rsidRPr="00226D59">
        <w:rPr>
          <w:rFonts w:ascii="Times New Roman" w:eastAsia="Times New Roman" w:hAnsi="Times New Roman"/>
          <w:sz w:val="28"/>
          <w:szCs w:val="20"/>
          <w:lang w:eastAsia="ru-RU"/>
        </w:rPr>
        <w:t xml:space="preserve">- объему продукции сельского хозяйства – </w:t>
      </w:r>
      <w:bookmarkStart w:id="8" w:name="_Hlk104288202"/>
      <w:r w:rsidRPr="00226D59">
        <w:rPr>
          <w:rFonts w:ascii="Times New Roman" w:eastAsia="Times New Roman" w:hAnsi="Times New Roman"/>
          <w:sz w:val="28"/>
          <w:szCs w:val="20"/>
          <w:lang w:eastAsia="ru-RU"/>
        </w:rPr>
        <w:t xml:space="preserve">на 2,6 % (по отчету – 100,5 %; </w:t>
      </w:r>
      <w:r w:rsidRPr="00226D59">
        <w:rPr>
          <w:rFonts w:ascii="Times New Roman" w:eastAsia="Times New Roman" w:hAnsi="Times New Roman"/>
          <w:sz w:val="28"/>
          <w:szCs w:val="20"/>
          <w:lang w:eastAsia="ru-RU"/>
        </w:rPr>
        <w:br/>
        <w:t xml:space="preserve">по Программе – 103,1 %); </w:t>
      </w:r>
    </w:p>
    <w:bookmarkEnd w:id="8"/>
    <w:p w14:paraId="464C6744" w14:textId="77777777" w:rsidR="006762BB" w:rsidRPr="00226D59" w:rsidRDefault="006762BB" w:rsidP="005237E7">
      <w:pPr>
        <w:widowControl w:val="0"/>
        <w:autoSpaceDE w:val="0"/>
        <w:autoSpaceDN w:val="0"/>
        <w:adjustRightInd w:val="0"/>
        <w:spacing w:after="0" w:line="400" w:lineRule="exact"/>
        <w:ind w:firstLine="709"/>
        <w:jc w:val="both"/>
        <w:rPr>
          <w:rFonts w:ascii="Times New Roman" w:eastAsia="Times New Roman" w:hAnsi="Times New Roman"/>
          <w:sz w:val="28"/>
          <w:szCs w:val="20"/>
          <w:lang w:eastAsia="ru-RU"/>
        </w:rPr>
      </w:pPr>
      <w:r w:rsidRPr="00226D59">
        <w:rPr>
          <w:rFonts w:ascii="Times New Roman" w:eastAsia="Times New Roman" w:hAnsi="Times New Roman"/>
          <w:sz w:val="28"/>
          <w:szCs w:val="20"/>
          <w:lang w:eastAsia="ru-RU"/>
        </w:rPr>
        <w:t>- объему инвестиций в основ</w:t>
      </w:r>
      <w:r w:rsidRPr="00226D59">
        <w:rPr>
          <w:rFonts w:ascii="Times New Roman" w:eastAsia="Times New Roman" w:hAnsi="Times New Roman"/>
          <w:sz w:val="28"/>
          <w:szCs w:val="20"/>
          <w:lang w:eastAsia="ru-RU"/>
        </w:rPr>
        <w:softHyphen/>
        <w:t xml:space="preserve">ной капитал – на 13,9 % (по отчету – </w:t>
      </w:r>
      <w:r>
        <w:rPr>
          <w:rFonts w:ascii="Times New Roman" w:eastAsia="Times New Roman" w:hAnsi="Times New Roman"/>
          <w:sz w:val="28"/>
          <w:szCs w:val="20"/>
          <w:lang w:eastAsia="ru-RU"/>
        </w:rPr>
        <w:br/>
      </w:r>
      <w:r w:rsidRPr="00226D59">
        <w:rPr>
          <w:rFonts w:ascii="Times New Roman" w:eastAsia="Times New Roman" w:hAnsi="Times New Roman"/>
          <w:sz w:val="28"/>
          <w:szCs w:val="20"/>
          <w:lang w:eastAsia="ru-RU"/>
        </w:rPr>
        <w:t xml:space="preserve">88,6 %; по Программе – 102,5 %); </w:t>
      </w:r>
    </w:p>
    <w:p w14:paraId="7C22710B" w14:textId="77777777" w:rsidR="006762BB" w:rsidRPr="00226D59" w:rsidRDefault="006762BB" w:rsidP="005237E7">
      <w:pPr>
        <w:widowControl w:val="0"/>
        <w:autoSpaceDE w:val="0"/>
        <w:autoSpaceDN w:val="0"/>
        <w:adjustRightInd w:val="0"/>
        <w:spacing w:after="0" w:line="400" w:lineRule="exact"/>
        <w:ind w:firstLine="709"/>
        <w:jc w:val="both"/>
        <w:rPr>
          <w:rFonts w:ascii="Times New Roman" w:eastAsia="Times New Roman" w:hAnsi="Times New Roman"/>
          <w:sz w:val="28"/>
          <w:szCs w:val="20"/>
          <w:lang w:eastAsia="ru-RU"/>
        </w:rPr>
      </w:pPr>
      <w:r w:rsidRPr="00226D59">
        <w:rPr>
          <w:rFonts w:ascii="Times New Roman" w:eastAsia="Times New Roman" w:hAnsi="Times New Roman"/>
          <w:sz w:val="28"/>
          <w:szCs w:val="20"/>
          <w:lang w:eastAsia="ru-RU"/>
        </w:rPr>
        <w:t xml:space="preserve">- обороту розничной торговли – на 1,1 % (по отчету – 101,0 %; </w:t>
      </w:r>
      <w:r w:rsidRPr="00226D59">
        <w:rPr>
          <w:rFonts w:ascii="Times New Roman" w:eastAsia="Times New Roman" w:hAnsi="Times New Roman"/>
          <w:sz w:val="28"/>
          <w:szCs w:val="20"/>
          <w:lang w:eastAsia="ru-RU"/>
        </w:rPr>
        <w:br/>
        <w:t xml:space="preserve">по Программе – 102,1 %); </w:t>
      </w:r>
    </w:p>
    <w:p w14:paraId="5057AEED" w14:textId="77777777" w:rsidR="006762BB" w:rsidRPr="00226D59" w:rsidRDefault="006762BB" w:rsidP="005237E7">
      <w:pPr>
        <w:widowControl w:val="0"/>
        <w:autoSpaceDE w:val="0"/>
        <w:autoSpaceDN w:val="0"/>
        <w:adjustRightInd w:val="0"/>
        <w:spacing w:after="0" w:line="400" w:lineRule="exact"/>
        <w:ind w:firstLine="709"/>
        <w:jc w:val="both"/>
        <w:rPr>
          <w:rFonts w:ascii="Times New Roman" w:eastAsia="Times New Roman" w:hAnsi="Times New Roman"/>
          <w:sz w:val="28"/>
          <w:szCs w:val="20"/>
          <w:lang w:eastAsia="ru-RU"/>
        </w:rPr>
      </w:pPr>
      <w:r w:rsidRPr="00226D59">
        <w:rPr>
          <w:rFonts w:ascii="Times New Roman" w:eastAsia="Times New Roman" w:hAnsi="Times New Roman"/>
          <w:sz w:val="28"/>
          <w:szCs w:val="20"/>
          <w:lang w:eastAsia="ru-RU"/>
        </w:rPr>
        <w:t xml:space="preserve">- размеру среднемесячной номинально начисленной заработной платы на одного работника – на 0,2 % (по отчету – 106,7 %; по Программе – </w:t>
      </w:r>
      <w:r w:rsidRPr="00226D59">
        <w:rPr>
          <w:rFonts w:ascii="Times New Roman" w:eastAsia="Times New Roman" w:hAnsi="Times New Roman"/>
          <w:sz w:val="28"/>
          <w:szCs w:val="20"/>
          <w:lang w:eastAsia="ru-RU"/>
        </w:rPr>
        <w:br/>
        <w:t>106,9 %);</w:t>
      </w:r>
    </w:p>
    <w:p w14:paraId="4EDEA4B8" w14:textId="77777777" w:rsidR="006762BB" w:rsidRPr="00226D59" w:rsidRDefault="006762BB" w:rsidP="005237E7">
      <w:pPr>
        <w:widowControl w:val="0"/>
        <w:autoSpaceDE w:val="0"/>
        <w:autoSpaceDN w:val="0"/>
        <w:adjustRightInd w:val="0"/>
        <w:spacing w:after="0" w:line="400" w:lineRule="exact"/>
        <w:ind w:firstLine="709"/>
        <w:jc w:val="both"/>
        <w:rPr>
          <w:rFonts w:ascii="Times New Roman" w:eastAsia="Times New Roman" w:hAnsi="Times New Roman"/>
          <w:sz w:val="28"/>
          <w:szCs w:val="20"/>
          <w:lang w:eastAsia="ru-RU"/>
        </w:rPr>
      </w:pPr>
      <w:r w:rsidRPr="00226D59">
        <w:rPr>
          <w:rFonts w:ascii="Times New Roman" w:eastAsia="Times New Roman" w:hAnsi="Times New Roman"/>
          <w:sz w:val="28"/>
          <w:szCs w:val="28"/>
          <w:lang w:eastAsia="ru-RU"/>
        </w:rPr>
        <w:t xml:space="preserve">- реальным располагаемым денежным доходам населения – на </w:t>
      </w:r>
      <w:r w:rsidRPr="00226D59">
        <w:rPr>
          <w:rFonts w:ascii="Times New Roman" w:eastAsia="Times New Roman" w:hAnsi="Times New Roman"/>
          <w:sz w:val="28"/>
          <w:szCs w:val="20"/>
          <w:lang w:eastAsia="ru-RU"/>
        </w:rPr>
        <w:t xml:space="preserve">2,5 % </w:t>
      </w:r>
      <w:r w:rsidRPr="00226D59">
        <w:rPr>
          <w:rFonts w:ascii="Times New Roman" w:eastAsia="Times New Roman" w:hAnsi="Times New Roman"/>
          <w:sz w:val="28"/>
          <w:szCs w:val="20"/>
          <w:lang w:eastAsia="ru-RU"/>
        </w:rPr>
        <w:br/>
        <w:t>(по отчету – 100,0 %; по Программе – 102,5 %).</w:t>
      </w:r>
    </w:p>
    <w:bookmarkEnd w:id="7"/>
    <w:p w14:paraId="4E6212E4" w14:textId="77777777" w:rsidR="006762BB" w:rsidRPr="00226D59" w:rsidRDefault="006762BB" w:rsidP="005237E7">
      <w:pPr>
        <w:widowControl w:val="0"/>
        <w:autoSpaceDE w:val="0"/>
        <w:autoSpaceDN w:val="0"/>
        <w:adjustRightInd w:val="0"/>
        <w:spacing w:after="0" w:line="400" w:lineRule="exact"/>
        <w:ind w:firstLine="709"/>
        <w:jc w:val="both"/>
        <w:rPr>
          <w:rFonts w:ascii="Times New Roman" w:eastAsia="Times New Roman" w:hAnsi="Times New Roman"/>
          <w:sz w:val="28"/>
          <w:szCs w:val="20"/>
          <w:lang w:eastAsia="ru-RU"/>
        </w:rPr>
      </w:pPr>
      <w:r w:rsidRPr="00226D59">
        <w:rPr>
          <w:rFonts w:ascii="Times New Roman" w:eastAsia="Times New Roman" w:hAnsi="Times New Roman"/>
          <w:sz w:val="28"/>
          <w:szCs w:val="28"/>
          <w:lang w:eastAsia="ru-RU"/>
        </w:rPr>
        <w:t xml:space="preserve">При этом, темп роста </w:t>
      </w:r>
      <w:r w:rsidRPr="00226D59">
        <w:rPr>
          <w:rFonts w:ascii="Times New Roman" w:eastAsia="Times New Roman" w:hAnsi="Times New Roman"/>
          <w:sz w:val="28"/>
          <w:szCs w:val="20"/>
          <w:lang w:eastAsia="ru-RU"/>
        </w:rPr>
        <w:t xml:space="preserve">объема платных услуг </w:t>
      </w:r>
      <w:r w:rsidRPr="00226D59">
        <w:rPr>
          <w:rFonts w:ascii="Times New Roman" w:eastAsia="Times New Roman" w:hAnsi="Times New Roman"/>
          <w:sz w:val="28"/>
          <w:szCs w:val="28"/>
          <w:lang w:eastAsia="ru-RU"/>
        </w:rPr>
        <w:t xml:space="preserve">на 9,1 % выше уровня, запланированного Программой </w:t>
      </w:r>
      <w:r w:rsidRPr="00226D59">
        <w:rPr>
          <w:rFonts w:ascii="Times New Roman" w:eastAsia="Times New Roman" w:hAnsi="Times New Roman"/>
          <w:sz w:val="28"/>
          <w:szCs w:val="20"/>
          <w:lang w:eastAsia="ru-RU"/>
        </w:rPr>
        <w:t>(по отчету – 116,6 %; по Программе – 107,5 %).</w:t>
      </w:r>
    </w:p>
    <w:p w14:paraId="55AFCCB5" w14:textId="102ED1C9" w:rsidR="006762BB" w:rsidRPr="00226D59" w:rsidRDefault="006762BB" w:rsidP="00981AE8">
      <w:pPr>
        <w:widowControl w:val="0"/>
        <w:autoSpaceDE w:val="0"/>
        <w:autoSpaceDN w:val="0"/>
        <w:adjustRightInd w:val="0"/>
        <w:spacing w:after="0" w:line="340" w:lineRule="exact"/>
        <w:jc w:val="center"/>
        <w:rPr>
          <w:rFonts w:ascii="Times New Roman" w:eastAsia="Times New Roman" w:hAnsi="Times New Roman"/>
          <w:b/>
          <w:color w:val="002060"/>
          <w:sz w:val="28"/>
          <w:szCs w:val="28"/>
          <w:lang w:eastAsia="ar-SA"/>
        </w:rPr>
      </w:pPr>
      <w:r w:rsidRPr="00226D59">
        <w:rPr>
          <w:rFonts w:ascii="Times New Roman" w:eastAsia="Times New Roman" w:hAnsi="Times New Roman"/>
          <w:b/>
          <w:color w:val="002060"/>
          <w:sz w:val="28"/>
          <w:szCs w:val="28"/>
          <w:lang w:eastAsia="ar-SA"/>
        </w:rPr>
        <w:lastRenderedPageBreak/>
        <w:t>Итоги социально-экономического развития</w:t>
      </w:r>
    </w:p>
    <w:p w14:paraId="544D184A" w14:textId="6F32B8D3" w:rsidR="006762BB" w:rsidRPr="00226D59" w:rsidRDefault="006762BB" w:rsidP="00981AE8">
      <w:pPr>
        <w:widowControl w:val="0"/>
        <w:autoSpaceDE w:val="0"/>
        <w:autoSpaceDN w:val="0"/>
        <w:adjustRightInd w:val="0"/>
        <w:spacing w:after="0" w:line="240" w:lineRule="auto"/>
        <w:jc w:val="center"/>
        <w:outlineLvl w:val="1"/>
        <w:rPr>
          <w:rFonts w:ascii="Times New Roman" w:eastAsia="Times New Roman" w:hAnsi="Times New Roman"/>
          <w:b/>
          <w:color w:val="002060"/>
          <w:sz w:val="28"/>
          <w:szCs w:val="28"/>
          <w:lang w:eastAsia="ar-SA"/>
        </w:rPr>
      </w:pPr>
      <w:r w:rsidRPr="00226D59">
        <w:rPr>
          <w:rFonts w:ascii="Times New Roman" w:eastAsia="Times New Roman" w:hAnsi="Times New Roman"/>
          <w:b/>
          <w:color w:val="002060"/>
          <w:sz w:val="28"/>
          <w:szCs w:val="28"/>
          <w:lang w:eastAsia="ar-SA"/>
        </w:rPr>
        <w:t>Республики Дагестан за 2021 год в сравнении с целевыми</w:t>
      </w:r>
    </w:p>
    <w:p w14:paraId="2CA9B53D" w14:textId="07E96853" w:rsidR="006762BB" w:rsidRPr="00226D59" w:rsidRDefault="006762BB" w:rsidP="00981AE8">
      <w:pPr>
        <w:widowControl w:val="0"/>
        <w:autoSpaceDE w:val="0"/>
        <w:autoSpaceDN w:val="0"/>
        <w:adjustRightInd w:val="0"/>
        <w:spacing w:after="0" w:line="240" w:lineRule="auto"/>
        <w:jc w:val="center"/>
        <w:outlineLvl w:val="1"/>
        <w:rPr>
          <w:rFonts w:ascii="Times New Roman" w:eastAsia="Times New Roman" w:hAnsi="Times New Roman"/>
          <w:b/>
          <w:color w:val="002060"/>
          <w:sz w:val="28"/>
          <w:szCs w:val="28"/>
          <w:lang w:eastAsia="ar-SA"/>
        </w:rPr>
      </w:pPr>
      <w:r w:rsidRPr="00226D59">
        <w:rPr>
          <w:rFonts w:ascii="Times New Roman" w:eastAsia="Times New Roman" w:hAnsi="Times New Roman"/>
          <w:b/>
          <w:color w:val="002060"/>
          <w:sz w:val="28"/>
          <w:szCs w:val="28"/>
          <w:lang w:eastAsia="ar-SA"/>
        </w:rPr>
        <w:t>индикаторами, утвержденными Программой деятельности</w:t>
      </w:r>
    </w:p>
    <w:p w14:paraId="059A9D49" w14:textId="77777777" w:rsidR="006762BB" w:rsidRPr="00226D59" w:rsidRDefault="006762BB" w:rsidP="00981AE8">
      <w:pPr>
        <w:widowControl w:val="0"/>
        <w:autoSpaceDE w:val="0"/>
        <w:autoSpaceDN w:val="0"/>
        <w:adjustRightInd w:val="0"/>
        <w:spacing w:after="0" w:line="240" w:lineRule="auto"/>
        <w:jc w:val="center"/>
        <w:outlineLvl w:val="1"/>
        <w:rPr>
          <w:rFonts w:ascii="Times New Roman" w:eastAsia="Times New Roman" w:hAnsi="Times New Roman"/>
          <w:b/>
          <w:color w:val="002060"/>
          <w:sz w:val="28"/>
          <w:szCs w:val="28"/>
          <w:lang w:eastAsia="ar-SA"/>
        </w:rPr>
      </w:pPr>
      <w:r w:rsidRPr="00226D59">
        <w:rPr>
          <w:rFonts w:ascii="Times New Roman" w:eastAsia="Times New Roman" w:hAnsi="Times New Roman"/>
          <w:b/>
          <w:color w:val="002060"/>
          <w:sz w:val="28"/>
          <w:szCs w:val="28"/>
          <w:lang w:eastAsia="ar-SA"/>
        </w:rPr>
        <w:t>Правительства Республики Дагестан до 2024 года</w:t>
      </w:r>
    </w:p>
    <w:p w14:paraId="1790AEDF" w14:textId="77777777" w:rsidR="006762BB" w:rsidRPr="00226D59" w:rsidRDefault="006762BB" w:rsidP="006762BB">
      <w:pPr>
        <w:widowControl w:val="0"/>
        <w:autoSpaceDE w:val="0"/>
        <w:autoSpaceDN w:val="0"/>
        <w:adjustRightInd w:val="0"/>
        <w:spacing w:after="0" w:line="240" w:lineRule="auto"/>
        <w:jc w:val="center"/>
        <w:outlineLvl w:val="1"/>
        <w:rPr>
          <w:rFonts w:ascii="Times New Roman" w:eastAsia="Times New Roman" w:hAnsi="Times New Roman"/>
          <w:b/>
          <w:color w:val="002060"/>
          <w:sz w:val="28"/>
          <w:szCs w:val="28"/>
          <w:lang w:eastAsia="ar-SA"/>
        </w:rPr>
      </w:pPr>
    </w:p>
    <w:p w14:paraId="24916114" w14:textId="77777777" w:rsidR="006762BB" w:rsidRPr="00226D59" w:rsidRDefault="006762BB" w:rsidP="006762BB">
      <w:pPr>
        <w:widowControl w:val="0"/>
        <w:autoSpaceDE w:val="0"/>
        <w:autoSpaceDN w:val="0"/>
        <w:adjustRightInd w:val="0"/>
        <w:spacing w:after="0" w:line="240" w:lineRule="auto"/>
        <w:jc w:val="right"/>
        <w:outlineLvl w:val="1"/>
        <w:rPr>
          <w:rFonts w:ascii="Times New Roman" w:eastAsia="Times New Roman" w:hAnsi="Times New Roman"/>
          <w:b/>
          <w:color w:val="002060"/>
          <w:sz w:val="28"/>
          <w:szCs w:val="28"/>
          <w:lang w:eastAsia="ar-SA"/>
        </w:rPr>
      </w:pPr>
      <w:r w:rsidRPr="00226D59">
        <w:rPr>
          <w:rFonts w:ascii="Times New Roman" w:eastAsia="Times New Roman" w:hAnsi="Times New Roman"/>
          <w:b/>
          <w:color w:val="002060"/>
          <w:sz w:val="28"/>
          <w:szCs w:val="28"/>
          <w:lang w:eastAsia="ar-SA"/>
        </w:rPr>
        <w:t>%</w:t>
      </w:r>
    </w:p>
    <w:tbl>
      <w:tblPr>
        <w:tblW w:w="921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75"/>
        <w:gridCol w:w="2551"/>
        <w:gridCol w:w="1842"/>
        <w:gridCol w:w="1245"/>
      </w:tblGrid>
      <w:tr w:rsidR="006762BB" w:rsidRPr="00B6770C" w14:paraId="548C6FFA" w14:textId="77777777" w:rsidTr="00545B6E">
        <w:trPr>
          <w:trHeight w:val="316"/>
          <w:tblHeader/>
        </w:trPr>
        <w:tc>
          <w:tcPr>
            <w:tcW w:w="3575" w:type="dxa"/>
            <w:shd w:val="clear" w:color="auto" w:fill="D9E2F3" w:themeFill="accent1" w:themeFillTint="33"/>
          </w:tcPr>
          <w:p w14:paraId="7845FB5A"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b/>
                <w:color w:val="000000"/>
                <w:sz w:val="19"/>
                <w:szCs w:val="19"/>
                <w:lang w:eastAsia="ru-RU"/>
              </w:rPr>
            </w:pPr>
            <w:r w:rsidRPr="00B6770C">
              <w:rPr>
                <w:rFonts w:ascii="Times New Roman" w:eastAsia="Times New Roman" w:hAnsi="Times New Roman"/>
                <w:b/>
                <w:color w:val="000000"/>
                <w:sz w:val="19"/>
                <w:szCs w:val="19"/>
                <w:lang w:eastAsia="ru-RU"/>
              </w:rPr>
              <w:t>Наименование показателя</w:t>
            </w:r>
          </w:p>
        </w:tc>
        <w:tc>
          <w:tcPr>
            <w:tcW w:w="2551" w:type="dxa"/>
            <w:shd w:val="clear" w:color="auto" w:fill="D9E2F3" w:themeFill="accent1" w:themeFillTint="33"/>
          </w:tcPr>
          <w:p w14:paraId="2FC8A9A7"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b/>
                <w:color w:val="000000"/>
                <w:sz w:val="19"/>
                <w:szCs w:val="19"/>
                <w:lang w:eastAsia="ru-RU"/>
              </w:rPr>
            </w:pPr>
            <w:r w:rsidRPr="00B6770C">
              <w:rPr>
                <w:rFonts w:ascii="Times New Roman" w:eastAsia="Times New Roman" w:hAnsi="Times New Roman"/>
                <w:b/>
                <w:color w:val="000000"/>
                <w:sz w:val="19"/>
                <w:szCs w:val="19"/>
                <w:lang w:eastAsia="ru-RU"/>
              </w:rPr>
              <w:t xml:space="preserve">Целевые индикаторы Программы </w:t>
            </w:r>
            <w:r>
              <w:rPr>
                <w:rFonts w:ascii="Times New Roman" w:eastAsia="Times New Roman" w:hAnsi="Times New Roman"/>
                <w:b/>
                <w:color w:val="000000"/>
                <w:sz w:val="19"/>
                <w:szCs w:val="19"/>
                <w:lang w:eastAsia="ru-RU"/>
              </w:rPr>
              <w:t>д</w:t>
            </w:r>
            <w:r w:rsidRPr="00B6770C">
              <w:rPr>
                <w:rFonts w:ascii="Times New Roman" w:eastAsia="Times New Roman" w:hAnsi="Times New Roman"/>
                <w:b/>
                <w:color w:val="000000"/>
                <w:sz w:val="19"/>
                <w:szCs w:val="19"/>
                <w:lang w:eastAsia="ru-RU"/>
              </w:rPr>
              <w:t>еятельности Правительства РД</w:t>
            </w:r>
          </w:p>
          <w:p w14:paraId="40212C2E"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b/>
                <w:color w:val="000000"/>
                <w:sz w:val="19"/>
                <w:szCs w:val="19"/>
                <w:lang w:eastAsia="ru-RU"/>
              </w:rPr>
            </w:pPr>
            <w:r w:rsidRPr="00B6770C">
              <w:rPr>
                <w:rFonts w:ascii="Times New Roman" w:eastAsia="Times New Roman" w:hAnsi="Times New Roman"/>
                <w:b/>
                <w:color w:val="000000"/>
                <w:sz w:val="19"/>
                <w:szCs w:val="19"/>
                <w:lang w:eastAsia="ru-RU"/>
              </w:rPr>
              <w:t>на 2021 год</w:t>
            </w:r>
          </w:p>
        </w:tc>
        <w:tc>
          <w:tcPr>
            <w:tcW w:w="1842" w:type="dxa"/>
            <w:shd w:val="clear" w:color="auto" w:fill="D9E2F3" w:themeFill="accent1" w:themeFillTint="33"/>
          </w:tcPr>
          <w:p w14:paraId="53A8C99C" w14:textId="77777777" w:rsidR="006762BB" w:rsidRPr="00B6770C" w:rsidRDefault="006762BB" w:rsidP="00545B6E">
            <w:pPr>
              <w:widowControl w:val="0"/>
              <w:autoSpaceDE w:val="0"/>
              <w:autoSpaceDN w:val="0"/>
              <w:adjustRightInd w:val="0"/>
              <w:spacing w:after="0" w:line="240" w:lineRule="auto"/>
              <w:ind w:left="-139" w:right="-78"/>
              <w:jc w:val="center"/>
              <w:rPr>
                <w:rFonts w:ascii="Times New Roman" w:eastAsia="Times New Roman" w:hAnsi="Times New Roman"/>
                <w:b/>
                <w:color w:val="000000"/>
                <w:sz w:val="19"/>
                <w:szCs w:val="19"/>
                <w:lang w:eastAsia="ru-RU"/>
              </w:rPr>
            </w:pPr>
            <w:r w:rsidRPr="00B6770C">
              <w:rPr>
                <w:rFonts w:ascii="Times New Roman" w:eastAsia="Times New Roman" w:hAnsi="Times New Roman"/>
                <w:b/>
                <w:color w:val="000000"/>
                <w:sz w:val="19"/>
                <w:szCs w:val="19"/>
                <w:lang w:eastAsia="ru-RU"/>
              </w:rPr>
              <w:t xml:space="preserve">Итоги социально-экономического развития РД </w:t>
            </w:r>
          </w:p>
          <w:p w14:paraId="0D4B4AE7" w14:textId="77777777" w:rsidR="006762BB" w:rsidRPr="00B6770C" w:rsidRDefault="006762BB" w:rsidP="00545B6E">
            <w:pPr>
              <w:widowControl w:val="0"/>
              <w:autoSpaceDE w:val="0"/>
              <w:autoSpaceDN w:val="0"/>
              <w:adjustRightInd w:val="0"/>
              <w:spacing w:after="0" w:line="240" w:lineRule="auto"/>
              <w:ind w:left="-139" w:right="-78"/>
              <w:jc w:val="center"/>
              <w:rPr>
                <w:rFonts w:ascii="Times New Roman" w:eastAsia="Times New Roman" w:hAnsi="Times New Roman"/>
                <w:b/>
                <w:color w:val="000000"/>
                <w:sz w:val="19"/>
                <w:szCs w:val="19"/>
                <w:lang w:eastAsia="ru-RU"/>
              </w:rPr>
            </w:pPr>
            <w:r w:rsidRPr="00B6770C">
              <w:rPr>
                <w:rFonts w:ascii="Times New Roman" w:eastAsia="Times New Roman" w:hAnsi="Times New Roman"/>
                <w:b/>
                <w:color w:val="000000"/>
                <w:sz w:val="19"/>
                <w:szCs w:val="19"/>
                <w:lang w:eastAsia="ru-RU"/>
              </w:rPr>
              <w:t>за 2021 год</w:t>
            </w:r>
          </w:p>
        </w:tc>
        <w:tc>
          <w:tcPr>
            <w:tcW w:w="1245" w:type="dxa"/>
            <w:shd w:val="clear" w:color="auto" w:fill="D9E2F3" w:themeFill="accent1" w:themeFillTint="33"/>
          </w:tcPr>
          <w:p w14:paraId="1C85429B" w14:textId="77777777" w:rsidR="006762BB" w:rsidRDefault="006762BB" w:rsidP="00545B6E">
            <w:pPr>
              <w:widowControl w:val="0"/>
              <w:autoSpaceDE w:val="0"/>
              <w:autoSpaceDN w:val="0"/>
              <w:adjustRightInd w:val="0"/>
              <w:spacing w:after="0" w:line="240" w:lineRule="auto"/>
              <w:ind w:left="-107" w:right="-138"/>
              <w:jc w:val="center"/>
              <w:rPr>
                <w:rFonts w:ascii="Times New Roman" w:eastAsia="Times New Roman" w:hAnsi="Times New Roman"/>
                <w:b/>
                <w:color w:val="000000"/>
                <w:sz w:val="19"/>
                <w:szCs w:val="19"/>
                <w:lang w:eastAsia="ru-RU"/>
              </w:rPr>
            </w:pPr>
            <w:r w:rsidRPr="00B6770C">
              <w:rPr>
                <w:rFonts w:ascii="Times New Roman" w:eastAsia="Times New Roman" w:hAnsi="Times New Roman"/>
                <w:b/>
                <w:color w:val="000000"/>
                <w:sz w:val="19"/>
                <w:szCs w:val="19"/>
                <w:lang w:eastAsia="ru-RU"/>
              </w:rPr>
              <w:t>Отклонени</w:t>
            </w:r>
            <w:r>
              <w:rPr>
                <w:rFonts w:ascii="Times New Roman" w:eastAsia="Times New Roman" w:hAnsi="Times New Roman"/>
                <w:b/>
                <w:color w:val="000000"/>
                <w:sz w:val="19"/>
                <w:szCs w:val="19"/>
                <w:lang w:eastAsia="ru-RU"/>
              </w:rPr>
              <w:t>е</w:t>
            </w:r>
          </w:p>
          <w:p w14:paraId="3F59011C" w14:textId="77777777" w:rsidR="006762BB" w:rsidRPr="00B6770C" w:rsidRDefault="006762BB" w:rsidP="00545B6E">
            <w:pPr>
              <w:widowControl w:val="0"/>
              <w:autoSpaceDE w:val="0"/>
              <w:autoSpaceDN w:val="0"/>
              <w:adjustRightInd w:val="0"/>
              <w:spacing w:after="0" w:line="240" w:lineRule="auto"/>
              <w:ind w:left="-107" w:right="-138"/>
              <w:jc w:val="center"/>
              <w:rPr>
                <w:rFonts w:ascii="Times New Roman" w:eastAsia="Times New Roman" w:hAnsi="Times New Roman"/>
                <w:b/>
                <w:color w:val="000000"/>
                <w:sz w:val="19"/>
                <w:szCs w:val="19"/>
                <w:lang w:eastAsia="ru-RU"/>
              </w:rPr>
            </w:pPr>
            <w:r>
              <w:rPr>
                <w:rFonts w:ascii="Times New Roman" w:eastAsia="Times New Roman" w:hAnsi="Times New Roman"/>
                <w:b/>
                <w:color w:val="000000"/>
                <w:sz w:val="19"/>
                <w:szCs w:val="19"/>
                <w:lang w:eastAsia="ru-RU"/>
              </w:rPr>
              <w:t>(+,-)</w:t>
            </w:r>
          </w:p>
        </w:tc>
      </w:tr>
      <w:tr w:rsidR="006762BB" w:rsidRPr="00B6770C" w14:paraId="30A7AF15" w14:textId="77777777" w:rsidTr="00545B6E">
        <w:trPr>
          <w:trHeight w:val="49"/>
        </w:trPr>
        <w:tc>
          <w:tcPr>
            <w:tcW w:w="3575" w:type="dxa"/>
            <w:shd w:val="clear" w:color="auto" w:fill="auto"/>
          </w:tcPr>
          <w:p w14:paraId="2AB0BDBC"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ВРП</w:t>
            </w:r>
          </w:p>
        </w:tc>
        <w:tc>
          <w:tcPr>
            <w:tcW w:w="2551" w:type="dxa"/>
            <w:shd w:val="clear" w:color="auto" w:fill="auto"/>
          </w:tcPr>
          <w:p w14:paraId="596BAF0F"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103,6</w:t>
            </w:r>
          </w:p>
        </w:tc>
        <w:tc>
          <w:tcPr>
            <w:tcW w:w="1842" w:type="dxa"/>
            <w:shd w:val="clear" w:color="auto" w:fill="auto"/>
          </w:tcPr>
          <w:p w14:paraId="1327C385"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102,0</w:t>
            </w:r>
          </w:p>
        </w:tc>
        <w:tc>
          <w:tcPr>
            <w:tcW w:w="1245" w:type="dxa"/>
            <w:shd w:val="clear" w:color="auto" w:fill="auto"/>
          </w:tcPr>
          <w:p w14:paraId="77847C76"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-1,6</w:t>
            </w:r>
          </w:p>
        </w:tc>
      </w:tr>
      <w:tr w:rsidR="006762BB" w:rsidRPr="00B6770C" w14:paraId="14F86303" w14:textId="77777777" w:rsidTr="00545B6E">
        <w:trPr>
          <w:trHeight w:val="49"/>
        </w:trPr>
        <w:tc>
          <w:tcPr>
            <w:tcW w:w="3575" w:type="dxa"/>
            <w:shd w:val="clear" w:color="auto" w:fill="auto"/>
          </w:tcPr>
          <w:p w14:paraId="2BF487FB"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bCs/>
                <w:color w:val="000000"/>
                <w:sz w:val="19"/>
                <w:szCs w:val="19"/>
                <w:lang w:eastAsia="ru-RU"/>
              </w:rPr>
            </w:pPr>
            <w:r w:rsidRPr="00B6770C">
              <w:rPr>
                <w:rFonts w:ascii="Times New Roman" w:eastAsia="Times New Roman" w:hAnsi="Times New Roman"/>
                <w:bCs/>
                <w:color w:val="000000"/>
                <w:sz w:val="19"/>
                <w:szCs w:val="19"/>
                <w:lang w:eastAsia="ru-RU"/>
              </w:rPr>
              <w:t>Промышленное производство</w:t>
            </w:r>
          </w:p>
        </w:tc>
        <w:tc>
          <w:tcPr>
            <w:tcW w:w="2551" w:type="dxa"/>
            <w:shd w:val="clear" w:color="auto" w:fill="auto"/>
          </w:tcPr>
          <w:p w14:paraId="5F11695F"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111,4</w:t>
            </w:r>
          </w:p>
        </w:tc>
        <w:tc>
          <w:tcPr>
            <w:tcW w:w="1842" w:type="dxa"/>
            <w:shd w:val="clear" w:color="auto" w:fill="auto"/>
          </w:tcPr>
          <w:p w14:paraId="3A043C67"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105,2</w:t>
            </w:r>
          </w:p>
        </w:tc>
        <w:tc>
          <w:tcPr>
            <w:tcW w:w="1245" w:type="dxa"/>
            <w:shd w:val="clear" w:color="auto" w:fill="auto"/>
          </w:tcPr>
          <w:p w14:paraId="4F8DFB8E"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-6,2</w:t>
            </w:r>
          </w:p>
        </w:tc>
      </w:tr>
      <w:tr w:rsidR="006762BB" w:rsidRPr="00B6770C" w14:paraId="1C7546B7" w14:textId="77777777" w:rsidTr="00545B6E">
        <w:trPr>
          <w:trHeight w:val="92"/>
        </w:trPr>
        <w:tc>
          <w:tcPr>
            <w:tcW w:w="3575" w:type="dxa"/>
            <w:shd w:val="clear" w:color="auto" w:fill="auto"/>
          </w:tcPr>
          <w:p w14:paraId="17FB1733"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color w:val="000000"/>
                <w:sz w:val="19"/>
                <w:szCs w:val="19"/>
                <w:lang w:eastAsia="ru-RU"/>
              </w:rPr>
            </w:pPr>
            <w:r w:rsidRPr="00B6770C">
              <w:rPr>
                <w:rFonts w:ascii="Times New Roman" w:eastAsia="Times New Roman" w:hAnsi="Times New Roman"/>
                <w:bCs/>
                <w:color w:val="000000"/>
                <w:sz w:val="19"/>
                <w:szCs w:val="19"/>
                <w:lang w:eastAsia="ru-RU"/>
              </w:rPr>
              <w:t>Продукция сельского хозяйства</w:t>
            </w:r>
          </w:p>
        </w:tc>
        <w:tc>
          <w:tcPr>
            <w:tcW w:w="2551" w:type="dxa"/>
            <w:shd w:val="clear" w:color="auto" w:fill="auto"/>
          </w:tcPr>
          <w:p w14:paraId="16B5C058"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103,1</w:t>
            </w:r>
          </w:p>
        </w:tc>
        <w:tc>
          <w:tcPr>
            <w:tcW w:w="1842" w:type="dxa"/>
            <w:shd w:val="clear" w:color="auto" w:fill="auto"/>
          </w:tcPr>
          <w:p w14:paraId="55A0A804"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100,5</w:t>
            </w:r>
          </w:p>
        </w:tc>
        <w:tc>
          <w:tcPr>
            <w:tcW w:w="1245" w:type="dxa"/>
            <w:shd w:val="clear" w:color="auto" w:fill="auto"/>
          </w:tcPr>
          <w:p w14:paraId="0F5A7633"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-2,6</w:t>
            </w:r>
          </w:p>
        </w:tc>
      </w:tr>
      <w:tr w:rsidR="006762BB" w:rsidRPr="00B6770C" w14:paraId="5049F811" w14:textId="77777777" w:rsidTr="00545B6E">
        <w:trPr>
          <w:trHeight w:val="49"/>
        </w:trPr>
        <w:tc>
          <w:tcPr>
            <w:tcW w:w="3575" w:type="dxa"/>
            <w:shd w:val="clear" w:color="auto" w:fill="auto"/>
          </w:tcPr>
          <w:p w14:paraId="5A269932"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color w:val="000000"/>
                <w:sz w:val="19"/>
                <w:szCs w:val="19"/>
                <w:lang w:eastAsia="ru-RU"/>
              </w:rPr>
            </w:pPr>
            <w:r w:rsidRPr="00B6770C">
              <w:rPr>
                <w:rFonts w:ascii="Times New Roman" w:eastAsia="Times New Roman" w:hAnsi="Times New Roman"/>
                <w:bCs/>
                <w:color w:val="000000"/>
                <w:sz w:val="19"/>
                <w:szCs w:val="19"/>
                <w:lang w:eastAsia="ru-RU"/>
              </w:rPr>
              <w:t>Объем инвестиций в основной капитал</w:t>
            </w:r>
          </w:p>
        </w:tc>
        <w:tc>
          <w:tcPr>
            <w:tcW w:w="2551" w:type="dxa"/>
            <w:shd w:val="clear" w:color="auto" w:fill="auto"/>
          </w:tcPr>
          <w:p w14:paraId="15CFEE48"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102,5</w:t>
            </w:r>
          </w:p>
        </w:tc>
        <w:tc>
          <w:tcPr>
            <w:tcW w:w="1842" w:type="dxa"/>
            <w:shd w:val="clear" w:color="auto" w:fill="auto"/>
          </w:tcPr>
          <w:p w14:paraId="64F4EED6"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88,6</w:t>
            </w:r>
          </w:p>
        </w:tc>
        <w:tc>
          <w:tcPr>
            <w:tcW w:w="1245" w:type="dxa"/>
            <w:shd w:val="clear" w:color="auto" w:fill="auto"/>
          </w:tcPr>
          <w:p w14:paraId="237B67CD"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-13,9</w:t>
            </w:r>
          </w:p>
        </w:tc>
      </w:tr>
      <w:tr w:rsidR="006762BB" w:rsidRPr="00B6770C" w14:paraId="384BEC9E" w14:textId="77777777" w:rsidTr="00545B6E">
        <w:trPr>
          <w:trHeight w:val="49"/>
        </w:trPr>
        <w:tc>
          <w:tcPr>
            <w:tcW w:w="3575" w:type="dxa"/>
            <w:shd w:val="clear" w:color="auto" w:fill="auto"/>
          </w:tcPr>
          <w:p w14:paraId="40BE80CA"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color w:val="000000"/>
                <w:sz w:val="19"/>
                <w:szCs w:val="19"/>
                <w:lang w:eastAsia="ru-RU"/>
              </w:rPr>
            </w:pPr>
            <w:r w:rsidRPr="00B6770C">
              <w:rPr>
                <w:rFonts w:ascii="Times New Roman" w:eastAsia="Times New Roman" w:hAnsi="Times New Roman"/>
                <w:bCs/>
                <w:color w:val="000000"/>
                <w:sz w:val="19"/>
                <w:szCs w:val="19"/>
                <w:lang w:eastAsia="ru-RU"/>
              </w:rPr>
              <w:t>Оборот розничной торговли</w:t>
            </w:r>
          </w:p>
        </w:tc>
        <w:tc>
          <w:tcPr>
            <w:tcW w:w="2551" w:type="dxa"/>
            <w:shd w:val="clear" w:color="auto" w:fill="auto"/>
          </w:tcPr>
          <w:p w14:paraId="675F8C56"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102,1</w:t>
            </w:r>
          </w:p>
        </w:tc>
        <w:tc>
          <w:tcPr>
            <w:tcW w:w="1842" w:type="dxa"/>
            <w:shd w:val="clear" w:color="auto" w:fill="auto"/>
          </w:tcPr>
          <w:p w14:paraId="5797BFF8"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101,0</w:t>
            </w:r>
          </w:p>
        </w:tc>
        <w:tc>
          <w:tcPr>
            <w:tcW w:w="1245" w:type="dxa"/>
            <w:shd w:val="clear" w:color="auto" w:fill="auto"/>
          </w:tcPr>
          <w:p w14:paraId="73AC692E"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-1,1</w:t>
            </w:r>
          </w:p>
        </w:tc>
      </w:tr>
      <w:tr w:rsidR="006762BB" w:rsidRPr="00B6770C" w14:paraId="65E4CA38" w14:textId="77777777" w:rsidTr="00545B6E">
        <w:trPr>
          <w:trHeight w:val="100"/>
        </w:trPr>
        <w:tc>
          <w:tcPr>
            <w:tcW w:w="3575" w:type="dxa"/>
            <w:shd w:val="clear" w:color="auto" w:fill="auto"/>
          </w:tcPr>
          <w:p w14:paraId="53C13A3F"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color w:val="000000"/>
                <w:sz w:val="19"/>
                <w:szCs w:val="19"/>
                <w:lang w:eastAsia="ru-RU"/>
              </w:rPr>
            </w:pPr>
            <w:r w:rsidRPr="00B6770C">
              <w:rPr>
                <w:rFonts w:ascii="Times New Roman" w:eastAsia="Times New Roman" w:hAnsi="Times New Roman"/>
                <w:bCs/>
                <w:color w:val="000000"/>
                <w:sz w:val="19"/>
                <w:szCs w:val="19"/>
                <w:lang w:eastAsia="ru-RU"/>
              </w:rPr>
              <w:t>Объем платных услуг</w:t>
            </w:r>
          </w:p>
        </w:tc>
        <w:tc>
          <w:tcPr>
            <w:tcW w:w="2551" w:type="dxa"/>
            <w:shd w:val="clear" w:color="auto" w:fill="auto"/>
          </w:tcPr>
          <w:p w14:paraId="36E45C5A"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107,5</w:t>
            </w:r>
          </w:p>
        </w:tc>
        <w:tc>
          <w:tcPr>
            <w:tcW w:w="1842" w:type="dxa"/>
            <w:shd w:val="clear" w:color="auto" w:fill="auto"/>
          </w:tcPr>
          <w:p w14:paraId="71B7BDE3"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116,6</w:t>
            </w:r>
          </w:p>
        </w:tc>
        <w:tc>
          <w:tcPr>
            <w:tcW w:w="1245" w:type="dxa"/>
            <w:shd w:val="clear" w:color="auto" w:fill="auto"/>
          </w:tcPr>
          <w:p w14:paraId="30FC9B76"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9,1</w:t>
            </w:r>
          </w:p>
        </w:tc>
      </w:tr>
      <w:tr w:rsidR="006762BB" w:rsidRPr="00B6770C" w14:paraId="6ABF8869" w14:textId="77777777" w:rsidTr="00545B6E">
        <w:trPr>
          <w:trHeight w:val="123"/>
        </w:trPr>
        <w:tc>
          <w:tcPr>
            <w:tcW w:w="3575" w:type="dxa"/>
            <w:shd w:val="clear" w:color="auto" w:fill="auto"/>
          </w:tcPr>
          <w:p w14:paraId="152EA3B5"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color w:val="000000"/>
                <w:sz w:val="19"/>
                <w:szCs w:val="19"/>
                <w:lang w:eastAsia="ru-RU"/>
              </w:rPr>
            </w:pPr>
            <w:r w:rsidRPr="00B6770C">
              <w:rPr>
                <w:rFonts w:ascii="Times New Roman" w:eastAsia="Times New Roman" w:hAnsi="Times New Roman"/>
                <w:bCs/>
                <w:color w:val="000000"/>
                <w:sz w:val="19"/>
                <w:szCs w:val="19"/>
                <w:lang w:eastAsia="ru-RU"/>
              </w:rPr>
              <w:t xml:space="preserve">Среднемесячная заработная </w:t>
            </w:r>
          </w:p>
        </w:tc>
        <w:tc>
          <w:tcPr>
            <w:tcW w:w="2551" w:type="dxa"/>
            <w:shd w:val="clear" w:color="auto" w:fill="auto"/>
          </w:tcPr>
          <w:p w14:paraId="394B16AB"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106,9</w:t>
            </w:r>
          </w:p>
        </w:tc>
        <w:tc>
          <w:tcPr>
            <w:tcW w:w="1842" w:type="dxa"/>
            <w:shd w:val="clear" w:color="auto" w:fill="auto"/>
          </w:tcPr>
          <w:p w14:paraId="10B175A4"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106,7</w:t>
            </w:r>
          </w:p>
        </w:tc>
        <w:tc>
          <w:tcPr>
            <w:tcW w:w="1245" w:type="dxa"/>
            <w:shd w:val="clear" w:color="auto" w:fill="auto"/>
          </w:tcPr>
          <w:p w14:paraId="02FACE0D"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-0,2</w:t>
            </w:r>
          </w:p>
        </w:tc>
      </w:tr>
      <w:tr w:rsidR="006762BB" w:rsidRPr="00B6770C" w14:paraId="3B222C38" w14:textId="77777777" w:rsidTr="00545B6E">
        <w:trPr>
          <w:trHeight w:val="201"/>
        </w:trPr>
        <w:tc>
          <w:tcPr>
            <w:tcW w:w="3575" w:type="dxa"/>
            <w:shd w:val="clear" w:color="auto" w:fill="auto"/>
          </w:tcPr>
          <w:p w14:paraId="50E10D1F" w14:textId="77777777" w:rsidR="006762BB" w:rsidRPr="00B6770C" w:rsidRDefault="006762BB" w:rsidP="00545B6E">
            <w:pPr>
              <w:widowControl w:val="0"/>
              <w:autoSpaceDE w:val="0"/>
              <w:autoSpaceDN w:val="0"/>
              <w:adjustRightInd w:val="0"/>
              <w:spacing w:after="0" w:line="240" w:lineRule="auto"/>
              <w:rPr>
                <w:rFonts w:ascii="Times New Roman" w:eastAsia="Times New Roman" w:hAnsi="Times New Roman"/>
                <w:color w:val="000000"/>
                <w:sz w:val="19"/>
                <w:szCs w:val="19"/>
                <w:lang w:eastAsia="ru-RU"/>
              </w:rPr>
            </w:pPr>
            <w:r w:rsidRPr="00B6770C">
              <w:rPr>
                <w:rFonts w:ascii="Times New Roman" w:eastAsia="Times New Roman" w:hAnsi="Times New Roman"/>
                <w:bCs/>
                <w:color w:val="000000"/>
                <w:sz w:val="19"/>
                <w:szCs w:val="19"/>
                <w:lang w:eastAsia="ru-RU"/>
              </w:rPr>
              <w:t>Денежные доходы населения</w:t>
            </w:r>
          </w:p>
        </w:tc>
        <w:tc>
          <w:tcPr>
            <w:tcW w:w="2551" w:type="dxa"/>
            <w:shd w:val="clear" w:color="auto" w:fill="auto"/>
          </w:tcPr>
          <w:p w14:paraId="64C13B19"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102,5</w:t>
            </w:r>
          </w:p>
        </w:tc>
        <w:tc>
          <w:tcPr>
            <w:tcW w:w="1842" w:type="dxa"/>
            <w:shd w:val="clear" w:color="auto" w:fill="auto"/>
          </w:tcPr>
          <w:p w14:paraId="640509F1"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100,0</w:t>
            </w:r>
          </w:p>
        </w:tc>
        <w:tc>
          <w:tcPr>
            <w:tcW w:w="1245" w:type="dxa"/>
            <w:shd w:val="clear" w:color="auto" w:fill="auto"/>
          </w:tcPr>
          <w:p w14:paraId="305B56EA" w14:textId="77777777" w:rsidR="006762BB" w:rsidRPr="00B6770C" w:rsidRDefault="006762BB" w:rsidP="00545B6E">
            <w:pPr>
              <w:widowControl w:val="0"/>
              <w:autoSpaceDE w:val="0"/>
              <w:autoSpaceDN w:val="0"/>
              <w:adjustRightInd w:val="0"/>
              <w:spacing w:after="0" w:line="240" w:lineRule="auto"/>
              <w:jc w:val="center"/>
              <w:rPr>
                <w:rFonts w:ascii="Times New Roman" w:eastAsia="Times New Roman" w:hAnsi="Times New Roman"/>
                <w:color w:val="000000"/>
                <w:sz w:val="19"/>
                <w:szCs w:val="19"/>
                <w:lang w:eastAsia="ru-RU"/>
              </w:rPr>
            </w:pPr>
            <w:r w:rsidRPr="00B6770C">
              <w:rPr>
                <w:rFonts w:ascii="Times New Roman" w:eastAsia="Times New Roman" w:hAnsi="Times New Roman"/>
                <w:color w:val="000000"/>
                <w:sz w:val="19"/>
                <w:szCs w:val="19"/>
                <w:lang w:eastAsia="ru-RU"/>
              </w:rPr>
              <w:t>-2,5</w:t>
            </w:r>
          </w:p>
        </w:tc>
      </w:tr>
    </w:tbl>
    <w:p w14:paraId="290738B0" w14:textId="77777777" w:rsidR="006762BB" w:rsidRPr="00226D59" w:rsidRDefault="006762BB" w:rsidP="006762B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5167156" w14:textId="77777777" w:rsidR="006762BB" w:rsidRPr="00A60AEE" w:rsidRDefault="006762BB" w:rsidP="006762BB">
      <w:pPr>
        <w:widowControl w:val="0"/>
        <w:autoSpaceDE w:val="0"/>
        <w:autoSpaceDN w:val="0"/>
        <w:adjustRightInd w:val="0"/>
        <w:spacing w:after="0" w:line="340" w:lineRule="exact"/>
        <w:ind w:firstLine="852"/>
        <w:jc w:val="both"/>
        <w:rPr>
          <w:rFonts w:ascii="Times New Roman" w:eastAsia="Times New Roman" w:hAnsi="Times New Roman"/>
          <w:sz w:val="28"/>
          <w:szCs w:val="28"/>
          <w:lang w:eastAsia="ru-RU"/>
        </w:rPr>
      </w:pPr>
      <w:r w:rsidRPr="00A60AEE">
        <w:rPr>
          <w:rFonts w:ascii="Times New Roman" w:eastAsia="Times New Roman" w:hAnsi="Times New Roman"/>
          <w:sz w:val="28"/>
          <w:szCs w:val="28"/>
          <w:lang w:eastAsia="ru-RU"/>
        </w:rPr>
        <w:t>В связи с изложенным, считаем целесообразным внесение изменений в</w:t>
      </w:r>
      <w:r w:rsidRPr="00A60AEE">
        <w:rPr>
          <w:rFonts w:ascii="Times New Roman" w:eastAsia="Times New Roman" w:hAnsi="Times New Roman"/>
          <w:sz w:val="20"/>
          <w:szCs w:val="20"/>
          <w:lang w:eastAsia="ru-RU"/>
        </w:rPr>
        <w:t xml:space="preserve"> </w:t>
      </w:r>
      <w:r w:rsidRPr="00A60AEE">
        <w:rPr>
          <w:rFonts w:ascii="Times New Roman" w:eastAsia="Times New Roman" w:hAnsi="Times New Roman"/>
          <w:sz w:val="28"/>
          <w:szCs w:val="28"/>
          <w:lang w:eastAsia="ru-RU"/>
        </w:rPr>
        <w:t>целевые индикаторы Программы деятельности Правительства РД до 2024 года с учетом значений, достигнутых по итогам за 2021 год.</w:t>
      </w:r>
    </w:p>
    <w:p w14:paraId="1906A8F7" w14:textId="7BEB6290" w:rsidR="006762BB" w:rsidRPr="00A60AEE" w:rsidRDefault="006762BB" w:rsidP="006762BB">
      <w:pPr>
        <w:widowControl w:val="0"/>
        <w:autoSpaceDE w:val="0"/>
        <w:autoSpaceDN w:val="0"/>
        <w:adjustRightInd w:val="0"/>
        <w:spacing w:after="0" w:line="340" w:lineRule="exact"/>
        <w:ind w:firstLine="852"/>
        <w:jc w:val="both"/>
        <w:rPr>
          <w:rFonts w:ascii="Times New Roman" w:eastAsia="Times New Roman" w:hAnsi="Times New Roman"/>
          <w:sz w:val="28"/>
          <w:szCs w:val="28"/>
          <w:lang w:eastAsia="ru-RU"/>
        </w:rPr>
      </w:pPr>
      <w:r w:rsidRPr="00A60AEE">
        <w:rPr>
          <w:rFonts w:ascii="Times New Roman" w:eastAsia="Times New Roman" w:hAnsi="Times New Roman"/>
          <w:sz w:val="28"/>
          <w:szCs w:val="28"/>
          <w:lang w:eastAsia="ru-RU"/>
        </w:rPr>
        <w:t xml:space="preserve">Кроме того, необходимо </w:t>
      </w:r>
      <w:r w:rsidR="00A60AEE" w:rsidRPr="00A60AEE">
        <w:rPr>
          <w:rFonts w:ascii="Times New Roman" w:eastAsia="Times New Roman" w:hAnsi="Times New Roman"/>
          <w:sz w:val="28"/>
          <w:szCs w:val="28"/>
          <w:lang w:eastAsia="ru-RU"/>
        </w:rPr>
        <w:t xml:space="preserve">внести изменения в </w:t>
      </w:r>
      <w:r w:rsidRPr="00A60AEE">
        <w:rPr>
          <w:rFonts w:ascii="Times New Roman" w:eastAsia="Times New Roman" w:hAnsi="Times New Roman"/>
          <w:sz w:val="28"/>
          <w:szCs w:val="28"/>
          <w:lang w:eastAsia="ru-RU"/>
        </w:rPr>
        <w:t>показатели, запланированные в</w:t>
      </w:r>
      <w:r w:rsidR="00A60AEE" w:rsidRPr="00A60AEE">
        <w:rPr>
          <w:rFonts w:ascii="Times New Roman" w:eastAsia="Times New Roman" w:hAnsi="Times New Roman"/>
          <w:sz w:val="28"/>
          <w:szCs w:val="28"/>
          <w:lang w:eastAsia="ru-RU"/>
        </w:rPr>
        <w:t xml:space="preserve"> проекте</w:t>
      </w:r>
      <w:r w:rsidRPr="00A60AEE">
        <w:rPr>
          <w:rFonts w:ascii="Times New Roman" w:eastAsia="Times New Roman" w:hAnsi="Times New Roman"/>
          <w:sz w:val="28"/>
          <w:szCs w:val="28"/>
          <w:lang w:eastAsia="ru-RU"/>
        </w:rPr>
        <w:t xml:space="preserve"> Стратегии социально-экономического развития Республики Дагестан до 2030 года, </w:t>
      </w:r>
      <w:r w:rsidR="00A60AEE" w:rsidRPr="00A60AEE">
        <w:rPr>
          <w:rFonts w:ascii="Times New Roman" w:eastAsia="Times New Roman" w:hAnsi="Times New Roman"/>
          <w:sz w:val="28"/>
          <w:szCs w:val="28"/>
          <w:lang w:eastAsia="ru-RU"/>
        </w:rPr>
        <w:t xml:space="preserve">с учетом фактических итогов основных макроэкономических показателей </w:t>
      </w:r>
      <w:r w:rsidRPr="00A60AEE">
        <w:rPr>
          <w:rFonts w:ascii="Times New Roman" w:eastAsia="Times New Roman" w:hAnsi="Times New Roman"/>
          <w:sz w:val="28"/>
          <w:szCs w:val="28"/>
          <w:lang w:eastAsia="ru-RU"/>
        </w:rPr>
        <w:t>за 2021 год.</w:t>
      </w:r>
    </w:p>
    <w:p w14:paraId="44F1DD83" w14:textId="0DCBB299"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A8F6069" w14:textId="49728B43"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A55717D" w14:textId="4AEFB4AE"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8F3631B" w14:textId="5C2DF23A"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9B278BA" w14:textId="7ECE79B8"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220753D" w14:textId="423E867E"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3BA67BD" w14:textId="512AA0F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B6D0AF3" w14:textId="5149FE78"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EB4148B" w14:textId="7D84CEE4"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B01FC15" w14:textId="4630AA3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3FDD751" w14:textId="4C3A1D22"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C7C91F7" w14:textId="01F8B129"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CB13242" w14:textId="74E1E8F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9B243AA" w14:textId="66DA89A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8DEBA28" w14:textId="4398741C"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AAB3F5F" w14:textId="26AAFA4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84F41D2" w14:textId="639CBD39"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F142CCB" w14:textId="14072F9B"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2BA0833" w14:textId="65D983E3"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4A582F0" w14:textId="3C9D2B79"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0BDF01A" w14:textId="77777777" w:rsidR="00EC2FB5" w:rsidRDefault="00EC2FB5" w:rsidP="00EC2FB5">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val="x-none" w:eastAsia="ru-RU"/>
        </w:rPr>
      </w:pPr>
      <w:r>
        <w:rPr>
          <w:rFonts w:ascii="Times New Roman" w:eastAsia="Times New Roman" w:hAnsi="Times New Roman" w:cs="Times New Roman"/>
          <w:b/>
          <w:color w:val="002060"/>
          <w:sz w:val="28"/>
          <w:szCs w:val="28"/>
          <w:lang w:eastAsia="ru-RU"/>
        </w:rPr>
        <w:lastRenderedPageBreak/>
        <w:t>3</w:t>
      </w:r>
      <w:r w:rsidRPr="004019EC">
        <w:rPr>
          <w:rFonts w:ascii="Times New Roman" w:eastAsia="Times New Roman" w:hAnsi="Times New Roman" w:cs="Times New Roman"/>
          <w:b/>
          <w:color w:val="002060"/>
          <w:sz w:val="28"/>
          <w:szCs w:val="28"/>
          <w:lang w:val="x-none" w:eastAsia="ru-RU"/>
        </w:rPr>
        <w:t xml:space="preserve">. Организация бюджетного процесса </w:t>
      </w:r>
    </w:p>
    <w:p w14:paraId="41B0FE7F" w14:textId="77777777" w:rsidR="00EC2FB5" w:rsidRPr="004019EC" w:rsidRDefault="00EC2FB5" w:rsidP="00EC2FB5">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val="x-none" w:eastAsia="ru-RU"/>
        </w:rPr>
      </w:pPr>
    </w:p>
    <w:p w14:paraId="3E201B17" w14:textId="77777777" w:rsidR="00EC2FB5" w:rsidRPr="002E77B5" w:rsidRDefault="00EC2FB5" w:rsidP="00EC2FB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E77B5">
        <w:rPr>
          <w:rFonts w:ascii="Times New Roman" w:eastAsia="Times New Roman" w:hAnsi="Times New Roman" w:cs="Times New Roman"/>
          <w:b/>
          <w:color w:val="002060"/>
          <w:sz w:val="28"/>
          <w:szCs w:val="28"/>
          <w:lang w:eastAsia="ru-RU"/>
        </w:rPr>
        <w:t xml:space="preserve">3.1. </w:t>
      </w:r>
      <w:r w:rsidRPr="002E77B5">
        <w:rPr>
          <w:rFonts w:ascii="Times New Roman" w:eastAsia="Times New Roman" w:hAnsi="Times New Roman" w:cs="Times New Roman"/>
          <w:bCs/>
          <w:sz w:val="28"/>
          <w:szCs w:val="28"/>
          <w:lang w:eastAsia="ru-RU"/>
        </w:rPr>
        <w:t xml:space="preserve">Бюджетный процесс в Республике Дагестан в проверяемом периоде осуществлялся в соответствии с Конституцией Российской Федерации, Бюджетным кодексом Российской Федерации, Налоговым кодексом Российской Федерации, Конституцией Республики Дагестан, Законом Республики Дагестан </w:t>
      </w:r>
      <w:r w:rsidRPr="002E77B5">
        <w:rPr>
          <w:rFonts w:ascii="Times New Roman" w:eastAsia="Times New Roman" w:hAnsi="Times New Roman" w:cs="Times New Roman"/>
          <w:sz w:val="28"/>
          <w:szCs w:val="28"/>
          <w:lang w:eastAsia="ru-RU"/>
        </w:rPr>
        <w:t xml:space="preserve">от 10 марта 2015 года № 18 «О бюджетном процессе и межбюджетных отношениях в Республике Дагестан» </w:t>
      </w:r>
      <w:r w:rsidRPr="002E77B5">
        <w:rPr>
          <w:rFonts w:ascii="Times New Roman" w:eastAsia="Times New Roman" w:hAnsi="Times New Roman" w:cs="Times New Roman"/>
          <w:bCs/>
          <w:sz w:val="28"/>
          <w:szCs w:val="28"/>
          <w:lang w:eastAsia="ru-RU"/>
        </w:rPr>
        <w:t xml:space="preserve">(с изменениями и дополнениями), Законом Республики Дагестан </w:t>
      </w:r>
      <w:r w:rsidRPr="002E77B5">
        <w:rPr>
          <w:rFonts w:ascii="Times New Roman" w:eastAsia="Times New Roman" w:hAnsi="Times New Roman" w:cs="Times New Roman"/>
          <w:sz w:val="28"/>
          <w:szCs w:val="28"/>
          <w:lang w:eastAsia="ru-RU"/>
        </w:rPr>
        <w:t>от 28 декабря 2020 года № 103 «О республиканском бюджете Республики Дагестан на 2021 год и на плановый период 2022 и 2023 годов»</w:t>
      </w:r>
      <w:r w:rsidRPr="002E77B5">
        <w:rPr>
          <w:rFonts w:ascii="Times New Roman" w:eastAsia="Times New Roman" w:hAnsi="Times New Roman" w:cs="Times New Roman"/>
          <w:bCs/>
          <w:sz w:val="28"/>
          <w:szCs w:val="28"/>
          <w:lang w:eastAsia="ru-RU"/>
        </w:rPr>
        <w:t xml:space="preserve"> (с изменениями и дополнениями) и иными нормативными правовыми актами Российской Федерации и Республики Дагестан, регулирующими бюджетные правоотношения.</w:t>
      </w:r>
    </w:p>
    <w:p w14:paraId="70BC09BC" w14:textId="77777777" w:rsidR="00EC2FB5" w:rsidRPr="002E77B5" w:rsidRDefault="00EC2FB5" w:rsidP="00EC2FB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3.2. </w:t>
      </w:r>
      <w:r w:rsidRPr="002E77B5">
        <w:rPr>
          <w:rFonts w:ascii="Times New Roman" w:eastAsia="Times New Roman" w:hAnsi="Times New Roman" w:cs="Times New Roman"/>
          <w:sz w:val="28"/>
          <w:szCs w:val="28"/>
          <w:lang w:eastAsia="ru-RU"/>
        </w:rPr>
        <w:t xml:space="preserve">В соответствии со статьями 166.1, 168, 220.1, 241.1 Бюджетного кодекса Российской Федерации кассовое обслуживание исполнения республиканского бюджета </w:t>
      </w:r>
      <w:r w:rsidRPr="002E77B5">
        <w:rPr>
          <w:rFonts w:ascii="Times New Roman" w:eastAsia="Times New Roman" w:hAnsi="Times New Roman" w:cs="Times New Roman"/>
          <w:bCs/>
          <w:sz w:val="28"/>
          <w:szCs w:val="28"/>
          <w:lang w:eastAsia="ru-RU"/>
        </w:rPr>
        <w:t xml:space="preserve">Республики Дагестан </w:t>
      </w:r>
      <w:r w:rsidRPr="002E77B5">
        <w:rPr>
          <w:rFonts w:ascii="Times New Roman" w:eastAsia="Times New Roman" w:hAnsi="Times New Roman" w:cs="Times New Roman"/>
          <w:sz w:val="28"/>
          <w:szCs w:val="28"/>
          <w:lang w:eastAsia="ru-RU"/>
        </w:rPr>
        <w:t xml:space="preserve">осуществляется Управлением Федерального казначейства по Республике Дагестан </w:t>
      </w:r>
      <w:r>
        <w:rPr>
          <w:rFonts w:ascii="Times New Roman" w:eastAsia="Times New Roman" w:hAnsi="Times New Roman" w:cs="Times New Roman"/>
          <w:sz w:val="28"/>
          <w:szCs w:val="28"/>
          <w:lang w:eastAsia="ru-RU"/>
        </w:rPr>
        <w:t>(</w:t>
      </w:r>
      <w:r w:rsidRPr="002E77B5">
        <w:rPr>
          <w:rFonts w:ascii="Times New Roman" w:eastAsia="Times New Roman" w:hAnsi="Times New Roman" w:cs="Times New Roman"/>
          <w:sz w:val="28"/>
          <w:szCs w:val="28"/>
          <w:lang w:eastAsia="ru-RU"/>
        </w:rPr>
        <w:t>УФК по РД</w:t>
      </w:r>
      <w:r>
        <w:rPr>
          <w:rFonts w:ascii="Times New Roman" w:eastAsia="Times New Roman" w:hAnsi="Times New Roman" w:cs="Times New Roman"/>
          <w:sz w:val="28"/>
          <w:szCs w:val="28"/>
          <w:lang w:eastAsia="ru-RU"/>
        </w:rPr>
        <w:t xml:space="preserve">) </w:t>
      </w:r>
      <w:r w:rsidRPr="002E77B5">
        <w:rPr>
          <w:rFonts w:ascii="Times New Roman" w:eastAsia="Times New Roman" w:hAnsi="Times New Roman" w:cs="Times New Roman"/>
          <w:sz w:val="28"/>
          <w:szCs w:val="28"/>
          <w:lang w:eastAsia="ru-RU"/>
        </w:rPr>
        <w:t>и его территориальными органами с открытием и ведением лицевых счетов главных распорядителей (распорядителей), получателей средств бюджета и главных администраторов (администраторов) источников финансирования дефицита бюджета на основании Соглашения, заключенного между Правительством Республики Дагестан и УФК по РД.</w:t>
      </w:r>
    </w:p>
    <w:p w14:paraId="78CE5CF7" w14:textId="77777777" w:rsidR="00EC2FB5" w:rsidRPr="002E77B5" w:rsidRDefault="00EC2FB5" w:rsidP="00EC2FB5">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Учет операций со средствами бюджета осуществляется УФК по РД на балансовом счете № 40201 «Средства бюджетов субъектов Российской Федерации».</w:t>
      </w:r>
    </w:p>
    <w:p w14:paraId="1FD170AF"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Учет кассовых операций со средствами бюджета осуществляется на лицевых счетах, открытых главным администраторам, администраторам источников финансирования дефицита бюджета, распорядителям и получателям средств бюджета, иным получателям средств бюджета в соответствии с Порядком, утвержденным приказом Федерального казначейства от 17 октября 2016 г. № 21н «О порядке открытия и ведения лицевых счетов территориальными органами Федерального казначейства».</w:t>
      </w:r>
    </w:p>
    <w:p w14:paraId="40DCB447" w14:textId="77777777" w:rsidR="00EC2FB5" w:rsidRPr="002E77B5" w:rsidRDefault="00EC2FB5" w:rsidP="00EC2FB5">
      <w:pPr>
        <w:widowControl w:val="0"/>
        <w:tabs>
          <w:tab w:val="left" w:pos="68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3.3. </w:t>
      </w:r>
      <w:r w:rsidRPr="002E77B5">
        <w:rPr>
          <w:rFonts w:ascii="Times New Roman" w:eastAsia="Times New Roman" w:hAnsi="Times New Roman" w:cs="Times New Roman"/>
          <w:sz w:val="28"/>
          <w:szCs w:val="28"/>
          <w:lang w:eastAsia="ru-RU"/>
        </w:rPr>
        <w:t xml:space="preserve">Бюджетные полномочия органов государственной власти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xml:space="preserve">, порядок регулирования межбюджетных отношений, осуществления бюджетного процесса в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xml:space="preserve"> и ответственность за нарушение бюджетного законодательства в Республике Дагестан установлены Законом Республики Дагестан от 10 марта 2015 года </w:t>
      </w:r>
      <w:r w:rsidRPr="002E77B5">
        <w:rPr>
          <w:rFonts w:ascii="Times New Roman" w:eastAsia="Times New Roman" w:hAnsi="Times New Roman" w:cs="Times New Roman"/>
          <w:sz w:val="28"/>
          <w:szCs w:val="28"/>
          <w:lang w:eastAsia="ru-RU"/>
        </w:rPr>
        <w:br/>
        <w:t>№ 18 «О бюджетном процессе и межбюджетных отношениях в Республике Дагестан».</w:t>
      </w:r>
    </w:p>
    <w:p w14:paraId="6DFCE54D"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3.4. </w:t>
      </w:r>
      <w:r w:rsidRPr="002E77B5">
        <w:rPr>
          <w:rFonts w:ascii="Times New Roman" w:eastAsia="Times New Roman" w:hAnsi="Times New Roman" w:cs="Times New Roman"/>
          <w:sz w:val="28"/>
          <w:szCs w:val="28"/>
          <w:lang w:eastAsia="ru-RU"/>
        </w:rPr>
        <w:t>В соответствии со статьей 215.1 Бюджетного кодекса Российской Федерации исполнение бюджета субъекта Российской Федерации обеспечивается высшим исполнительным органом государственной власти субъекта Российской Федерации и организуется финансовым органом на основе сводной бюджетной росписи и кассового плана.</w:t>
      </w:r>
    </w:p>
    <w:p w14:paraId="19F5AF30"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lastRenderedPageBreak/>
        <w:t xml:space="preserve">Порядок составления и ведения сводной бюджетной росписи республиканского бюджета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xml:space="preserve"> и бюджетных росписей главных распорядителей средств республиканского бюджета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xml:space="preserve"> (главных администраторов источников финансирования дефицита республиканского бюджета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утвержден приказом Мин</w:t>
      </w:r>
      <w:r>
        <w:rPr>
          <w:rFonts w:ascii="Times New Roman" w:eastAsia="Times New Roman" w:hAnsi="Times New Roman" w:cs="Times New Roman"/>
          <w:sz w:val="28"/>
          <w:szCs w:val="28"/>
          <w:lang w:eastAsia="ru-RU"/>
        </w:rPr>
        <w:t xml:space="preserve">истерства </w:t>
      </w:r>
      <w:r w:rsidRPr="002E77B5">
        <w:rPr>
          <w:rFonts w:ascii="Times New Roman" w:eastAsia="Times New Roman" w:hAnsi="Times New Roman" w:cs="Times New Roman"/>
          <w:sz w:val="28"/>
          <w:szCs w:val="28"/>
          <w:lang w:eastAsia="ru-RU"/>
        </w:rPr>
        <w:t>фина</w:t>
      </w:r>
      <w:r>
        <w:rPr>
          <w:rFonts w:ascii="Times New Roman" w:eastAsia="Times New Roman" w:hAnsi="Times New Roman" w:cs="Times New Roman"/>
          <w:sz w:val="28"/>
          <w:szCs w:val="28"/>
          <w:lang w:eastAsia="ru-RU"/>
        </w:rPr>
        <w:t>нсов</w:t>
      </w:r>
      <w:r w:rsidRPr="002E77B5">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 xml:space="preserve">еспублики </w:t>
      </w:r>
      <w:r w:rsidRPr="002E77B5">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2E77B5">
        <w:rPr>
          <w:rFonts w:ascii="Times New Roman" w:eastAsia="Times New Roman" w:hAnsi="Times New Roman" w:cs="Times New Roman"/>
          <w:sz w:val="28"/>
          <w:szCs w:val="28"/>
          <w:lang w:eastAsia="ru-RU"/>
        </w:rPr>
        <w:t xml:space="preserve"> от 17 февраля 2009 года № 22 </w:t>
      </w:r>
      <w:r>
        <w:rPr>
          <w:rFonts w:ascii="Times New Roman" w:eastAsia="Times New Roman" w:hAnsi="Times New Roman" w:cs="Times New Roman"/>
          <w:sz w:val="28"/>
          <w:szCs w:val="28"/>
          <w:lang w:eastAsia="ru-RU"/>
        </w:rPr>
        <w:br/>
      </w:r>
      <w:r w:rsidRPr="002E77B5">
        <w:rPr>
          <w:rFonts w:ascii="Times New Roman" w:eastAsia="Times New Roman" w:hAnsi="Times New Roman" w:cs="Times New Roman"/>
          <w:sz w:val="28"/>
          <w:szCs w:val="28"/>
          <w:lang w:eastAsia="ru-RU"/>
        </w:rPr>
        <w:t>§ 3 (с изменениями и дополнениями).</w:t>
      </w:r>
    </w:p>
    <w:p w14:paraId="014E93CA"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77B5">
        <w:rPr>
          <w:rFonts w:ascii="Times New Roman" w:eastAsia="Times New Roman" w:hAnsi="Times New Roman" w:cs="Times New Roman"/>
          <w:b/>
          <w:bCs/>
          <w:color w:val="002060"/>
          <w:sz w:val="28"/>
          <w:szCs w:val="28"/>
          <w:lang w:eastAsia="ru-RU"/>
        </w:rPr>
        <w:t xml:space="preserve">3.5. </w:t>
      </w:r>
      <w:r w:rsidRPr="002E77B5">
        <w:rPr>
          <w:rFonts w:ascii="Times New Roman" w:eastAsia="Times New Roman" w:hAnsi="Times New Roman" w:cs="Times New Roman"/>
          <w:color w:val="000000"/>
          <w:sz w:val="28"/>
          <w:szCs w:val="28"/>
          <w:lang w:eastAsia="ru-RU"/>
        </w:rPr>
        <w:t xml:space="preserve">Республиканский бюджет Республики Дагестан на 2021 год принят Народным Собранием Республики Дагестан 22 декабря 2020 года </w:t>
      </w:r>
      <w:r w:rsidRPr="002E77B5">
        <w:rPr>
          <w:rFonts w:ascii="Times New Roman" w:eastAsia="Times New Roman" w:hAnsi="Times New Roman" w:cs="Times New Roman"/>
          <w:color w:val="000000"/>
          <w:sz w:val="28"/>
          <w:szCs w:val="28"/>
          <w:lang w:eastAsia="ru-RU"/>
        </w:rPr>
        <w:br/>
        <w:t xml:space="preserve">и утвержден Законом Республики Дагестан </w:t>
      </w:r>
      <w:r w:rsidRPr="002E77B5">
        <w:rPr>
          <w:rFonts w:ascii="Times New Roman" w:eastAsia="Times New Roman" w:hAnsi="Times New Roman" w:cs="Times New Roman"/>
          <w:sz w:val="28"/>
          <w:szCs w:val="28"/>
          <w:lang w:eastAsia="ru-RU"/>
        </w:rPr>
        <w:t xml:space="preserve">от 28 декабря 2020 года № 103 </w:t>
      </w:r>
      <w:r w:rsidRPr="002E77B5">
        <w:rPr>
          <w:rFonts w:ascii="Times New Roman" w:eastAsia="Times New Roman" w:hAnsi="Times New Roman" w:cs="Times New Roman"/>
          <w:sz w:val="28"/>
          <w:szCs w:val="28"/>
          <w:lang w:eastAsia="ru-RU"/>
        </w:rPr>
        <w:br/>
        <w:t>«О республиканском бюджете Республики Дагестан на 2021 год и на плановый период 2022 и 2023 годов»</w:t>
      </w:r>
      <w:r w:rsidRPr="002E77B5">
        <w:rPr>
          <w:rFonts w:ascii="Times New Roman" w:eastAsia="Times New Roman" w:hAnsi="Times New Roman" w:cs="Times New Roman"/>
          <w:color w:val="000000"/>
          <w:sz w:val="28"/>
          <w:szCs w:val="28"/>
          <w:lang w:eastAsia="ru-RU"/>
        </w:rPr>
        <w:t>, что соответствует требованиям статьи 187 Бюджетного кодекса Российской Федерации.</w:t>
      </w:r>
    </w:p>
    <w:p w14:paraId="3E886D92"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77B5">
        <w:rPr>
          <w:rFonts w:ascii="Times New Roman" w:eastAsia="Times New Roman" w:hAnsi="Times New Roman" w:cs="Times New Roman"/>
          <w:color w:val="000000"/>
          <w:sz w:val="28"/>
          <w:szCs w:val="28"/>
          <w:lang w:eastAsia="ru-RU"/>
        </w:rPr>
        <w:t xml:space="preserve">Сводная бюджетная роспись на 2021 год утверждена Министром финансов Республики Дагестан 30 декабря 2020 года. Показатели сводной бюджетной росписи и лимиты бюджетных обязательств на 2021 год до главных распорядителей и получателей средств республиканского бюджета Республики Дагестан </w:t>
      </w:r>
      <w:r w:rsidRPr="002E77B5">
        <w:rPr>
          <w:rFonts w:ascii="Times New Roman" w:eastAsia="Times New Roman" w:hAnsi="Times New Roman" w:cs="Times New Roman"/>
          <w:sz w:val="28"/>
          <w:szCs w:val="28"/>
          <w:lang w:eastAsia="ru-RU"/>
        </w:rPr>
        <w:t>доведены 30 декабря 2020 года, что соответствует требованиям пункта 5 статьи 217 Бюджетного кодекса Российской Федерации.</w:t>
      </w:r>
    </w:p>
    <w:p w14:paraId="12E054EE"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x-none"/>
        </w:rPr>
      </w:pPr>
      <w:r w:rsidRPr="002E77B5">
        <w:rPr>
          <w:rFonts w:ascii="Times New Roman" w:eastAsia="Times New Roman" w:hAnsi="Times New Roman" w:cs="Times New Roman"/>
          <w:sz w:val="28"/>
          <w:szCs w:val="28"/>
          <w:lang w:val="x-none" w:eastAsia="x-none"/>
        </w:rPr>
        <w:t>Кассовый план исполнения республиканского бюджета Республики Дагестан осуществляется в порядке, установленном приказом Мин</w:t>
      </w:r>
      <w:r w:rsidRPr="002E77B5">
        <w:rPr>
          <w:rFonts w:ascii="Times New Roman" w:eastAsia="Times New Roman" w:hAnsi="Times New Roman" w:cs="Times New Roman"/>
          <w:sz w:val="28"/>
          <w:szCs w:val="28"/>
          <w:lang w:eastAsia="x-none"/>
        </w:rPr>
        <w:t xml:space="preserve">истерства </w:t>
      </w:r>
      <w:r w:rsidRPr="002E77B5">
        <w:rPr>
          <w:rFonts w:ascii="Times New Roman" w:eastAsia="Times New Roman" w:hAnsi="Times New Roman" w:cs="Times New Roman"/>
          <w:sz w:val="28"/>
          <w:szCs w:val="28"/>
          <w:lang w:val="x-none" w:eastAsia="x-none"/>
        </w:rPr>
        <w:t>фина</w:t>
      </w:r>
      <w:r w:rsidRPr="002E77B5">
        <w:rPr>
          <w:rFonts w:ascii="Times New Roman" w:eastAsia="Times New Roman" w:hAnsi="Times New Roman" w:cs="Times New Roman"/>
          <w:sz w:val="28"/>
          <w:szCs w:val="28"/>
          <w:lang w:eastAsia="x-none"/>
        </w:rPr>
        <w:t>нсов</w:t>
      </w:r>
      <w:r w:rsidRPr="002E77B5">
        <w:rPr>
          <w:rFonts w:ascii="Times New Roman" w:eastAsia="Times New Roman" w:hAnsi="Times New Roman" w:cs="Times New Roman"/>
          <w:sz w:val="28"/>
          <w:szCs w:val="28"/>
          <w:lang w:val="x-none" w:eastAsia="x-none"/>
        </w:rPr>
        <w:t xml:space="preserve"> Р</w:t>
      </w:r>
      <w:r w:rsidRPr="002E77B5">
        <w:rPr>
          <w:rFonts w:ascii="Times New Roman" w:eastAsia="Times New Roman" w:hAnsi="Times New Roman" w:cs="Times New Roman"/>
          <w:sz w:val="28"/>
          <w:szCs w:val="28"/>
          <w:lang w:eastAsia="x-none"/>
        </w:rPr>
        <w:t xml:space="preserve">еспублики </w:t>
      </w:r>
      <w:r w:rsidRPr="002E77B5">
        <w:rPr>
          <w:rFonts w:ascii="Times New Roman" w:eastAsia="Times New Roman" w:hAnsi="Times New Roman" w:cs="Times New Roman"/>
          <w:sz w:val="28"/>
          <w:szCs w:val="28"/>
          <w:lang w:val="x-none" w:eastAsia="x-none"/>
        </w:rPr>
        <w:t>Д</w:t>
      </w:r>
      <w:r w:rsidRPr="002E77B5">
        <w:rPr>
          <w:rFonts w:ascii="Times New Roman" w:eastAsia="Times New Roman" w:hAnsi="Times New Roman" w:cs="Times New Roman"/>
          <w:sz w:val="28"/>
          <w:szCs w:val="28"/>
          <w:lang w:eastAsia="x-none"/>
        </w:rPr>
        <w:t>агестан</w:t>
      </w:r>
      <w:r w:rsidRPr="002E77B5">
        <w:rPr>
          <w:rFonts w:ascii="Times New Roman" w:eastAsia="Times New Roman" w:hAnsi="Times New Roman" w:cs="Times New Roman"/>
          <w:sz w:val="28"/>
          <w:szCs w:val="28"/>
          <w:lang w:val="x-none" w:eastAsia="x-none"/>
        </w:rPr>
        <w:t xml:space="preserve"> от 28 апреля 2008 г</w:t>
      </w:r>
      <w:r w:rsidRPr="002E77B5">
        <w:rPr>
          <w:rFonts w:ascii="Times New Roman" w:eastAsia="Times New Roman" w:hAnsi="Times New Roman" w:cs="Times New Roman"/>
          <w:sz w:val="28"/>
          <w:szCs w:val="28"/>
          <w:lang w:eastAsia="x-none"/>
        </w:rPr>
        <w:t>ода</w:t>
      </w:r>
      <w:r w:rsidRPr="002E77B5">
        <w:rPr>
          <w:rFonts w:ascii="Times New Roman" w:eastAsia="Times New Roman" w:hAnsi="Times New Roman" w:cs="Times New Roman"/>
          <w:sz w:val="28"/>
          <w:szCs w:val="28"/>
          <w:lang w:val="x-none" w:eastAsia="x-none"/>
        </w:rPr>
        <w:t xml:space="preserve"> № 63, с помесячной детализацией показателей по доходам</w:t>
      </w:r>
      <w:r w:rsidRPr="002E77B5">
        <w:rPr>
          <w:rFonts w:ascii="Times New Roman" w:eastAsia="Times New Roman" w:hAnsi="Times New Roman" w:cs="Times New Roman"/>
          <w:sz w:val="28"/>
          <w:szCs w:val="28"/>
          <w:lang w:eastAsia="x-none"/>
        </w:rPr>
        <w:t xml:space="preserve"> и</w:t>
      </w:r>
      <w:r w:rsidRPr="002E77B5">
        <w:rPr>
          <w:rFonts w:ascii="Times New Roman" w:eastAsia="Times New Roman" w:hAnsi="Times New Roman" w:cs="Times New Roman"/>
          <w:sz w:val="28"/>
          <w:szCs w:val="28"/>
          <w:lang w:val="x-none" w:eastAsia="x-none"/>
        </w:rPr>
        <w:t xml:space="preserve"> расходам республиканского бюджета Республики Дагестан.</w:t>
      </w:r>
    </w:p>
    <w:p w14:paraId="4326FA10"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3.6. </w:t>
      </w:r>
      <w:r w:rsidRPr="002E77B5">
        <w:rPr>
          <w:rFonts w:ascii="Times New Roman" w:eastAsia="Times New Roman" w:hAnsi="Times New Roman" w:cs="Times New Roman"/>
          <w:sz w:val="28"/>
          <w:szCs w:val="28"/>
          <w:lang w:eastAsia="ru-RU"/>
        </w:rPr>
        <w:t xml:space="preserve">В целях учета расходных обязательств Республики Дагестан и определения объема средств республиканского бюджета Республики Дагестан на очередной финансовый год в соответствии со статьей 87 Бюджетного кодекса Российской Федерации, </w:t>
      </w:r>
      <w:r w:rsidRPr="002E77B5">
        <w:rPr>
          <w:rFonts w:ascii="Times New Roman" w:eastAsia="Times New Roman" w:hAnsi="Times New Roman" w:cs="Times New Roman"/>
          <w:sz w:val="28"/>
          <w:szCs w:val="28"/>
          <w:lang w:val="x-none" w:eastAsia="x-none"/>
        </w:rPr>
        <w:t>Мин</w:t>
      </w:r>
      <w:r w:rsidRPr="002E77B5">
        <w:rPr>
          <w:rFonts w:ascii="Times New Roman" w:eastAsia="Times New Roman" w:hAnsi="Times New Roman" w:cs="Times New Roman"/>
          <w:sz w:val="28"/>
          <w:szCs w:val="28"/>
          <w:lang w:eastAsia="x-none"/>
        </w:rPr>
        <w:t xml:space="preserve">истерством </w:t>
      </w:r>
      <w:r w:rsidRPr="002E77B5">
        <w:rPr>
          <w:rFonts w:ascii="Times New Roman" w:eastAsia="Times New Roman" w:hAnsi="Times New Roman" w:cs="Times New Roman"/>
          <w:sz w:val="28"/>
          <w:szCs w:val="28"/>
          <w:lang w:val="x-none" w:eastAsia="x-none"/>
        </w:rPr>
        <w:t>фина</w:t>
      </w:r>
      <w:r w:rsidRPr="002E77B5">
        <w:rPr>
          <w:rFonts w:ascii="Times New Roman" w:eastAsia="Times New Roman" w:hAnsi="Times New Roman" w:cs="Times New Roman"/>
          <w:sz w:val="28"/>
          <w:szCs w:val="28"/>
          <w:lang w:eastAsia="x-none"/>
        </w:rPr>
        <w:t>нсов</w:t>
      </w:r>
      <w:r w:rsidRPr="002E77B5">
        <w:rPr>
          <w:rFonts w:ascii="Times New Roman" w:eastAsia="Times New Roman" w:hAnsi="Times New Roman" w:cs="Times New Roman"/>
          <w:sz w:val="28"/>
          <w:szCs w:val="28"/>
          <w:lang w:val="x-none" w:eastAsia="x-none"/>
        </w:rPr>
        <w:t xml:space="preserve"> Р</w:t>
      </w:r>
      <w:r w:rsidRPr="002E77B5">
        <w:rPr>
          <w:rFonts w:ascii="Times New Roman" w:eastAsia="Times New Roman" w:hAnsi="Times New Roman" w:cs="Times New Roman"/>
          <w:sz w:val="28"/>
          <w:szCs w:val="28"/>
          <w:lang w:eastAsia="x-none"/>
        </w:rPr>
        <w:t xml:space="preserve">еспублики </w:t>
      </w:r>
      <w:r w:rsidRPr="002E77B5">
        <w:rPr>
          <w:rFonts w:ascii="Times New Roman" w:eastAsia="Times New Roman" w:hAnsi="Times New Roman" w:cs="Times New Roman"/>
          <w:sz w:val="28"/>
          <w:szCs w:val="28"/>
          <w:lang w:val="x-none" w:eastAsia="x-none"/>
        </w:rPr>
        <w:t>Д</w:t>
      </w:r>
      <w:r w:rsidRPr="002E77B5">
        <w:rPr>
          <w:rFonts w:ascii="Times New Roman" w:eastAsia="Times New Roman" w:hAnsi="Times New Roman" w:cs="Times New Roman"/>
          <w:sz w:val="28"/>
          <w:szCs w:val="28"/>
          <w:lang w:eastAsia="x-none"/>
        </w:rPr>
        <w:t>агестан</w:t>
      </w:r>
      <w:r w:rsidRPr="002E77B5">
        <w:rPr>
          <w:rFonts w:ascii="Times New Roman" w:eastAsia="Times New Roman" w:hAnsi="Times New Roman" w:cs="Times New Roman"/>
          <w:sz w:val="28"/>
          <w:szCs w:val="28"/>
          <w:lang w:eastAsia="ru-RU"/>
        </w:rPr>
        <w:t xml:space="preserve"> ведется реестр расходных обязательств Республики Дагестан. Ведение реестра расходных обязательств осуществляется в соответствии с Порядком, утвержденным постановлением Правительства Республики Дагестан от 15 июня 2017 года № 132.</w:t>
      </w:r>
    </w:p>
    <w:p w14:paraId="49541C37"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3.7. </w:t>
      </w:r>
      <w:r w:rsidRPr="002E77B5">
        <w:rPr>
          <w:rFonts w:ascii="Times New Roman" w:eastAsia="Times New Roman" w:hAnsi="Times New Roman" w:cs="Times New Roman"/>
          <w:sz w:val="28"/>
          <w:szCs w:val="28"/>
          <w:lang w:eastAsia="ru-RU"/>
        </w:rPr>
        <w:t>В соответствии с Порядком, утвержденным приказом Министерства финансов Российской Федерации от 31 мая 2017 года № 82н, реестр расходных обязательств Республики Дагестан (на 1 июня 2021 года) в установленные сроки был представлен в Департамент межбюджетных отношений Министерства финансов Российской Федерации.</w:t>
      </w:r>
    </w:p>
    <w:p w14:paraId="3ACB531B" w14:textId="77777777" w:rsidR="00EC2FB5" w:rsidRDefault="00EC2FB5" w:rsidP="00EC2FB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3.8. </w:t>
      </w:r>
      <w:r w:rsidRPr="002E77B5">
        <w:rPr>
          <w:rFonts w:ascii="Times New Roman" w:eastAsia="Times New Roman" w:hAnsi="Times New Roman" w:cs="Times New Roman"/>
          <w:sz w:val="28"/>
          <w:szCs w:val="28"/>
          <w:lang w:eastAsia="ru-RU"/>
        </w:rPr>
        <w:t xml:space="preserve">Первоначально Законом Республики Дагестан от 28 декабря 2020 года № 103 «О республиканском бюджете Республики Дагестан на 2021 год и на плановый период 2022 и 2023 годов» прогнозируемый объем доходов республиканского бюджета Республики Дагестан на 2021 год </w:t>
      </w:r>
      <w:r>
        <w:rPr>
          <w:rFonts w:ascii="Times New Roman" w:eastAsia="Times New Roman" w:hAnsi="Times New Roman" w:cs="Times New Roman"/>
          <w:sz w:val="28"/>
          <w:szCs w:val="28"/>
          <w:lang w:eastAsia="ru-RU"/>
        </w:rPr>
        <w:t xml:space="preserve">был </w:t>
      </w:r>
      <w:r w:rsidRPr="002E77B5">
        <w:rPr>
          <w:rFonts w:ascii="Times New Roman" w:eastAsia="Times New Roman" w:hAnsi="Times New Roman" w:cs="Times New Roman"/>
          <w:sz w:val="28"/>
          <w:szCs w:val="28"/>
          <w:lang w:eastAsia="ru-RU"/>
        </w:rPr>
        <w:t>утвержден в сумме 153 328 973,8 тыс. рублей, в том числе объем межбюджетных трансфертов, получаемых из федерального бюджета – в сумме 114 949 767,4 тыс. рублей и по расходам – в сумме 159 617 767,9 тыс. рублей.</w:t>
      </w:r>
    </w:p>
    <w:p w14:paraId="25400695" w14:textId="77777777" w:rsidR="00EC2FB5" w:rsidRPr="002E77B5" w:rsidRDefault="00EC2FB5" w:rsidP="00EC2FB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w:t>
      </w:r>
      <w:r w:rsidRPr="002E77B5">
        <w:rPr>
          <w:rFonts w:ascii="Times New Roman" w:eastAsia="Times New Roman" w:hAnsi="Times New Roman" w:cs="Times New Roman"/>
          <w:sz w:val="28"/>
          <w:szCs w:val="28"/>
          <w:lang w:eastAsia="ru-RU"/>
        </w:rPr>
        <w:t>ефицитов республиканск</w:t>
      </w:r>
      <w:r>
        <w:rPr>
          <w:rFonts w:ascii="Times New Roman" w:eastAsia="Times New Roman" w:hAnsi="Times New Roman" w:cs="Times New Roman"/>
          <w:sz w:val="28"/>
          <w:szCs w:val="28"/>
          <w:lang w:eastAsia="ru-RU"/>
        </w:rPr>
        <w:t xml:space="preserve">ого </w:t>
      </w:r>
      <w:r w:rsidRPr="002E77B5">
        <w:rPr>
          <w:rFonts w:ascii="Times New Roman" w:eastAsia="Times New Roman" w:hAnsi="Times New Roman" w:cs="Times New Roman"/>
          <w:sz w:val="28"/>
          <w:szCs w:val="28"/>
          <w:lang w:eastAsia="ru-RU"/>
        </w:rPr>
        <w:t>бюджет</w:t>
      </w:r>
      <w:r>
        <w:rPr>
          <w:rFonts w:ascii="Times New Roman" w:eastAsia="Times New Roman" w:hAnsi="Times New Roman" w:cs="Times New Roman"/>
          <w:sz w:val="28"/>
          <w:szCs w:val="28"/>
          <w:lang w:eastAsia="ru-RU"/>
        </w:rPr>
        <w:t>а</w:t>
      </w:r>
      <w:r w:rsidRPr="002E77B5">
        <w:rPr>
          <w:rFonts w:ascii="Times New Roman" w:eastAsia="Times New Roman" w:hAnsi="Times New Roman" w:cs="Times New Roman"/>
          <w:sz w:val="28"/>
          <w:szCs w:val="28"/>
          <w:lang w:eastAsia="ru-RU"/>
        </w:rPr>
        <w:t xml:space="preserve"> Республики Дагестан на 2021 год </w:t>
      </w:r>
      <w:r>
        <w:rPr>
          <w:rFonts w:ascii="Times New Roman" w:eastAsia="Times New Roman" w:hAnsi="Times New Roman" w:cs="Times New Roman"/>
          <w:sz w:val="28"/>
          <w:szCs w:val="28"/>
          <w:lang w:eastAsia="ru-RU"/>
        </w:rPr>
        <w:t xml:space="preserve">был </w:t>
      </w:r>
      <w:r w:rsidRPr="002E77B5">
        <w:rPr>
          <w:rFonts w:ascii="Times New Roman" w:eastAsia="Times New Roman" w:hAnsi="Times New Roman" w:cs="Times New Roman"/>
          <w:sz w:val="28"/>
          <w:szCs w:val="28"/>
          <w:lang w:eastAsia="ru-RU"/>
        </w:rPr>
        <w:t>утвержден в сумме 6 288 794,1 тыс. рублей.</w:t>
      </w:r>
    </w:p>
    <w:p w14:paraId="24493874" w14:textId="77777777" w:rsidR="00EC2FB5" w:rsidRPr="002E77B5" w:rsidRDefault="00EC2FB5" w:rsidP="00EC2FB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3.9. </w:t>
      </w:r>
      <w:r w:rsidRPr="002E77B5">
        <w:rPr>
          <w:rFonts w:ascii="Times New Roman" w:eastAsia="Times New Roman" w:hAnsi="Times New Roman" w:cs="Times New Roman"/>
          <w:sz w:val="28"/>
          <w:szCs w:val="28"/>
          <w:lang w:eastAsia="ru-RU"/>
        </w:rPr>
        <w:t>Верхний предел государственного внутреннего долга Республики Дагестан на 1 января 2022 года установлен в сумме 8 342 139,9 тыс. рублей, в том числе верхний предел по государственным гарантиям Республики Дагестан – в сумме 0,0 тыс. рублей, что соответствует нормам, установленным статьей 107 Бюджетного кодекса Российской Федерации.</w:t>
      </w:r>
    </w:p>
    <w:p w14:paraId="28078811"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Объем расходов на обслуживание государственного внутреннего долга Республики Дагестан установлен в сумме 8 770,8 тыс. рублей.</w:t>
      </w:r>
    </w:p>
    <w:p w14:paraId="43FBCA6B" w14:textId="77777777" w:rsidR="00EC2FB5" w:rsidRPr="002E77B5" w:rsidRDefault="00EC2FB5" w:rsidP="00EC2FB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3.10. </w:t>
      </w:r>
      <w:r w:rsidRPr="002E77B5">
        <w:rPr>
          <w:rFonts w:ascii="Times New Roman" w:eastAsia="Times New Roman" w:hAnsi="Times New Roman" w:cs="Times New Roman"/>
          <w:sz w:val="28"/>
          <w:szCs w:val="28"/>
          <w:lang w:eastAsia="ru-RU"/>
        </w:rPr>
        <w:t xml:space="preserve">В соответствии с требованиями статьи 184.1 Бюджетного кодекса Российской Федерации, статьей 4 Закона Республики Дагестан от </w:t>
      </w:r>
      <w:r w:rsidRPr="002E77B5">
        <w:rPr>
          <w:rFonts w:ascii="Times New Roman" w:eastAsia="Times New Roman" w:hAnsi="Times New Roman" w:cs="Times New Roman"/>
          <w:sz w:val="28"/>
          <w:szCs w:val="28"/>
          <w:lang w:eastAsia="ru-RU"/>
        </w:rPr>
        <w:br/>
        <w:t xml:space="preserve">28 декабря 2020 года № 103 «О республиканском бюджете Республики Дагестан на 2021 год и на плановый период 2022 и 2023 годов» общий объем бюджетных ассигнований, направляемых на исполнение публичных нормативных обязательств Республики Дагестан, утвержден в сумме 22 013 853,6 тыс. рублей. </w:t>
      </w:r>
    </w:p>
    <w:p w14:paraId="2D914756"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3.11. </w:t>
      </w:r>
      <w:r w:rsidRPr="002E77B5">
        <w:rPr>
          <w:rFonts w:ascii="Times New Roman" w:eastAsia="Times New Roman" w:hAnsi="Times New Roman" w:cs="Times New Roman"/>
          <w:sz w:val="28"/>
          <w:szCs w:val="28"/>
          <w:lang w:eastAsia="ru-RU"/>
        </w:rPr>
        <w:t xml:space="preserve">В Закон Республики Дагестан о республиканском бюджете Республики Дагестан на 2021 год в процессе его исполнения внесены изменения и дополнения, уточняющие его основные характеристики, </w:t>
      </w:r>
      <w:r w:rsidRPr="002E77B5">
        <w:rPr>
          <w:rFonts w:ascii="Times New Roman" w:eastAsia="Times New Roman" w:hAnsi="Times New Roman" w:cs="Times New Roman"/>
          <w:sz w:val="28"/>
          <w:szCs w:val="28"/>
          <w:lang w:eastAsia="ru-RU"/>
        </w:rPr>
        <w:br/>
        <w:t xml:space="preserve">в том числе в соответствии с Законами Республики Дагестан: от 4 мая 2021 года № 32, от 28 мая 2021 года </w:t>
      </w:r>
      <w:hyperlink r:id="rId20" w:history="1">
        <w:r w:rsidRPr="002E77B5">
          <w:rPr>
            <w:rFonts w:ascii="Times New Roman" w:eastAsia="Times New Roman" w:hAnsi="Times New Roman" w:cs="Times New Roman"/>
            <w:sz w:val="28"/>
            <w:szCs w:val="28"/>
            <w:lang w:eastAsia="ru-RU"/>
          </w:rPr>
          <w:t xml:space="preserve">№ </w:t>
        </w:r>
      </w:hyperlink>
      <w:r w:rsidRPr="002E77B5">
        <w:rPr>
          <w:rFonts w:ascii="Times New Roman" w:eastAsia="Times New Roman" w:hAnsi="Times New Roman" w:cs="Times New Roman"/>
          <w:sz w:val="28"/>
          <w:szCs w:val="28"/>
          <w:lang w:eastAsia="ru-RU"/>
        </w:rPr>
        <w:t xml:space="preserve">33 и от 8 ноября 2021 года № 63. </w:t>
      </w:r>
    </w:p>
    <w:p w14:paraId="396A6743"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 xml:space="preserve">С учетом внесенных изменений общий объем доходов республиканского бюджета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xml:space="preserve"> уточнен в сумме 171 990 428,9 тыс. рублей, в том числе объем межбюджетных трансфертов – </w:t>
      </w:r>
      <w:r>
        <w:rPr>
          <w:rFonts w:ascii="Times New Roman" w:eastAsia="Times New Roman" w:hAnsi="Times New Roman" w:cs="Times New Roman"/>
          <w:sz w:val="28"/>
          <w:szCs w:val="28"/>
          <w:lang w:eastAsia="ru-RU"/>
        </w:rPr>
        <w:t>130 757 607,0</w:t>
      </w:r>
      <w:r w:rsidRPr="002E77B5">
        <w:rPr>
          <w:rFonts w:ascii="Times New Roman" w:eastAsia="Times New Roman" w:hAnsi="Times New Roman" w:cs="Times New Roman"/>
          <w:sz w:val="28"/>
          <w:szCs w:val="28"/>
          <w:lang w:eastAsia="ru-RU"/>
        </w:rPr>
        <w:t xml:space="preserve"> тыс. рублей и объем расходов – 175 986 374,0 тыс. рублей. По сравнению с первоначальными назначениями объем доходов на 2021 год увеличен на 18 661 455,1 тыс. рублей, или на 12,2 %, и объем расходов – </w:t>
      </w:r>
      <w:r w:rsidRPr="002E77B5">
        <w:rPr>
          <w:rFonts w:ascii="Times New Roman" w:eastAsia="Times New Roman" w:hAnsi="Times New Roman" w:cs="Times New Roman"/>
          <w:sz w:val="28"/>
          <w:szCs w:val="28"/>
          <w:lang w:eastAsia="ru-RU"/>
        </w:rPr>
        <w:br/>
        <w:t>на 16 368 606,1 тыс. рублей, или на 10,2%.</w:t>
      </w:r>
    </w:p>
    <w:p w14:paraId="420857F2"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Дефицит республиканского бюджета Республики Дагестан на 2021 год утвержден в сумме 3 995 945,1 тыс. рублей.</w:t>
      </w:r>
    </w:p>
    <w:p w14:paraId="5522BA40"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Верхний предел государственного внутреннего долга Республики Дагестан на 1 января 2022 года утвержден в сумме 8 342 139,9 тыс. рублей (без изменения), в том числе верхний предел по государственным гарантиям Республики Дагестан – 0,0 тыс. рублей и не превышает ограничения, установленные статьей 107 Бюджетного кодекса Российской Федерации.</w:t>
      </w:r>
    </w:p>
    <w:p w14:paraId="30501333"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Объем расходов на обслуживание государственного внутреннего долга Республики Дагестан установлен в сумме 8 870,8 тыс. рублей.</w:t>
      </w:r>
    </w:p>
    <w:p w14:paraId="0AFD5F3A" w14:textId="77777777" w:rsidR="00EC2FB5" w:rsidRPr="002E77B5" w:rsidRDefault="00EC2FB5" w:rsidP="00EC2FB5">
      <w:pPr>
        <w:widowControl w:val="0"/>
        <w:autoSpaceDE w:val="0"/>
        <w:autoSpaceDN w:val="0"/>
        <w:adjustRightInd w:val="0"/>
        <w:spacing w:after="0" w:line="240" w:lineRule="auto"/>
        <w:ind w:firstLine="700"/>
        <w:jc w:val="both"/>
        <w:outlineLvl w:val="3"/>
        <w:rPr>
          <w:rFonts w:ascii="Times New Roman" w:eastAsia="Times New Roman" w:hAnsi="Times New Roman" w:cs="Times New Roman"/>
          <w:sz w:val="28"/>
          <w:szCs w:val="28"/>
          <w:highlight w:val="yellow"/>
          <w:lang w:eastAsia="ru-RU"/>
        </w:rPr>
      </w:pPr>
      <w:r w:rsidRPr="002E77B5">
        <w:rPr>
          <w:rFonts w:ascii="Times New Roman" w:eastAsia="Times New Roman" w:hAnsi="Times New Roman" w:cs="Times New Roman"/>
          <w:b/>
          <w:bCs/>
          <w:color w:val="002060"/>
          <w:sz w:val="28"/>
          <w:szCs w:val="28"/>
          <w:lang w:eastAsia="ru-RU"/>
        </w:rPr>
        <w:t xml:space="preserve">3.12. </w:t>
      </w:r>
      <w:r w:rsidRPr="002E77B5">
        <w:rPr>
          <w:rFonts w:ascii="Times New Roman" w:eastAsia="Times New Roman" w:hAnsi="Times New Roman" w:cs="Times New Roman"/>
          <w:sz w:val="28"/>
          <w:szCs w:val="28"/>
          <w:lang w:eastAsia="ru-RU"/>
        </w:rPr>
        <w:t xml:space="preserve">В связи с дополнительным поступлением налоговых и неналоговых доходов, а также увеличением объемов безвозмездных поступлений из федерального бюджета (дотаций на поддержку мер по обеспечению сбалансированности бюджетов, субвенций и иных межбюджетных трансфертов) по сравнению с объемами, утвержденными </w:t>
      </w:r>
      <w:bookmarkStart w:id="9" w:name="_Hlk41575699"/>
      <w:r w:rsidRPr="002E77B5">
        <w:rPr>
          <w:rFonts w:ascii="Times New Roman" w:eastAsia="Times New Roman" w:hAnsi="Times New Roman" w:cs="Times New Roman"/>
          <w:sz w:val="28"/>
          <w:szCs w:val="28"/>
          <w:lang w:eastAsia="ru-RU"/>
        </w:rPr>
        <w:t>Законом Республики Дагестан о республиканском бюджете Республики Дагестан</w:t>
      </w:r>
      <w:bookmarkEnd w:id="9"/>
      <w:r w:rsidRPr="002E77B5">
        <w:rPr>
          <w:rFonts w:ascii="Times New Roman" w:eastAsia="Times New Roman" w:hAnsi="Times New Roman" w:cs="Times New Roman"/>
          <w:sz w:val="28"/>
          <w:szCs w:val="28"/>
          <w:lang w:eastAsia="ru-RU"/>
        </w:rPr>
        <w:t xml:space="preserve">, уточненной сводной бюджетной росписью общий объем расходов республиканского </w:t>
      </w:r>
      <w:r w:rsidRPr="002E77B5">
        <w:rPr>
          <w:rFonts w:ascii="Times New Roman" w:eastAsia="Times New Roman" w:hAnsi="Times New Roman" w:cs="Times New Roman"/>
          <w:sz w:val="28"/>
          <w:szCs w:val="28"/>
          <w:lang w:eastAsia="ru-RU"/>
        </w:rPr>
        <w:lastRenderedPageBreak/>
        <w:t>бюджета Республики Дагестан на 2021 год по сравнению с объемом расходов, утвержденным Законом Республики Дагестан о республиканском бюджете Республики Дагестан на 2021 год, увеличен на 6 968 354,2 тыс. рублей и утвержден в сумме 182 954 728,2 тыс. рублей.</w:t>
      </w:r>
      <w:r w:rsidRPr="002E77B5">
        <w:rPr>
          <w:rFonts w:ascii="Times New Roman" w:eastAsia="Times New Roman" w:hAnsi="Times New Roman" w:cs="Times New Roman"/>
          <w:sz w:val="28"/>
          <w:szCs w:val="28"/>
          <w:highlight w:val="yellow"/>
          <w:lang w:eastAsia="ru-RU"/>
        </w:rPr>
        <w:t xml:space="preserve"> </w:t>
      </w:r>
    </w:p>
    <w:p w14:paraId="353AE36D" w14:textId="77777777" w:rsidR="00EC2FB5" w:rsidRPr="002E77B5" w:rsidRDefault="00EC2FB5" w:rsidP="00EC2FB5">
      <w:pPr>
        <w:widowControl w:val="0"/>
        <w:autoSpaceDE w:val="0"/>
        <w:autoSpaceDN w:val="0"/>
        <w:adjustRightInd w:val="0"/>
        <w:spacing w:after="0" w:line="240" w:lineRule="auto"/>
        <w:ind w:firstLine="700"/>
        <w:jc w:val="both"/>
        <w:outlineLvl w:val="3"/>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 xml:space="preserve">Указанные изменения в сводную бюджетную роспись внесены в соответствии с полномочиями, предоставленными руководителю финансового органа абзацем восьмым пункта 3 статьи 217 Бюджетного кодекса Российской Федерации. </w:t>
      </w:r>
    </w:p>
    <w:p w14:paraId="2F339EA5"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3.14. </w:t>
      </w:r>
      <w:r w:rsidRPr="002E77B5">
        <w:rPr>
          <w:rFonts w:ascii="Times New Roman" w:eastAsia="Times New Roman" w:hAnsi="Times New Roman" w:cs="Times New Roman"/>
          <w:sz w:val="28"/>
          <w:szCs w:val="28"/>
          <w:lang w:eastAsia="ru-RU"/>
        </w:rPr>
        <w:t xml:space="preserve">Согласно годовому отчету об исполнении консолидированного бюджета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xml:space="preserve"> за 2021 год республиканский бюджет </w:t>
      </w:r>
      <w:r w:rsidRPr="002E77B5">
        <w:rPr>
          <w:rFonts w:ascii="Times New Roman" w:eastAsia="Times New Roman" w:hAnsi="Times New Roman" w:cs="Times New Roman"/>
          <w:bCs/>
          <w:sz w:val="28"/>
          <w:szCs w:val="28"/>
          <w:lang w:eastAsia="ru-RU"/>
        </w:rPr>
        <w:t>Республики Дагестан</w:t>
      </w:r>
      <w:r w:rsidRPr="002E77B5">
        <w:rPr>
          <w:rFonts w:ascii="Times New Roman" w:eastAsia="Times New Roman" w:hAnsi="Times New Roman" w:cs="Times New Roman"/>
          <w:sz w:val="28"/>
          <w:szCs w:val="28"/>
          <w:lang w:eastAsia="ru-RU"/>
        </w:rPr>
        <w:t xml:space="preserve"> по доходам исполнен в сумме 172 846 816,3 тыс. рублей, что составляет 100,5 % к уточненным бюджетным назначениям (171 990 428,9 тыс. рублей) и по расходам в сумме 169 203 793,6 тыс. рублей, или 92,5</w:t>
      </w:r>
      <w:r>
        <w:rPr>
          <w:rFonts w:ascii="Times New Roman" w:eastAsia="Times New Roman" w:hAnsi="Times New Roman" w:cs="Times New Roman"/>
          <w:sz w:val="28"/>
          <w:szCs w:val="28"/>
          <w:lang w:eastAsia="ru-RU"/>
        </w:rPr>
        <w:t xml:space="preserve"> </w:t>
      </w:r>
      <w:r w:rsidRPr="002E77B5">
        <w:rPr>
          <w:rFonts w:ascii="Times New Roman" w:eastAsia="Times New Roman" w:hAnsi="Times New Roman" w:cs="Times New Roman"/>
          <w:sz w:val="28"/>
          <w:szCs w:val="28"/>
          <w:lang w:eastAsia="ru-RU"/>
        </w:rPr>
        <w:t xml:space="preserve">% к уточненным назначениям (182 954 728,2 тыс. рублей). </w:t>
      </w:r>
    </w:p>
    <w:p w14:paraId="6A59F5CF"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Фактически республиканский бюджет Республики Дагестан за 2021 год исполнен с профицитом в сумме 3 643 022,7 тыс. рублей.</w:t>
      </w:r>
    </w:p>
    <w:p w14:paraId="1837E62F" w14:textId="77777777" w:rsidR="00EC2FB5" w:rsidRPr="002E77B5" w:rsidRDefault="00EC2FB5" w:rsidP="00EC2FB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b/>
          <w:bCs/>
          <w:color w:val="002060"/>
          <w:sz w:val="28"/>
          <w:szCs w:val="28"/>
          <w:lang w:eastAsia="ru-RU"/>
        </w:rPr>
        <w:t xml:space="preserve">3.15. </w:t>
      </w:r>
      <w:r w:rsidRPr="002E77B5">
        <w:rPr>
          <w:rFonts w:ascii="Times New Roman" w:eastAsia="Times New Roman" w:hAnsi="Times New Roman" w:cs="Times New Roman"/>
          <w:sz w:val="28"/>
          <w:szCs w:val="28"/>
          <w:lang w:eastAsia="ru-RU"/>
        </w:rPr>
        <w:t xml:space="preserve">Распоряжением Правительства Российской Федерации от </w:t>
      </w:r>
      <w:r w:rsidRPr="002E77B5">
        <w:rPr>
          <w:rFonts w:ascii="Times New Roman" w:eastAsia="Times New Roman" w:hAnsi="Times New Roman" w:cs="Times New Roman"/>
          <w:sz w:val="28"/>
          <w:szCs w:val="28"/>
          <w:lang w:eastAsia="ru-RU"/>
        </w:rPr>
        <w:br/>
        <w:t xml:space="preserve">12 декабря 2019 года № 3013-р норматив формирования расходов на содержание органов государственной власти Республики Дагестан на 2020 год утвержден в размере 9,7 % в общей сумме налоговых и неналоговых доходов консолидированного бюджета Республики Дагестан (за исключением доходов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транспортного налога и доходов от денежных взысканий (штрафов) за нарушение законодательства Российской Федерации о безопасности дорожного движения). </w:t>
      </w:r>
    </w:p>
    <w:p w14:paraId="338666B3"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 xml:space="preserve">Согласно произведенному расчету, норматив формирования расходов на содержание органов государственной власти Республики Дагестан, по уточненному бюджету на 2021 год, составляет 7,07 % (3 167 397,7 тыс. рублей) к утвержденному объему налоговых и неналоговых доходов консолидированного бюджета Республики Дагестан (44 782 027,2 тыс. рублей), или на 2,63 </w:t>
      </w:r>
      <w:bookmarkStart w:id="10" w:name="_Hlk41576802"/>
      <w:r w:rsidRPr="002E77B5">
        <w:rPr>
          <w:rFonts w:ascii="Times New Roman" w:eastAsia="Times New Roman" w:hAnsi="Times New Roman" w:cs="Times New Roman"/>
          <w:sz w:val="28"/>
          <w:szCs w:val="28"/>
          <w:lang w:eastAsia="ru-RU"/>
        </w:rPr>
        <w:t>процентного пункта</w:t>
      </w:r>
      <w:bookmarkEnd w:id="10"/>
      <w:r w:rsidRPr="002E77B5">
        <w:rPr>
          <w:rFonts w:ascii="Times New Roman" w:eastAsia="Times New Roman" w:hAnsi="Times New Roman" w:cs="Times New Roman"/>
          <w:sz w:val="28"/>
          <w:szCs w:val="28"/>
          <w:lang w:eastAsia="ru-RU"/>
        </w:rPr>
        <w:t xml:space="preserve"> меньше утвержденного норматива.</w:t>
      </w:r>
    </w:p>
    <w:p w14:paraId="461EC1C2" w14:textId="77777777" w:rsidR="00EC2FB5" w:rsidRPr="002E77B5" w:rsidRDefault="00EC2FB5" w:rsidP="00EC2FB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77B5">
        <w:rPr>
          <w:rFonts w:ascii="Times New Roman" w:eastAsia="Times New Roman" w:hAnsi="Times New Roman" w:cs="Times New Roman"/>
          <w:sz w:val="28"/>
          <w:szCs w:val="28"/>
          <w:lang w:eastAsia="ru-RU"/>
        </w:rPr>
        <w:t>Фактически при исполнении консолидированного бюджета Республики Дагестан за 2021 год норматив формирования расходов на содержание органов государственной власти Республики Дагестан составил 6,86 % (3 064 192,0 тыс. рублей) к объему поступивших налоговых и неналоговых доходов консолидированного бюджета Республики Дагестан, за исключением доходов от акцизов на автомобильный бензин, прямогонный бензин, дизельное топливо, моторные масла, транспортного налога и доходов от денежных взысканий (штрафов) за нарушение законодательства Российской Федерации о безопасности дорожного движения 44 670 848,0 тыс. рублей), что на 2,84 процентного пункта меньше утвержденного норматива.</w:t>
      </w:r>
    </w:p>
    <w:p w14:paraId="24FC1C6D" w14:textId="77777777" w:rsidR="00EC2FB5" w:rsidRPr="0009161D" w:rsidRDefault="00EC2FB5" w:rsidP="00EC2FB5"/>
    <w:p w14:paraId="1374FE72" w14:textId="77777777" w:rsidR="00EC2FB5" w:rsidRDefault="00EC2FB5" w:rsidP="00EC2FB5">
      <w:pPr>
        <w:spacing w:after="0" w:line="320" w:lineRule="exact"/>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lastRenderedPageBreak/>
        <w:t>4.</w:t>
      </w:r>
      <w:r>
        <w:rPr>
          <w:rFonts w:ascii="Times New Roman" w:eastAsia="Times New Roman" w:hAnsi="Times New Roman" w:cs="Times New Roman"/>
          <w:b/>
          <w:color w:val="002060"/>
          <w:sz w:val="28"/>
          <w:szCs w:val="28"/>
          <w:lang w:eastAsia="ru-RU"/>
        </w:rPr>
        <w:t xml:space="preserve"> Анализ исполнения </w:t>
      </w:r>
    </w:p>
    <w:p w14:paraId="0A5222E6" w14:textId="77777777" w:rsidR="00EC2FB5" w:rsidRDefault="00EC2FB5" w:rsidP="00EC2FB5">
      <w:pPr>
        <w:spacing w:after="0" w:line="32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t>республиканского бюджета Республики Дагестан</w:t>
      </w:r>
    </w:p>
    <w:p w14:paraId="0C118FF9" w14:textId="77777777" w:rsidR="00EC2FB5" w:rsidRDefault="00EC2FB5" w:rsidP="00EC2FB5">
      <w:pPr>
        <w:widowControl w:val="0"/>
        <w:autoSpaceDE w:val="0"/>
        <w:autoSpaceDN w:val="0"/>
        <w:adjustRightInd w:val="0"/>
        <w:spacing w:after="0" w:line="320" w:lineRule="exact"/>
        <w:jc w:val="center"/>
        <w:rPr>
          <w:rFonts w:ascii="Times New Roman" w:eastAsia="Times New Roman" w:hAnsi="Times New Roman" w:cs="Times New Roman"/>
          <w:b/>
          <w:color w:val="002060"/>
          <w:sz w:val="28"/>
          <w:szCs w:val="28"/>
          <w:lang w:eastAsia="ru-RU"/>
        </w:rPr>
      </w:pPr>
    </w:p>
    <w:p w14:paraId="18CD02B3" w14:textId="77777777" w:rsidR="00EC2FB5" w:rsidRPr="00DB7D7C" w:rsidRDefault="00EC2FB5" w:rsidP="00EC2FB5">
      <w:pPr>
        <w:widowControl w:val="0"/>
        <w:autoSpaceDE w:val="0"/>
        <w:autoSpaceDN w:val="0"/>
        <w:adjustRightInd w:val="0"/>
        <w:spacing w:after="0" w:line="320" w:lineRule="exact"/>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 xml:space="preserve">4.1. Исполнение доходной части </w:t>
      </w:r>
    </w:p>
    <w:p w14:paraId="0BED4C32" w14:textId="77777777" w:rsidR="00EC2FB5" w:rsidRPr="00DB7D7C" w:rsidRDefault="00EC2FB5" w:rsidP="00EC2FB5">
      <w:pPr>
        <w:widowControl w:val="0"/>
        <w:autoSpaceDE w:val="0"/>
        <w:autoSpaceDN w:val="0"/>
        <w:adjustRightInd w:val="0"/>
        <w:spacing w:after="0" w:line="320" w:lineRule="exact"/>
        <w:jc w:val="center"/>
        <w:rPr>
          <w:rFonts w:ascii="Times New Roman" w:eastAsia="Times New Roman" w:hAnsi="Times New Roman" w:cs="Times New Roman"/>
          <w:b/>
          <w:color w:val="002060"/>
          <w:sz w:val="28"/>
          <w:szCs w:val="28"/>
          <w:lang w:eastAsia="ru-RU"/>
        </w:rPr>
      </w:pPr>
      <w:r w:rsidRPr="00DB7D7C">
        <w:rPr>
          <w:rFonts w:ascii="Times New Roman" w:eastAsia="Times New Roman" w:hAnsi="Times New Roman" w:cs="Times New Roman"/>
          <w:b/>
          <w:color w:val="002060"/>
          <w:sz w:val="28"/>
          <w:szCs w:val="28"/>
          <w:lang w:eastAsia="ru-RU"/>
        </w:rPr>
        <w:t xml:space="preserve">республиканского бюджета Республики Дагестан </w:t>
      </w:r>
    </w:p>
    <w:p w14:paraId="1D850EB8" w14:textId="149265B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CD3FDAE" w14:textId="77777777" w:rsidR="00A922B4" w:rsidRPr="00A922B4" w:rsidRDefault="00A922B4" w:rsidP="00A922B4">
      <w:pPr>
        <w:spacing w:after="0" w:line="240" w:lineRule="auto"/>
        <w:ind w:firstLine="540"/>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Законом Республики Дагестан от 28 декабря 2020 года № 103 </w:t>
      </w:r>
      <w:r w:rsidRPr="00A922B4">
        <w:rPr>
          <w:rFonts w:ascii="Times New Roman" w:eastAsia="Times New Roman" w:hAnsi="Times New Roman" w:cs="Times New Roman"/>
          <w:sz w:val="28"/>
          <w:szCs w:val="28"/>
          <w:lang w:eastAsia="ru-RU"/>
        </w:rPr>
        <w:br/>
        <w:t>«О республиканском бюджете Республики Дагестан на 2021 год и плановый период 2022 и 2023 годов» доходы республиканского бюджета Республики Дагестан были утверждены в объеме 153 328 973,8 тыс. рублей, в том числе:</w:t>
      </w:r>
    </w:p>
    <w:p w14:paraId="3BB7BE60"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межбюджетные трансферты, получаемых из федерального бюджета – </w:t>
      </w:r>
      <w:r w:rsidRPr="00A922B4">
        <w:rPr>
          <w:rFonts w:ascii="Times New Roman" w:eastAsia="Times New Roman" w:hAnsi="Times New Roman" w:cs="Times New Roman"/>
          <w:sz w:val="28"/>
          <w:szCs w:val="28"/>
          <w:lang w:eastAsia="ru-RU"/>
        </w:rPr>
        <w:br/>
        <w:t xml:space="preserve">114 949 767,4 тыс. рублей; </w:t>
      </w:r>
    </w:p>
    <w:p w14:paraId="130F2B4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налоговые и неналоговые доходы – 38 379 206,4 </w:t>
      </w:r>
      <w:r w:rsidRPr="00A922B4">
        <w:rPr>
          <w:rFonts w:ascii="Times New Roman" w:eastAsia="Times New Roman" w:hAnsi="Times New Roman" w:cs="Times New Roman"/>
          <w:sz w:val="28"/>
          <w:szCs w:val="28"/>
          <w:lang w:eastAsia="ru-RU"/>
        </w:rPr>
        <w:t xml:space="preserve">‬ тыс. рублей. </w:t>
      </w:r>
    </w:p>
    <w:p w14:paraId="47FB80A2"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С учетом изменений, внесенных в республиканский бюджет Республики Дагестан в ходе его исполнения в течение финансового года, общий объем доходов республиканского бюджета Республики Дагестан был утвержден в сумме 171 990 429,0 тыс. рублей, в том числе:</w:t>
      </w:r>
    </w:p>
    <w:p w14:paraId="168291C8"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безвозмездные поступления (межбюджетные трансферты из федерального бюджета) – 130 757 607,0 тыс. рублей; </w:t>
      </w:r>
    </w:p>
    <w:p w14:paraId="2A1F71B6"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налоговые и неналоговые доходы – 41 232 822,0 тыс. рублей.</w:t>
      </w:r>
    </w:p>
    <w:p w14:paraId="135A149C"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Доходы республиканского бюджета Республики Дагестан на 2021 год приведены в следующей таблице.</w:t>
      </w:r>
    </w:p>
    <w:p w14:paraId="01D54EB6" w14:textId="77777777" w:rsidR="00A922B4" w:rsidRPr="00A922B4" w:rsidRDefault="00A922B4" w:rsidP="00A922B4">
      <w:pPr>
        <w:spacing w:after="0" w:line="240" w:lineRule="auto"/>
        <w:jc w:val="right"/>
        <w:rPr>
          <w:rFonts w:ascii="Times New Roman" w:eastAsia="Times New Roman" w:hAnsi="Times New Roman" w:cs="Times New Roman"/>
          <w:b/>
          <w:color w:val="002060"/>
          <w:sz w:val="24"/>
          <w:szCs w:val="24"/>
          <w:lang w:val="en-US" w:eastAsia="ru-RU"/>
        </w:rPr>
      </w:pPr>
      <w:r w:rsidRPr="00A922B4">
        <w:rPr>
          <w:rFonts w:ascii="Times New Roman" w:eastAsia="Times New Roman" w:hAnsi="Times New Roman" w:cs="Times New Roman"/>
          <w:b/>
          <w:color w:val="002060"/>
          <w:sz w:val="24"/>
          <w:szCs w:val="24"/>
          <w:lang w:eastAsia="ru-RU"/>
        </w:rPr>
        <w:t>тыс. рублей</w:t>
      </w:r>
    </w:p>
    <w:tbl>
      <w:tblPr>
        <w:tblW w:w="95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1"/>
        <w:gridCol w:w="1701"/>
        <w:gridCol w:w="1701"/>
        <w:gridCol w:w="1418"/>
        <w:gridCol w:w="850"/>
      </w:tblGrid>
      <w:tr w:rsidR="00A922B4" w:rsidRPr="00A922B4" w14:paraId="688A8667" w14:textId="77777777" w:rsidTr="00545B6E">
        <w:trPr>
          <w:trHeight w:val="408"/>
        </w:trPr>
        <w:tc>
          <w:tcPr>
            <w:tcW w:w="3871" w:type="dxa"/>
            <w:vMerge w:val="restart"/>
            <w:shd w:val="clear" w:color="auto" w:fill="DBE5F1"/>
            <w:vAlign w:val="center"/>
          </w:tcPr>
          <w:p w14:paraId="6F394BC5" w14:textId="77777777" w:rsidR="00A922B4" w:rsidRPr="00A922B4" w:rsidRDefault="00A922B4" w:rsidP="00A922B4">
            <w:pPr>
              <w:spacing w:after="0" w:line="240" w:lineRule="auto"/>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Показатели</w:t>
            </w:r>
          </w:p>
        </w:tc>
        <w:tc>
          <w:tcPr>
            <w:tcW w:w="3402" w:type="dxa"/>
            <w:gridSpan w:val="2"/>
            <w:shd w:val="clear" w:color="auto" w:fill="DBE5F1"/>
            <w:vAlign w:val="center"/>
          </w:tcPr>
          <w:p w14:paraId="041CB27E" w14:textId="77777777" w:rsidR="00A922B4" w:rsidRPr="00A922B4" w:rsidRDefault="00A922B4" w:rsidP="00A922B4">
            <w:pPr>
              <w:spacing w:after="0" w:line="240" w:lineRule="auto"/>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Доходы республиканского бюджета РД на 2021 год</w:t>
            </w:r>
          </w:p>
        </w:tc>
        <w:tc>
          <w:tcPr>
            <w:tcW w:w="2268" w:type="dxa"/>
            <w:gridSpan w:val="2"/>
            <w:shd w:val="clear" w:color="auto" w:fill="DBE5F1"/>
            <w:vAlign w:val="center"/>
          </w:tcPr>
          <w:p w14:paraId="5BF841CC" w14:textId="77777777" w:rsidR="00A922B4" w:rsidRPr="00A922B4" w:rsidRDefault="00A922B4" w:rsidP="00A922B4">
            <w:pPr>
              <w:spacing w:after="0" w:line="240" w:lineRule="auto"/>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 xml:space="preserve">Отклонения </w:t>
            </w:r>
          </w:p>
          <w:p w14:paraId="5E010786" w14:textId="77777777" w:rsidR="00A922B4" w:rsidRPr="00A922B4" w:rsidRDefault="00A922B4" w:rsidP="00A922B4">
            <w:pPr>
              <w:spacing w:after="0" w:line="240" w:lineRule="auto"/>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(гр. 3 - /гр. 2)</w:t>
            </w:r>
          </w:p>
        </w:tc>
      </w:tr>
      <w:tr w:rsidR="00A922B4" w:rsidRPr="00A922B4" w14:paraId="35D84CF3" w14:textId="77777777" w:rsidTr="00545B6E">
        <w:trPr>
          <w:trHeight w:val="444"/>
        </w:trPr>
        <w:tc>
          <w:tcPr>
            <w:tcW w:w="3871" w:type="dxa"/>
            <w:vMerge/>
            <w:shd w:val="clear" w:color="auto" w:fill="DBE5F1"/>
            <w:vAlign w:val="center"/>
          </w:tcPr>
          <w:p w14:paraId="25531EBF" w14:textId="77777777" w:rsidR="00A922B4" w:rsidRPr="00A922B4" w:rsidRDefault="00A922B4" w:rsidP="00A922B4">
            <w:pPr>
              <w:spacing w:after="0" w:line="240" w:lineRule="auto"/>
              <w:rPr>
                <w:rFonts w:ascii="Times New Roman" w:eastAsia="Times New Roman" w:hAnsi="Times New Roman" w:cs="Times New Roman"/>
                <w:b/>
                <w:sz w:val="24"/>
                <w:szCs w:val="24"/>
                <w:lang w:eastAsia="ru-RU"/>
              </w:rPr>
            </w:pPr>
          </w:p>
        </w:tc>
        <w:tc>
          <w:tcPr>
            <w:tcW w:w="1701" w:type="dxa"/>
            <w:shd w:val="clear" w:color="auto" w:fill="DBE5F1"/>
            <w:vAlign w:val="center"/>
          </w:tcPr>
          <w:p w14:paraId="00CF4C7F" w14:textId="77777777" w:rsidR="00A922B4" w:rsidRPr="00A922B4" w:rsidRDefault="00A922B4" w:rsidP="00A922B4">
            <w:pPr>
              <w:spacing w:after="0" w:line="240" w:lineRule="auto"/>
              <w:ind w:left="-113"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первоначальные назначения</w:t>
            </w:r>
          </w:p>
        </w:tc>
        <w:tc>
          <w:tcPr>
            <w:tcW w:w="1701" w:type="dxa"/>
            <w:shd w:val="clear" w:color="auto" w:fill="DBE5F1"/>
            <w:vAlign w:val="center"/>
          </w:tcPr>
          <w:p w14:paraId="2BB66613" w14:textId="77777777" w:rsidR="00A922B4" w:rsidRPr="00A922B4" w:rsidRDefault="00A922B4" w:rsidP="00A922B4">
            <w:pPr>
              <w:spacing w:after="0" w:line="240" w:lineRule="auto"/>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 xml:space="preserve">уточненные назначения </w:t>
            </w:r>
          </w:p>
        </w:tc>
        <w:tc>
          <w:tcPr>
            <w:tcW w:w="1418" w:type="dxa"/>
            <w:shd w:val="clear" w:color="auto" w:fill="DBE5F1"/>
            <w:vAlign w:val="center"/>
          </w:tcPr>
          <w:p w14:paraId="0F76BAC0"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 -</w:t>
            </w:r>
          </w:p>
        </w:tc>
        <w:tc>
          <w:tcPr>
            <w:tcW w:w="850" w:type="dxa"/>
            <w:shd w:val="clear" w:color="auto" w:fill="DBE5F1"/>
            <w:vAlign w:val="center"/>
          </w:tcPr>
          <w:p w14:paraId="58E7208B" w14:textId="77777777" w:rsidR="00A922B4" w:rsidRPr="00A922B4" w:rsidRDefault="00A922B4" w:rsidP="00A922B4">
            <w:pPr>
              <w:spacing w:after="0" w:line="240" w:lineRule="auto"/>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w:t>
            </w:r>
          </w:p>
        </w:tc>
      </w:tr>
      <w:tr w:rsidR="00A922B4" w:rsidRPr="00A922B4" w14:paraId="2779CD3E" w14:textId="77777777" w:rsidTr="00545B6E">
        <w:trPr>
          <w:trHeight w:val="166"/>
        </w:trPr>
        <w:tc>
          <w:tcPr>
            <w:tcW w:w="3871" w:type="dxa"/>
            <w:shd w:val="clear" w:color="auto" w:fill="DBE5F1"/>
            <w:vAlign w:val="center"/>
          </w:tcPr>
          <w:p w14:paraId="460CDD58" w14:textId="77777777" w:rsidR="00A922B4" w:rsidRPr="00A922B4" w:rsidRDefault="00A922B4" w:rsidP="00A922B4">
            <w:pPr>
              <w:spacing w:after="0" w:line="240" w:lineRule="auto"/>
              <w:jc w:val="center"/>
              <w:rPr>
                <w:rFonts w:ascii="Times New Roman" w:eastAsia="Times New Roman" w:hAnsi="Times New Roman" w:cs="Times New Roman"/>
                <w:bCs/>
                <w:sz w:val="24"/>
                <w:szCs w:val="24"/>
                <w:lang w:eastAsia="ru-RU"/>
              </w:rPr>
            </w:pPr>
            <w:r w:rsidRPr="00A922B4">
              <w:rPr>
                <w:rFonts w:ascii="Times New Roman" w:eastAsia="Times New Roman" w:hAnsi="Times New Roman" w:cs="Times New Roman"/>
                <w:bCs/>
                <w:sz w:val="24"/>
                <w:szCs w:val="24"/>
                <w:lang w:eastAsia="ru-RU"/>
              </w:rPr>
              <w:t>1</w:t>
            </w:r>
          </w:p>
        </w:tc>
        <w:tc>
          <w:tcPr>
            <w:tcW w:w="1701" w:type="dxa"/>
            <w:shd w:val="clear" w:color="auto" w:fill="DBE5F1"/>
            <w:vAlign w:val="center"/>
          </w:tcPr>
          <w:p w14:paraId="7694555A" w14:textId="77777777" w:rsidR="00A922B4" w:rsidRPr="00A922B4" w:rsidRDefault="00A922B4" w:rsidP="00A922B4">
            <w:pPr>
              <w:spacing w:after="0" w:line="240" w:lineRule="auto"/>
              <w:jc w:val="center"/>
              <w:rPr>
                <w:rFonts w:ascii="Times New Roman" w:eastAsia="Times New Roman" w:hAnsi="Times New Roman" w:cs="Times New Roman"/>
                <w:bCs/>
                <w:sz w:val="24"/>
                <w:szCs w:val="24"/>
                <w:lang w:eastAsia="ru-RU"/>
              </w:rPr>
            </w:pPr>
            <w:r w:rsidRPr="00A922B4">
              <w:rPr>
                <w:rFonts w:ascii="Times New Roman" w:eastAsia="Times New Roman" w:hAnsi="Times New Roman" w:cs="Times New Roman"/>
                <w:bCs/>
                <w:sz w:val="24"/>
                <w:szCs w:val="24"/>
                <w:lang w:eastAsia="ru-RU"/>
              </w:rPr>
              <w:t>2</w:t>
            </w:r>
          </w:p>
        </w:tc>
        <w:tc>
          <w:tcPr>
            <w:tcW w:w="1701" w:type="dxa"/>
            <w:shd w:val="clear" w:color="auto" w:fill="DBE5F1"/>
            <w:vAlign w:val="center"/>
          </w:tcPr>
          <w:p w14:paraId="339B5C7A" w14:textId="77777777" w:rsidR="00A922B4" w:rsidRPr="00A922B4" w:rsidRDefault="00A922B4" w:rsidP="00A922B4">
            <w:pPr>
              <w:spacing w:after="0" w:line="240" w:lineRule="auto"/>
              <w:jc w:val="center"/>
              <w:rPr>
                <w:rFonts w:ascii="Times New Roman" w:eastAsia="Times New Roman" w:hAnsi="Times New Roman" w:cs="Times New Roman"/>
                <w:bCs/>
                <w:sz w:val="24"/>
                <w:szCs w:val="24"/>
                <w:lang w:eastAsia="ru-RU"/>
              </w:rPr>
            </w:pPr>
            <w:r w:rsidRPr="00A922B4">
              <w:rPr>
                <w:rFonts w:ascii="Times New Roman" w:eastAsia="Times New Roman" w:hAnsi="Times New Roman" w:cs="Times New Roman"/>
                <w:bCs/>
                <w:sz w:val="24"/>
                <w:szCs w:val="24"/>
                <w:lang w:eastAsia="ru-RU"/>
              </w:rPr>
              <w:t>3</w:t>
            </w:r>
          </w:p>
        </w:tc>
        <w:tc>
          <w:tcPr>
            <w:tcW w:w="1418" w:type="dxa"/>
            <w:shd w:val="clear" w:color="auto" w:fill="DBE5F1"/>
            <w:vAlign w:val="center"/>
          </w:tcPr>
          <w:p w14:paraId="6A3774AE" w14:textId="77777777" w:rsidR="00A922B4" w:rsidRPr="00A922B4" w:rsidRDefault="00A922B4" w:rsidP="00A922B4">
            <w:pPr>
              <w:spacing w:after="0" w:line="240" w:lineRule="auto"/>
              <w:ind w:left="-57" w:right="-57"/>
              <w:jc w:val="center"/>
              <w:rPr>
                <w:rFonts w:ascii="Times New Roman" w:eastAsia="Times New Roman" w:hAnsi="Times New Roman" w:cs="Times New Roman"/>
                <w:bCs/>
                <w:sz w:val="24"/>
                <w:szCs w:val="24"/>
                <w:lang w:eastAsia="ru-RU"/>
              </w:rPr>
            </w:pPr>
            <w:r w:rsidRPr="00A922B4">
              <w:rPr>
                <w:rFonts w:ascii="Times New Roman" w:eastAsia="Times New Roman" w:hAnsi="Times New Roman" w:cs="Times New Roman"/>
                <w:bCs/>
                <w:sz w:val="24"/>
                <w:szCs w:val="24"/>
                <w:lang w:eastAsia="ru-RU"/>
              </w:rPr>
              <w:t>4</w:t>
            </w:r>
          </w:p>
        </w:tc>
        <w:tc>
          <w:tcPr>
            <w:tcW w:w="850" w:type="dxa"/>
            <w:shd w:val="clear" w:color="auto" w:fill="DBE5F1"/>
            <w:vAlign w:val="center"/>
          </w:tcPr>
          <w:p w14:paraId="6C843889" w14:textId="77777777" w:rsidR="00A922B4" w:rsidRPr="00A922B4" w:rsidRDefault="00A922B4" w:rsidP="00A922B4">
            <w:pPr>
              <w:spacing w:after="0" w:line="240" w:lineRule="auto"/>
              <w:jc w:val="center"/>
              <w:rPr>
                <w:rFonts w:ascii="Times New Roman" w:eastAsia="Times New Roman" w:hAnsi="Times New Roman" w:cs="Times New Roman"/>
                <w:bCs/>
                <w:sz w:val="24"/>
                <w:szCs w:val="24"/>
                <w:lang w:eastAsia="ru-RU"/>
              </w:rPr>
            </w:pPr>
            <w:r w:rsidRPr="00A922B4">
              <w:rPr>
                <w:rFonts w:ascii="Times New Roman" w:eastAsia="Times New Roman" w:hAnsi="Times New Roman" w:cs="Times New Roman"/>
                <w:bCs/>
                <w:sz w:val="24"/>
                <w:szCs w:val="24"/>
                <w:lang w:eastAsia="ru-RU"/>
              </w:rPr>
              <w:t>5</w:t>
            </w:r>
          </w:p>
        </w:tc>
      </w:tr>
      <w:tr w:rsidR="00A922B4" w:rsidRPr="00A922B4" w14:paraId="6B33D3DA" w14:textId="77777777" w:rsidTr="00545B6E">
        <w:trPr>
          <w:trHeight w:val="300"/>
        </w:trPr>
        <w:tc>
          <w:tcPr>
            <w:tcW w:w="3871" w:type="dxa"/>
            <w:shd w:val="clear" w:color="auto" w:fill="FFFFFF"/>
            <w:vAlign w:val="center"/>
          </w:tcPr>
          <w:p w14:paraId="06C3858A" w14:textId="77777777" w:rsidR="00A922B4" w:rsidRPr="00A922B4" w:rsidRDefault="00A922B4" w:rsidP="00A922B4">
            <w:pPr>
              <w:spacing w:after="0" w:line="240" w:lineRule="auto"/>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Доходы, всего</w:t>
            </w:r>
          </w:p>
        </w:tc>
        <w:tc>
          <w:tcPr>
            <w:tcW w:w="1701" w:type="dxa"/>
            <w:shd w:val="clear" w:color="000000" w:fill="FFFFFF"/>
            <w:vAlign w:val="center"/>
          </w:tcPr>
          <w:p w14:paraId="15E6B396"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153 328 973,8</w:t>
            </w:r>
          </w:p>
        </w:tc>
        <w:tc>
          <w:tcPr>
            <w:tcW w:w="1701" w:type="dxa"/>
            <w:tcBorders>
              <w:left w:val="nil"/>
            </w:tcBorders>
            <w:shd w:val="clear" w:color="000000" w:fill="FFFFFF"/>
            <w:vAlign w:val="center"/>
          </w:tcPr>
          <w:p w14:paraId="4E843AA9"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171 990 429,0</w:t>
            </w:r>
          </w:p>
        </w:tc>
        <w:tc>
          <w:tcPr>
            <w:tcW w:w="1418" w:type="dxa"/>
            <w:tcBorders>
              <w:left w:val="nil"/>
            </w:tcBorders>
            <w:shd w:val="clear" w:color="000000" w:fill="FFFFFF"/>
            <w:vAlign w:val="center"/>
          </w:tcPr>
          <w:p w14:paraId="41CB55F0"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18 661 455,2</w:t>
            </w:r>
          </w:p>
        </w:tc>
        <w:tc>
          <w:tcPr>
            <w:tcW w:w="850" w:type="dxa"/>
            <w:tcBorders>
              <w:left w:val="nil"/>
            </w:tcBorders>
            <w:shd w:val="clear" w:color="000000" w:fill="FFFFFF"/>
            <w:vAlign w:val="center"/>
          </w:tcPr>
          <w:p w14:paraId="30ACAB49"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112,2</w:t>
            </w:r>
          </w:p>
        </w:tc>
      </w:tr>
      <w:tr w:rsidR="00A922B4" w:rsidRPr="00A922B4" w14:paraId="68ABDD24" w14:textId="77777777" w:rsidTr="00545B6E">
        <w:trPr>
          <w:trHeight w:val="170"/>
        </w:trPr>
        <w:tc>
          <w:tcPr>
            <w:tcW w:w="3871" w:type="dxa"/>
            <w:shd w:val="clear" w:color="auto" w:fill="FFFFFF"/>
            <w:vAlign w:val="center"/>
          </w:tcPr>
          <w:p w14:paraId="3E534536" w14:textId="77777777" w:rsidR="00A922B4" w:rsidRPr="00A922B4" w:rsidRDefault="00A922B4" w:rsidP="00A922B4">
            <w:pPr>
              <w:spacing w:after="0" w:line="240" w:lineRule="auto"/>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в том числе:</w:t>
            </w:r>
          </w:p>
        </w:tc>
        <w:tc>
          <w:tcPr>
            <w:tcW w:w="1701" w:type="dxa"/>
            <w:tcBorders>
              <w:top w:val="nil"/>
            </w:tcBorders>
            <w:shd w:val="clear" w:color="000000" w:fill="FFFFFF"/>
            <w:vAlign w:val="center"/>
          </w:tcPr>
          <w:p w14:paraId="1B92FB91" w14:textId="77777777" w:rsidR="00A922B4" w:rsidRPr="00A922B4" w:rsidRDefault="00A922B4" w:rsidP="00A922B4">
            <w:pPr>
              <w:spacing w:after="0" w:line="240" w:lineRule="auto"/>
              <w:jc w:val="center"/>
              <w:rPr>
                <w:rFonts w:ascii="Times New Roman" w:eastAsia="Times New Roman" w:hAnsi="Times New Roman" w:cs="Times New Roman"/>
                <w:color w:val="000000"/>
                <w:sz w:val="24"/>
                <w:szCs w:val="24"/>
                <w:lang w:eastAsia="ru-RU"/>
              </w:rPr>
            </w:pPr>
          </w:p>
        </w:tc>
        <w:tc>
          <w:tcPr>
            <w:tcW w:w="1701" w:type="dxa"/>
            <w:tcBorders>
              <w:top w:val="nil"/>
              <w:left w:val="nil"/>
            </w:tcBorders>
            <w:shd w:val="clear" w:color="000000" w:fill="FFFFFF"/>
            <w:vAlign w:val="center"/>
          </w:tcPr>
          <w:p w14:paraId="70C9A012" w14:textId="77777777" w:rsidR="00A922B4" w:rsidRPr="00A922B4" w:rsidRDefault="00A922B4" w:rsidP="00A922B4">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top w:val="nil"/>
              <w:left w:val="nil"/>
            </w:tcBorders>
            <w:shd w:val="clear" w:color="000000" w:fill="FFFFFF"/>
            <w:vAlign w:val="center"/>
          </w:tcPr>
          <w:p w14:paraId="020ECDCD" w14:textId="77777777" w:rsidR="00A922B4" w:rsidRPr="00A922B4" w:rsidRDefault="00A922B4" w:rsidP="00A922B4">
            <w:pPr>
              <w:spacing w:after="0" w:line="240" w:lineRule="auto"/>
              <w:jc w:val="center"/>
              <w:rPr>
                <w:rFonts w:ascii="Times New Roman" w:eastAsia="Times New Roman" w:hAnsi="Times New Roman" w:cs="Times New Roman"/>
                <w:color w:val="000000"/>
                <w:sz w:val="24"/>
                <w:szCs w:val="24"/>
                <w:lang w:eastAsia="ru-RU"/>
              </w:rPr>
            </w:pPr>
          </w:p>
        </w:tc>
        <w:tc>
          <w:tcPr>
            <w:tcW w:w="850" w:type="dxa"/>
            <w:tcBorders>
              <w:top w:val="nil"/>
              <w:left w:val="nil"/>
            </w:tcBorders>
            <w:shd w:val="clear" w:color="000000" w:fill="FFFFFF"/>
            <w:vAlign w:val="center"/>
          </w:tcPr>
          <w:p w14:paraId="0CF9DD4F" w14:textId="77777777" w:rsidR="00A922B4" w:rsidRPr="00A922B4" w:rsidRDefault="00A922B4" w:rsidP="00A922B4">
            <w:pPr>
              <w:spacing w:after="0" w:line="240" w:lineRule="auto"/>
              <w:jc w:val="center"/>
              <w:rPr>
                <w:rFonts w:ascii="Times New Roman" w:eastAsia="Times New Roman" w:hAnsi="Times New Roman" w:cs="Times New Roman"/>
                <w:color w:val="000000"/>
                <w:sz w:val="24"/>
                <w:szCs w:val="24"/>
                <w:lang w:eastAsia="ru-RU"/>
              </w:rPr>
            </w:pPr>
          </w:p>
        </w:tc>
      </w:tr>
      <w:tr w:rsidR="00A922B4" w:rsidRPr="00A922B4" w14:paraId="0B712F56" w14:textId="77777777" w:rsidTr="00545B6E">
        <w:trPr>
          <w:trHeight w:val="415"/>
        </w:trPr>
        <w:tc>
          <w:tcPr>
            <w:tcW w:w="3871" w:type="dxa"/>
            <w:shd w:val="clear" w:color="auto" w:fill="FFFFFF"/>
            <w:vAlign w:val="center"/>
          </w:tcPr>
          <w:p w14:paraId="244F9CD1" w14:textId="77777777" w:rsidR="00A922B4" w:rsidRPr="00A922B4" w:rsidRDefault="00A922B4" w:rsidP="00A922B4">
            <w:pPr>
              <w:spacing w:after="0" w:line="240" w:lineRule="auto"/>
              <w:rPr>
                <w:rFonts w:ascii="Times New Roman" w:eastAsia="Times New Roman" w:hAnsi="Times New Roman" w:cs="Times New Roman"/>
                <w:b/>
                <w:bCs/>
                <w:i/>
                <w:iCs/>
                <w:sz w:val="24"/>
                <w:szCs w:val="24"/>
                <w:lang w:eastAsia="ru-RU"/>
              </w:rPr>
            </w:pPr>
            <w:r w:rsidRPr="00A922B4">
              <w:rPr>
                <w:rFonts w:ascii="Times New Roman" w:eastAsia="Times New Roman" w:hAnsi="Times New Roman" w:cs="Times New Roman"/>
                <w:b/>
                <w:bCs/>
                <w:i/>
                <w:iCs/>
                <w:sz w:val="24"/>
                <w:szCs w:val="24"/>
                <w:lang w:eastAsia="ru-RU"/>
              </w:rPr>
              <w:t>межбюджетные трансферты из федерального бюджета</w:t>
            </w:r>
          </w:p>
        </w:tc>
        <w:tc>
          <w:tcPr>
            <w:tcW w:w="1701" w:type="dxa"/>
            <w:tcBorders>
              <w:top w:val="nil"/>
            </w:tcBorders>
            <w:shd w:val="clear" w:color="000000" w:fill="FFFFFF"/>
            <w:vAlign w:val="center"/>
          </w:tcPr>
          <w:p w14:paraId="1D3FB3F4"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114 949 767,4</w:t>
            </w:r>
          </w:p>
        </w:tc>
        <w:tc>
          <w:tcPr>
            <w:tcW w:w="1701" w:type="dxa"/>
            <w:tcBorders>
              <w:top w:val="nil"/>
              <w:left w:val="nil"/>
            </w:tcBorders>
            <w:shd w:val="clear" w:color="000000" w:fill="FFFFFF"/>
            <w:vAlign w:val="center"/>
          </w:tcPr>
          <w:p w14:paraId="2FE749B2"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130 757 607,0</w:t>
            </w:r>
          </w:p>
        </w:tc>
        <w:tc>
          <w:tcPr>
            <w:tcW w:w="1418" w:type="dxa"/>
            <w:tcBorders>
              <w:top w:val="nil"/>
              <w:left w:val="nil"/>
            </w:tcBorders>
            <w:shd w:val="clear" w:color="000000" w:fill="FFFFFF"/>
            <w:vAlign w:val="center"/>
          </w:tcPr>
          <w:p w14:paraId="5702F207"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15 807 839,6</w:t>
            </w:r>
          </w:p>
        </w:tc>
        <w:tc>
          <w:tcPr>
            <w:tcW w:w="850" w:type="dxa"/>
            <w:tcBorders>
              <w:top w:val="nil"/>
              <w:left w:val="nil"/>
            </w:tcBorders>
            <w:shd w:val="clear" w:color="000000" w:fill="FFFFFF"/>
            <w:vAlign w:val="center"/>
          </w:tcPr>
          <w:p w14:paraId="270BD182"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113,8</w:t>
            </w:r>
          </w:p>
        </w:tc>
      </w:tr>
      <w:tr w:rsidR="00A922B4" w:rsidRPr="00A922B4" w14:paraId="7C21A54A" w14:textId="77777777" w:rsidTr="00545B6E">
        <w:trPr>
          <w:trHeight w:val="315"/>
        </w:trPr>
        <w:tc>
          <w:tcPr>
            <w:tcW w:w="3871" w:type="dxa"/>
            <w:shd w:val="clear" w:color="auto" w:fill="FFFFFF"/>
            <w:vAlign w:val="center"/>
          </w:tcPr>
          <w:p w14:paraId="1031B82F" w14:textId="77777777" w:rsidR="00A922B4" w:rsidRPr="00A922B4" w:rsidRDefault="00A922B4" w:rsidP="00A922B4">
            <w:pPr>
              <w:spacing w:after="0" w:line="240" w:lineRule="auto"/>
              <w:rPr>
                <w:rFonts w:ascii="Times New Roman" w:eastAsia="Times New Roman" w:hAnsi="Times New Roman" w:cs="Times New Roman"/>
                <w:b/>
                <w:bCs/>
                <w:i/>
                <w:iCs/>
                <w:sz w:val="24"/>
                <w:szCs w:val="24"/>
                <w:lang w:eastAsia="ru-RU"/>
              </w:rPr>
            </w:pPr>
            <w:bookmarkStart w:id="11" w:name="_Hlk6905193"/>
            <w:r w:rsidRPr="00A922B4">
              <w:rPr>
                <w:rFonts w:ascii="Times New Roman" w:eastAsia="Times New Roman" w:hAnsi="Times New Roman" w:cs="Times New Roman"/>
                <w:b/>
                <w:bCs/>
                <w:i/>
                <w:iCs/>
                <w:sz w:val="24"/>
                <w:szCs w:val="24"/>
                <w:lang w:eastAsia="ru-RU"/>
              </w:rPr>
              <w:t>налоговые и неналоговые доходы</w:t>
            </w:r>
          </w:p>
        </w:tc>
        <w:tc>
          <w:tcPr>
            <w:tcW w:w="1701" w:type="dxa"/>
            <w:tcBorders>
              <w:top w:val="nil"/>
            </w:tcBorders>
            <w:shd w:val="clear" w:color="000000" w:fill="FFFFFF"/>
            <w:vAlign w:val="center"/>
          </w:tcPr>
          <w:p w14:paraId="5E73908E"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38 379 206,4</w:t>
            </w:r>
          </w:p>
        </w:tc>
        <w:tc>
          <w:tcPr>
            <w:tcW w:w="1701" w:type="dxa"/>
            <w:tcBorders>
              <w:top w:val="nil"/>
              <w:left w:val="nil"/>
            </w:tcBorders>
            <w:shd w:val="clear" w:color="000000" w:fill="FFFFFF"/>
            <w:vAlign w:val="center"/>
          </w:tcPr>
          <w:p w14:paraId="127D7B3E"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41 232 822,0</w:t>
            </w:r>
          </w:p>
        </w:tc>
        <w:tc>
          <w:tcPr>
            <w:tcW w:w="1418" w:type="dxa"/>
            <w:tcBorders>
              <w:top w:val="nil"/>
              <w:left w:val="nil"/>
            </w:tcBorders>
            <w:shd w:val="clear" w:color="000000" w:fill="FFFFFF"/>
            <w:vAlign w:val="center"/>
          </w:tcPr>
          <w:p w14:paraId="72EDC353"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2 853 615,6</w:t>
            </w:r>
          </w:p>
        </w:tc>
        <w:tc>
          <w:tcPr>
            <w:tcW w:w="850" w:type="dxa"/>
            <w:tcBorders>
              <w:top w:val="nil"/>
              <w:left w:val="nil"/>
            </w:tcBorders>
            <w:shd w:val="clear" w:color="000000" w:fill="FFFFFF"/>
            <w:vAlign w:val="center"/>
          </w:tcPr>
          <w:p w14:paraId="266B4422" w14:textId="77777777" w:rsidR="00A922B4" w:rsidRPr="00A922B4" w:rsidRDefault="00A922B4" w:rsidP="00A922B4">
            <w:pPr>
              <w:spacing w:after="0" w:line="240" w:lineRule="auto"/>
              <w:ind w:left="-57" w:right="-57"/>
              <w:jc w:val="center"/>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107,4</w:t>
            </w:r>
          </w:p>
        </w:tc>
      </w:tr>
      <w:bookmarkEnd w:id="11"/>
    </w:tbl>
    <w:p w14:paraId="31CEF907" w14:textId="77777777" w:rsidR="00A922B4" w:rsidRPr="00A922B4" w:rsidRDefault="00A922B4" w:rsidP="00A922B4">
      <w:pPr>
        <w:spacing w:after="0" w:line="340" w:lineRule="exact"/>
        <w:ind w:firstLine="709"/>
        <w:jc w:val="both"/>
        <w:rPr>
          <w:rFonts w:ascii="Times New Roman" w:eastAsia="Times New Roman" w:hAnsi="Times New Roman" w:cs="Times New Roman"/>
          <w:sz w:val="28"/>
          <w:szCs w:val="28"/>
          <w:lang w:eastAsia="ru-RU"/>
        </w:rPr>
      </w:pPr>
    </w:p>
    <w:p w14:paraId="6C343FCE" w14:textId="77777777" w:rsidR="00A922B4" w:rsidRPr="00A922B4" w:rsidRDefault="00A922B4" w:rsidP="00A922B4">
      <w:pPr>
        <w:spacing w:after="0" w:line="240" w:lineRule="auto"/>
        <w:ind w:firstLine="709"/>
        <w:jc w:val="both"/>
        <w:outlineLvl w:val="3"/>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Утвержденные задания по доходам республиканского бюджета Республики Дагестан на 2021 год по сравнению с первоначально установленными значениями увеличились на 18 661 455,2,6 тыс. рублей, или </w:t>
      </w:r>
      <w:r w:rsidRPr="00A922B4">
        <w:rPr>
          <w:rFonts w:ascii="Times New Roman" w:eastAsia="Times New Roman" w:hAnsi="Times New Roman" w:cs="Times New Roman"/>
          <w:sz w:val="28"/>
          <w:szCs w:val="28"/>
          <w:lang w:eastAsia="ru-RU"/>
        </w:rPr>
        <w:br/>
        <w:t>на 12,2 %, в том числе объем межбюджетных трансфертов, получаемых из федерального бюджета, увеличился на 15 807 839,6 тыс. рублей, или на 13,8 %, налоговые и неналоговые доходы – на 2 853 615,6 тыс. рублей, или на 7,4 %.</w:t>
      </w:r>
    </w:p>
    <w:p w14:paraId="2B80BFDE"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данным годового отчета об исполнении республиканского бюджета Республики Дагестан доходы республиканского бюджета Республики Дагестан за 2021 год фактически составили 172 846 816,3 тыс. рублей, или </w:t>
      </w:r>
      <w:r w:rsidRPr="00A922B4">
        <w:rPr>
          <w:rFonts w:ascii="Times New Roman" w:eastAsia="Times New Roman" w:hAnsi="Times New Roman" w:cs="Times New Roman"/>
          <w:sz w:val="28"/>
          <w:szCs w:val="28"/>
          <w:lang w:eastAsia="ru-RU"/>
        </w:rPr>
        <w:lastRenderedPageBreak/>
        <w:t xml:space="preserve">100,5 % от утвержденных (уточненных) назначений (171 990 429,0 тыс. рублей), в том числе: </w:t>
      </w:r>
    </w:p>
    <w:p w14:paraId="054D6F35"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highlight w:val="yellow"/>
          <w:lang w:eastAsia="ru-RU"/>
        </w:rPr>
      </w:pPr>
      <w:r w:rsidRPr="00A922B4">
        <w:rPr>
          <w:rFonts w:ascii="Times New Roman" w:eastAsia="Times New Roman" w:hAnsi="Times New Roman" w:cs="Times New Roman"/>
          <w:sz w:val="28"/>
          <w:szCs w:val="28"/>
          <w:lang w:eastAsia="ru-RU"/>
        </w:rPr>
        <w:t>- безвозмездные поступления (межбюджетные трансферты, получаемые из федерального бюджета) – 131 112 300,6 тыс. рублей, или 100,3 % от уточненных назначений;</w:t>
      </w:r>
    </w:p>
    <w:p w14:paraId="06B009A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w:t>
      </w:r>
      <w:bookmarkStart w:id="12" w:name="_Hlk6916151"/>
      <w:r w:rsidRPr="00A922B4">
        <w:rPr>
          <w:rFonts w:ascii="Times New Roman" w:eastAsia="Times New Roman" w:hAnsi="Times New Roman" w:cs="Times New Roman"/>
          <w:sz w:val="28"/>
          <w:szCs w:val="28"/>
          <w:lang w:eastAsia="ru-RU"/>
        </w:rPr>
        <w:t xml:space="preserve">налоговые и неналоговые доходы </w:t>
      </w:r>
      <w:bookmarkEnd w:id="12"/>
      <w:r w:rsidRPr="00A922B4">
        <w:rPr>
          <w:rFonts w:ascii="Times New Roman" w:eastAsia="Times New Roman" w:hAnsi="Times New Roman" w:cs="Times New Roman"/>
          <w:sz w:val="28"/>
          <w:szCs w:val="28"/>
          <w:lang w:eastAsia="ru-RU"/>
        </w:rPr>
        <w:t xml:space="preserve">– 41 734 515,7 тыс. рублей, или </w:t>
      </w:r>
      <w:r w:rsidRPr="00A922B4">
        <w:rPr>
          <w:rFonts w:ascii="Times New Roman" w:eastAsia="Times New Roman" w:hAnsi="Times New Roman" w:cs="Times New Roman"/>
          <w:sz w:val="28"/>
          <w:szCs w:val="28"/>
          <w:lang w:eastAsia="ru-RU"/>
        </w:rPr>
        <w:br/>
        <w:t>101,2 % от уточненных назначений, в том числе налоговые доходы – 38 965 793,0 тыс. рублей (101,2%) и неналоговые доходы – 2 768 722,7 тыс. рублей (123,4 %).</w:t>
      </w:r>
    </w:p>
    <w:p w14:paraId="2A6E93B3" w14:textId="103132F0"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Дотационность республиканского бюджета </w:t>
      </w:r>
      <w:bookmarkStart w:id="13" w:name="_Hlk104564534"/>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w:t>
      </w:r>
      <w:bookmarkEnd w:id="13"/>
      <w:r w:rsidRPr="00A60AEE">
        <w:rPr>
          <w:rFonts w:ascii="Times New Roman" w:eastAsia="Times New Roman" w:hAnsi="Times New Roman" w:cs="Times New Roman"/>
          <w:sz w:val="28"/>
          <w:szCs w:val="28"/>
          <w:lang w:eastAsia="ru-RU"/>
        </w:rPr>
        <w:t>(дотация</w:t>
      </w:r>
      <w:r w:rsidRPr="00A922B4">
        <w:rPr>
          <w:rFonts w:ascii="Times New Roman" w:eastAsia="Times New Roman" w:hAnsi="Times New Roman" w:cs="Times New Roman"/>
          <w:sz w:val="28"/>
          <w:szCs w:val="28"/>
          <w:lang w:eastAsia="ru-RU"/>
        </w:rPr>
        <w:t xml:space="preserve"> к общим доходам без субвенции) за 2021 год составила 44,8 % против 47,9 % за 2020 год.</w:t>
      </w:r>
    </w:p>
    <w:p w14:paraId="6F24F990"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отношению к уровню 2020 года доходы республиканского бюджета Республики Дагестан увеличились на 3 173 487,2 тыс. рублей, или на 1,9 %, за счет увеличения поступлений налоговых и неналоговых доходов – на </w:t>
      </w:r>
      <w:r w:rsidRPr="00A922B4">
        <w:rPr>
          <w:rFonts w:ascii="Times New Roman" w:eastAsia="Times New Roman" w:hAnsi="Times New Roman" w:cs="Times New Roman"/>
          <w:sz w:val="28"/>
          <w:szCs w:val="28"/>
          <w:lang w:eastAsia="ru-RU"/>
        </w:rPr>
        <w:br/>
        <w:t>7 207 592,8 тыс. рублей, или на 20,9 %. При этом, объем безвозмездных поступлений уменьшился по отношению к уровню 2020 года на 4 034 105,6 тыс. рублей, или на 3 %.</w:t>
      </w:r>
    </w:p>
    <w:p w14:paraId="78870AB6" w14:textId="77777777" w:rsidR="00A922B4" w:rsidRPr="00A922B4" w:rsidRDefault="00A922B4" w:rsidP="00A922B4">
      <w:pPr>
        <w:spacing w:after="0" w:line="240" w:lineRule="auto"/>
        <w:ind w:firstLine="709"/>
        <w:jc w:val="both"/>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sz w:val="28"/>
          <w:szCs w:val="28"/>
          <w:lang w:eastAsia="ru-RU"/>
        </w:rPr>
        <w:t xml:space="preserve">Поступление доходов в республиканский бюджет Республики Дагестан за 2020-2021 годы приведена в следующей таблице. </w:t>
      </w:r>
    </w:p>
    <w:p w14:paraId="6FB2DCA1" w14:textId="77777777" w:rsidR="00A922B4" w:rsidRPr="00A922B4" w:rsidRDefault="00A922B4" w:rsidP="00A922B4">
      <w:pPr>
        <w:spacing w:before="120" w:after="0" w:line="240" w:lineRule="auto"/>
        <w:jc w:val="right"/>
        <w:rPr>
          <w:rFonts w:ascii="Times New Roman" w:eastAsia="Times New Roman" w:hAnsi="Times New Roman" w:cs="Times New Roman"/>
          <w:b/>
          <w:color w:val="002060"/>
          <w:sz w:val="24"/>
          <w:szCs w:val="24"/>
          <w:lang w:val="en-US" w:eastAsia="ru-RU"/>
        </w:rPr>
      </w:pPr>
      <w:r w:rsidRPr="00A922B4">
        <w:rPr>
          <w:rFonts w:ascii="Times New Roman" w:eastAsia="Times New Roman" w:hAnsi="Times New Roman" w:cs="Times New Roman"/>
          <w:b/>
          <w:color w:val="002060"/>
          <w:sz w:val="24"/>
          <w:szCs w:val="24"/>
          <w:lang w:eastAsia="ru-RU"/>
        </w:rPr>
        <w:t>тыс. рублей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276"/>
        <w:gridCol w:w="1275"/>
        <w:gridCol w:w="1276"/>
        <w:gridCol w:w="709"/>
        <w:gridCol w:w="1276"/>
        <w:gridCol w:w="708"/>
      </w:tblGrid>
      <w:tr w:rsidR="00A922B4" w:rsidRPr="00A922B4" w14:paraId="76EC6D45" w14:textId="77777777" w:rsidTr="00156793">
        <w:trPr>
          <w:trHeight w:val="332"/>
        </w:trPr>
        <w:tc>
          <w:tcPr>
            <w:tcW w:w="3119" w:type="dxa"/>
            <w:vMerge w:val="restart"/>
            <w:shd w:val="clear" w:color="auto" w:fill="D9E2F3" w:themeFill="accent1" w:themeFillTint="33"/>
          </w:tcPr>
          <w:p w14:paraId="3BC6F7B6"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sz w:val="24"/>
                <w:szCs w:val="24"/>
                <w:lang w:eastAsia="ru-RU"/>
              </w:rPr>
            </w:pPr>
          </w:p>
          <w:p w14:paraId="5B19D842"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Наименование показателя</w:t>
            </w:r>
          </w:p>
        </w:tc>
        <w:tc>
          <w:tcPr>
            <w:tcW w:w="1276" w:type="dxa"/>
            <w:vMerge w:val="restart"/>
            <w:shd w:val="clear" w:color="auto" w:fill="D9E2F3" w:themeFill="accent1" w:themeFillTint="33"/>
            <w:vAlign w:val="center"/>
          </w:tcPr>
          <w:p w14:paraId="098A3F56"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p>
          <w:p w14:paraId="17AC742D"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2020 год</w:t>
            </w:r>
          </w:p>
          <w:p w14:paraId="4DF1A316"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отчет</w:t>
            </w:r>
          </w:p>
        </w:tc>
        <w:tc>
          <w:tcPr>
            <w:tcW w:w="3260" w:type="dxa"/>
            <w:gridSpan w:val="3"/>
            <w:shd w:val="clear" w:color="auto" w:fill="D9E2F3" w:themeFill="accent1" w:themeFillTint="33"/>
            <w:vAlign w:val="center"/>
          </w:tcPr>
          <w:p w14:paraId="4A0A5A6F" w14:textId="77777777" w:rsidR="00A922B4" w:rsidRPr="00A922B4" w:rsidRDefault="00A922B4" w:rsidP="00A922B4">
            <w:pPr>
              <w:spacing w:after="0" w:line="240" w:lineRule="auto"/>
              <w:ind w:right="-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2021 год</w:t>
            </w:r>
          </w:p>
        </w:tc>
        <w:tc>
          <w:tcPr>
            <w:tcW w:w="1984" w:type="dxa"/>
            <w:gridSpan w:val="2"/>
            <w:shd w:val="clear" w:color="auto" w:fill="D9E2F3" w:themeFill="accent1" w:themeFillTint="33"/>
            <w:vAlign w:val="center"/>
          </w:tcPr>
          <w:p w14:paraId="0A3C2D31" w14:textId="77777777" w:rsidR="00A922B4" w:rsidRPr="00A922B4" w:rsidRDefault="00A922B4" w:rsidP="00A922B4">
            <w:pPr>
              <w:spacing w:after="0" w:line="240" w:lineRule="auto"/>
              <w:ind w:left="-109" w:right="-11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Отчет за 2021 год</w:t>
            </w:r>
          </w:p>
          <w:p w14:paraId="419E749C" w14:textId="77777777" w:rsidR="00A922B4" w:rsidRPr="00A922B4" w:rsidRDefault="00A922B4" w:rsidP="00A922B4">
            <w:pPr>
              <w:spacing w:after="0" w:line="240" w:lineRule="auto"/>
              <w:ind w:left="-109" w:right="-11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 xml:space="preserve"> к отчету за 2020 год</w:t>
            </w:r>
          </w:p>
        </w:tc>
      </w:tr>
      <w:tr w:rsidR="00A922B4" w:rsidRPr="00A922B4" w14:paraId="1B8D5324" w14:textId="77777777" w:rsidTr="00156793">
        <w:trPr>
          <w:trHeight w:val="390"/>
        </w:trPr>
        <w:tc>
          <w:tcPr>
            <w:tcW w:w="3119" w:type="dxa"/>
            <w:vMerge/>
            <w:shd w:val="clear" w:color="auto" w:fill="D9E2F3" w:themeFill="accent1" w:themeFillTint="33"/>
            <w:vAlign w:val="center"/>
          </w:tcPr>
          <w:p w14:paraId="6728DFC8" w14:textId="77777777" w:rsidR="00A922B4" w:rsidRPr="00A922B4" w:rsidRDefault="00A922B4" w:rsidP="00A922B4">
            <w:pPr>
              <w:spacing w:after="0" w:line="240" w:lineRule="auto"/>
              <w:ind w:left="-57" w:right="-57"/>
              <w:rPr>
                <w:rFonts w:ascii="Times New Roman" w:eastAsia="Times New Roman" w:hAnsi="Times New Roman" w:cs="Times New Roman"/>
                <w:b/>
                <w:bCs/>
                <w:sz w:val="24"/>
                <w:szCs w:val="24"/>
                <w:lang w:eastAsia="ru-RU"/>
              </w:rPr>
            </w:pPr>
          </w:p>
        </w:tc>
        <w:tc>
          <w:tcPr>
            <w:tcW w:w="1276" w:type="dxa"/>
            <w:vMerge/>
            <w:shd w:val="clear" w:color="auto" w:fill="D9E2F3" w:themeFill="accent1" w:themeFillTint="33"/>
            <w:vAlign w:val="center"/>
          </w:tcPr>
          <w:p w14:paraId="261DF544" w14:textId="77777777" w:rsidR="00A922B4" w:rsidRPr="00A922B4" w:rsidRDefault="00A922B4" w:rsidP="00A922B4">
            <w:pPr>
              <w:spacing w:after="0" w:line="240" w:lineRule="auto"/>
              <w:ind w:left="-57" w:right="-57"/>
              <w:rPr>
                <w:rFonts w:ascii="Times New Roman" w:eastAsia="Times New Roman" w:hAnsi="Times New Roman" w:cs="Times New Roman"/>
                <w:b/>
                <w:sz w:val="24"/>
                <w:szCs w:val="24"/>
                <w:lang w:eastAsia="ru-RU"/>
              </w:rPr>
            </w:pPr>
          </w:p>
        </w:tc>
        <w:tc>
          <w:tcPr>
            <w:tcW w:w="1275" w:type="dxa"/>
            <w:shd w:val="clear" w:color="auto" w:fill="D9E2F3" w:themeFill="accent1" w:themeFillTint="33"/>
            <w:vAlign w:val="center"/>
          </w:tcPr>
          <w:p w14:paraId="665703F9" w14:textId="77777777" w:rsidR="00A922B4" w:rsidRPr="00A922B4" w:rsidRDefault="00A922B4" w:rsidP="00A922B4">
            <w:pPr>
              <w:spacing w:after="0" w:line="240" w:lineRule="auto"/>
              <w:ind w:right="-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утверждено</w:t>
            </w:r>
          </w:p>
        </w:tc>
        <w:tc>
          <w:tcPr>
            <w:tcW w:w="1276" w:type="dxa"/>
            <w:shd w:val="clear" w:color="auto" w:fill="D9E2F3" w:themeFill="accent1" w:themeFillTint="33"/>
            <w:vAlign w:val="center"/>
          </w:tcPr>
          <w:p w14:paraId="3340523B" w14:textId="77777777" w:rsidR="00A922B4" w:rsidRPr="00A922B4" w:rsidRDefault="00A922B4" w:rsidP="00A922B4">
            <w:pPr>
              <w:spacing w:after="0" w:line="240" w:lineRule="auto"/>
              <w:ind w:right="-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исполнено</w:t>
            </w:r>
          </w:p>
        </w:tc>
        <w:tc>
          <w:tcPr>
            <w:tcW w:w="709" w:type="dxa"/>
            <w:shd w:val="clear" w:color="auto" w:fill="D9E2F3" w:themeFill="accent1" w:themeFillTint="33"/>
            <w:vAlign w:val="center"/>
          </w:tcPr>
          <w:p w14:paraId="459F750E" w14:textId="77777777" w:rsidR="00A922B4" w:rsidRPr="00A922B4" w:rsidRDefault="00A922B4" w:rsidP="00A922B4">
            <w:pPr>
              <w:spacing w:after="0" w:line="240" w:lineRule="auto"/>
              <w:ind w:right="-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w:t>
            </w:r>
          </w:p>
        </w:tc>
        <w:tc>
          <w:tcPr>
            <w:tcW w:w="1276" w:type="dxa"/>
            <w:shd w:val="clear" w:color="auto" w:fill="D9E2F3" w:themeFill="accent1" w:themeFillTint="33"/>
            <w:vAlign w:val="center"/>
          </w:tcPr>
          <w:p w14:paraId="115A68D7" w14:textId="77777777" w:rsidR="00A922B4" w:rsidRPr="00A922B4" w:rsidRDefault="00A922B4" w:rsidP="00A922B4">
            <w:pPr>
              <w:spacing w:after="0" w:line="240" w:lineRule="auto"/>
              <w:ind w:right="-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w:t>
            </w:r>
          </w:p>
        </w:tc>
        <w:tc>
          <w:tcPr>
            <w:tcW w:w="708" w:type="dxa"/>
            <w:shd w:val="clear" w:color="auto" w:fill="D9E2F3" w:themeFill="accent1" w:themeFillTint="33"/>
            <w:vAlign w:val="center"/>
          </w:tcPr>
          <w:p w14:paraId="5474AFE9" w14:textId="77777777" w:rsidR="00A922B4" w:rsidRPr="00A922B4" w:rsidRDefault="00A922B4" w:rsidP="00A922B4">
            <w:pPr>
              <w:spacing w:after="0" w:line="240" w:lineRule="auto"/>
              <w:ind w:right="-2"/>
              <w:jc w:val="center"/>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w:t>
            </w:r>
          </w:p>
        </w:tc>
      </w:tr>
      <w:tr w:rsidR="00A922B4" w:rsidRPr="00A922B4" w14:paraId="701BA956" w14:textId="77777777" w:rsidTr="00545B6E">
        <w:trPr>
          <w:trHeight w:val="409"/>
        </w:trPr>
        <w:tc>
          <w:tcPr>
            <w:tcW w:w="3119" w:type="dxa"/>
            <w:vAlign w:val="center"/>
          </w:tcPr>
          <w:p w14:paraId="17BB4939" w14:textId="77777777" w:rsidR="00A922B4" w:rsidRPr="00A922B4" w:rsidRDefault="00A922B4" w:rsidP="00A922B4">
            <w:pPr>
              <w:spacing w:after="0" w:line="240" w:lineRule="auto"/>
              <w:ind w:right="-57"/>
              <w:jc w:val="both"/>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Доходы, всего</w:t>
            </w:r>
          </w:p>
        </w:tc>
        <w:tc>
          <w:tcPr>
            <w:tcW w:w="1276" w:type="dxa"/>
            <w:vAlign w:val="center"/>
          </w:tcPr>
          <w:p w14:paraId="06F4CB94"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169 673 329,1</w:t>
            </w:r>
          </w:p>
        </w:tc>
        <w:tc>
          <w:tcPr>
            <w:tcW w:w="1275" w:type="dxa"/>
            <w:vAlign w:val="center"/>
          </w:tcPr>
          <w:p w14:paraId="7832A542"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171 990 429,0</w:t>
            </w:r>
          </w:p>
        </w:tc>
        <w:tc>
          <w:tcPr>
            <w:tcW w:w="1276" w:type="dxa"/>
            <w:vAlign w:val="center"/>
          </w:tcPr>
          <w:p w14:paraId="49FAD388"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172 846 816,3</w:t>
            </w:r>
          </w:p>
        </w:tc>
        <w:tc>
          <w:tcPr>
            <w:tcW w:w="709" w:type="dxa"/>
            <w:vAlign w:val="center"/>
          </w:tcPr>
          <w:p w14:paraId="3691DA4E"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100,5</w:t>
            </w:r>
          </w:p>
        </w:tc>
        <w:tc>
          <w:tcPr>
            <w:tcW w:w="1276" w:type="dxa"/>
            <w:vAlign w:val="center"/>
          </w:tcPr>
          <w:p w14:paraId="1470AA45"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3 173 487,2</w:t>
            </w:r>
          </w:p>
        </w:tc>
        <w:tc>
          <w:tcPr>
            <w:tcW w:w="708" w:type="dxa"/>
            <w:vAlign w:val="center"/>
          </w:tcPr>
          <w:p w14:paraId="4140DAEE"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101,9</w:t>
            </w:r>
          </w:p>
        </w:tc>
      </w:tr>
      <w:tr w:rsidR="00A922B4" w:rsidRPr="00A922B4" w14:paraId="51C7DAA1" w14:textId="77777777" w:rsidTr="00545B6E">
        <w:trPr>
          <w:trHeight w:val="270"/>
        </w:trPr>
        <w:tc>
          <w:tcPr>
            <w:tcW w:w="3119" w:type="dxa"/>
            <w:shd w:val="clear" w:color="auto" w:fill="FFFFFF"/>
            <w:vAlign w:val="center"/>
          </w:tcPr>
          <w:p w14:paraId="703C3004" w14:textId="77777777" w:rsidR="00A922B4" w:rsidRPr="00A922B4" w:rsidRDefault="00A922B4" w:rsidP="00A922B4">
            <w:pPr>
              <w:spacing w:after="0" w:line="240" w:lineRule="auto"/>
              <w:ind w:right="-57"/>
              <w:jc w:val="both"/>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в том числе:</w:t>
            </w:r>
          </w:p>
        </w:tc>
        <w:tc>
          <w:tcPr>
            <w:tcW w:w="1276" w:type="dxa"/>
            <w:shd w:val="clear" w:color="000000" w:fill="FFFFFF"/>
            <w:vAlign w:val="center"/>
          </w:tcPr>
          <w:p w14:paraId="500AF952"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p>
        </w:tc>
        <w:tc>
          <w:tcPr>
            <w:tcW w:w="1275" w:type="dxa"/>
            <w:shd w:val="clear" w:color="000000" w:fill="FFFFFF"/>
            <w:vAlign w:val="center"/>
          </w:tcPr>
          <w:p w14:paraId="500B9FF8"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p>
        </w:tc>
        <w:tc>
          <w:tcPr>
            <w:tcW w:w="1276" w:type="dxa"/>
            <w:shd w:val="clear" w:color="000000" w:fill="FFFFFF"/>
            <w:vAlign w:val="center"/>
          </w:tcPr>
          <w:p w14:paraId="6904DD7C"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p>
        </w:tc>
        <w:tc>
          <w:tcPr>
            <w:tcW w:w="709" w:type="dxa"/>
            <w:shd w:val="clear" w:color="000000" w:fill="FFFFFF"/>
            <w:vAlign w:val="center"/>
          </w:tcPr>
          <w:p w14:paraId="7AB1C991"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p>
        </w:tc>
        <w:tc>
          <w:tcPr>
            <w:tcW w:w="1276" w:type="dxa"/>
            <w:shd w:val="clear" w:color="000000" w:fill="FFFFFF"/>
            <w:vAlign w:val="center"/>
          </w:tcPr>
          <w:p w14:paraId="118EB29E"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p>
        </w:tc>
        <w:tc>
          <w:tcPr>
            <w:tcW w:w="708" w:type="dxa"/>
            <w:shd w:val="clear" w:color="000000" w:fill="FFFFFF"/>
            <w:vAlign w:val="center"/>
          </w:tcPr>
          <w:p w14:paraId="2A672374"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p>
        </w:tc>
      </w:tr>
      <w:tr w:rsidR="00A922B4" w:rsidRPr="00A922B4" w14:paraId="08BA4065" w14:textId="77777777" w:rsidTr="00545B6E">
        <w:trPr>
          <w:trHeight w:val="299"/>
        </w:trPr>
        <w:tc>
          <w:tcPr>
            <w:tcW w:w="3119" w:type="dxa"/>
            <w:shd w:val="clear" w:color="auto" w:fill="FFFFFF"/>
            <w:vAlign w:val="center"/>
          </w:tcPr>
          <w:p w14:paraId="7B1B22E2" w14:textId="77777777" w:rsidR="00A922B4" w:rsidRPr="00A922B4" w:rsidRDefault="00A922B4" w:rsidP="00A922B4">
            <w:pPr>
              <w:spacing w:after="0" w:line="240" w:lineRule="auto"/>
              <w:ind w:right="-57"/>
              <w:jc w:val="both"/>
              <w:rPr>
                <w:rFonts w:ascii="Times New Roman" w:eastAsia="Times New Roman" w:hAnsi="Times New Roman" w:cs="Times New Roman"/>
                <w:b/>
                <w:sz w:val="24"/>
                <w:szCs w:val="24"/>
                <w:lang w:eastAsia="ru-RU"/>
              </w:rPr>
            </w:pPr>
            <w:bookmarkStart w:id="14" w:name="_Hlk6917049"/>
            <w:r w:rsidRPr="00A922B4">
              <w:rPr>
                <w:rFonts w:ascii="Times New Roman" w:eastAsia="Times New Roman" w:hAnsi="Times New Roman" w:cs="Times New Roman"/>
                <w:b/>
                <w:sz w:val="24"/>
                <w:szCs w:val="24"/>
                <w:lang w:eastAsia="ru-RU"/>
              </w:rPr>
              <w:t>Налоговые и неналоговые доходы</w:t>
            </w:r>
          </w:p>
        </w:tc>
        <w:tc>
          <w:tcPr>
            <w:tcW w:w="1276" w:type="dxa"/>
            <w:shd w:val="clear" w:color="000000" w:fill="FFFFFF"/>
            <w:vAlign w:val="center"/>
          </w:tcPr>
          <w:p w14:paraId="5B16347B"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34 526 922,9</w:t>
            </w:r>
          </w:p>
        </w:tc>
        <w:tc>
          <w:tcPr>
            <w:tcW w:w="1275" w:type="dxa"/>
            <w:shd w:val="clear" w:color="000000" w:fill="FFFFFF"/>
            <w:vAlign w:val="center"/>
          </w:tcPr>
          <w:p w14:paraId="7DE8409A"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41 232 822,0</w:t>
            </w:r>
          </w:p>
        </w:tc>
        <w:tc>
          <w:tcPr>
            <w:tcW w:w="1276" w:type="dxa"/>
            <w:shd w:val="clear" w:color="000000" w:fill="FFFFFF"/>
            <w:vAlign w:val="center"/>
          </w:tcPr>
          <w:p w14:paraId="52033FB1"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41 734 515,7</w:t>
            </w:r>
          </w:p>
        </w:tc>
        <w:tc>
          <w:tcPr>
            <w:tcW w:w="709" w:type="dxa"/>
            <w:shd w:val="clear" w:color="000000" w:fill="auto"/>
            <w:vAlign w:val="center"/>
          </w:tcPr>
          <w:p w14:paraId="61AF4AEE"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101,2</w:t>
            </w:r>
          </w:p>
        </w:tc>
        <w:tc>
          <w:tcPr>
            <w:tcW w:w="1276" w:type="dxa"/>
            <w:shd w:val="clear" w:color="000000" w:fill="FFFFFF"/>
            <w:vAlign w:val="center"/>
          </w:tcPr>
          <w:p w14:paraId="1CDA804D"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7 207 592,8</w:t>
            </w:r>
          </w:p>
        </w:tc>
        <w:tc>
          <w:tcPr>
            <w:tcW w:w="708" w:type="dxa"/>
            <w:shd w:val="clear" w:color="000000" w:fill="FFFFFF"/>
            <w:vAlign w:val="center"/>
          </w:tcPr>
          <w:p w14:paraId="0578DCC6"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120,9</w:t>
            </w:r>
          </w:p>
        </w:tc>
      </w:tr>
      <w:bookmarkEnd w:id="14"/>
      <w:tr w:rsidR="00A922B4" w:rsidRPr="00A922B4" w14:paraId="7D70825C" w14:textId="77777777" w:rsidTr="00545B6E">
        <w:trPr>
          <w:trHeight w:val="369"/>
        </w:trPr>
        <w:tc>
          <w:tcPr>
            <w:tcW w:w="3119" w:type="dxa"/>
            <w:shd w:val="clear" w:color="auto" w:fill="FFFFFF"/>
            <w:vAlign w:val="center"/>
          </w:tcPr>
          <w:p w14:paraId="6C451976" w14:textId="77777777" w:rsidR="00A922B4" w:rsidRPr="00A922B4" w:rsidRDefault="00A922B4" w:rsidP="00A922B4">
            <w:pPr>
              <w:spacing w:after="0" w:line="240" w:lineRule="auto"/>
              <w:ind w:right="-57"/>
              <w:jc w:val="both"/>
              <w:rPr>
                <w:rFonts w:ascii="Times New Roman" w:eastAsia="Times New Roman" w:hAnsi="Times New Roman" w:cs="Times New Roman"/>
                <w:b/>
                <w:sz w:val="24"/>
                <w:szCs w:val="24"/>
                <w:lang w:eastAsia="ru-RU"/>
              </w:rPr>
            </w:pPr>
            <w:r w:rsidRPr="00A922B4">
              <w:rPr>
                <w:rFonts w:ascii="Times New Roman" w:eastAsia="Times New Roman" w:hAnsi="Times New Roman" w:cs="Times New Roman"/>
                <w:b/>
                <w:sz w:val="24"/>
                <w:szCs w:val="24"/>
                <w:lang w:eastAsia="ru-RU"/>
              </w:rPr>
              <w:t>Безвозмездные поступления</w:t>
            </w:r>
          </w:p>
        </w:tc>
        <w:tc>
          <w:tcPr>
            <w:tcW w:w="1276" w:type="dxa"/>
            <w:shd w:val="clear" w:color="000000" w:fill="FFFFFF"/>
            <w:vAlign w:val="center"/>
          </w:tcPr>
          <w:p w14:paraId="31EEBB9B"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135 146 406,2</w:t>
            </w:r>
          </w:p>
        </w:tc>
        <w:tc>
          <w:tcPr>
            <w:tcW w:w="1275" w:type="dxa"/>
            <w:shd w:val="clear" w:color="000000" w:fill="FFFFFF"/>
            <w:vAlign w:val="center"/>
          </w:tcPr>
          <w:p w14:paraId="2E9FE6FA"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130 757 607,0</w:t>
            </w:r>
          </w:p>
        </w:tc>
        <w:tc>
          <w:tcPr>
            <w:tcW w:w="1276" w:type="dxa"/>
            <w:shd w:val="clear" w:color="000000" w:fill="FFFFFF"/>
            <w:vAlign w:val="center"/>
          </w:tcPr>
          <w:p w14:paraId="476CCB1A"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131 112 300,6</w:t>
            </w:r>
          </w:p>
        </w:tc>
        <w:tc>
          <w:tcPr>
            <w:tcW w:w="709" w:type="dxa"/>
            <w:shd w:val="clear" w:color="000000" w:fill="auto"/>
            <w:vAlign w:val="center"/>
          </w:tcPr>
          <w:p w14:paraId="33B88CD2"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100,3</w:t>
            </w:r>
          </w:p>
        </w:tc>
        <w:tc>
          <w:tcPr>
            <w:tcW w:w="1276" w:type="dxa"/>
            <w:shd w:val="clear" w:color="000000" w:fill="FFFFFF"/>
            <w:vAlign w:val="center"/>
          </w:tcPr>
          <w:p w14:paraId="49FF2F1A"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-4 034 105,6</w:t>
            </w:r>
          </w:p>
        </w:tc>
        <w:tc>
          <w:tcPr>
            <w:tcW w:w="708" w:type="dxa"/>
            <w:shd w:val="clear" w:color="000000" w:fill="FFFFFF"/>
            <w:vAlign w:val="center"/>
          </w:tcPr>
          <w:p w14:paraId="5DBED7FA" w14:textId="77777777" w:rsidR="00A922B4" w:rsidRPr="00A922B4" w:rsidRDefault="00A922B4" w:rsidP="00A922B4">
            <w:pPr>
              <w:spacing w:after="0" w:line="240" w:lineRule="auto"/>
              <w:ind w:left="-57" w:right="-57"/>
              <w:jc w:val="right"/>
              <w:rPr>
                <w:rFonts w:ascii="Times New Roman" w:eastAsia="Times New Roman" w:hAnsi="Times New Roman" w:cs="Times New Roman"/>
                <w:b/>
                <w:sz w:val="20"/>
                <w:szCs w:val="20"/>
                <w:lang w:eastAsia="ru-RU"/>
              </w:rPr>
            </w:pPr>
            <w:r w:rsidRPr="00A922B4">
              <w:rPr>
                <w:rFonts w:ascii="Times New Roman" w:eastAsia="Times New Roman" w:hAnsi="Times New Roman" w:cs="Times New Roman"/>
                <w:b/>
                <w:sz w:val="20"/>
                <w:szCs w:val="20"/>
                <w:lang w:eastAsia="ru-RU"/>
              </w:rPr>
              <w:t>97,0</w:t>
            </w:r>
          </w:p>
        </w:tc>
      </w:tr>
      <w:tr w:rsidR="00A922B4" w:rsidRPr="00A922B4" w14:paraId="625ECE9B" w14:textId="77777777" w:rsidTr="00545B6E">
        <w:trPr>
          <w:trHeight w:val="525"/>
        </w:trPr>
        <w:tc>
          <w:tcPr>
            <w:tcW w:w="3119" w:type="dxa"/>
            <w:shd w:val="clear" w:color="auto" w:fill="FFFFFF"/>
            <w:vAlign w:val="center"/>
          </w:tcPr>
          <w:p w14:paraId="6045FCE1" w14:textId="77777777" w:rsidR="00A922B4" w:rsidRPr="00A922B4" w:rsidRDefault="00A922B4" w:rsidP="00A922B4">
            <w:pPr>
              <w:spacing w:after="0" w:line="240" w:lineRule="auto"/>
              <w:ind w:right="-57"/>
              <w:jc w:val="both"/>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Безвозмездные поступления от других бюджетов, всего</w:t>
            </w:r>
          </w:p>
        </w:tc>
        <w:tc>
          <w:tcPr>
            <w:tcW w:w="1276" w:type="dxa"/>
            <w:shd w:val="clear" w:color="000000" w:fill="FFFFFF"/>
            <w:vAlign w:val="center"/>
          </w:tcPr>
          <w:p w14:paraId="78032E82"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134 499 861,8</w:t>
            </w:r>
          </w:p>
        </w:tc>
        <w:tc>
          <w:tcPr>
            <w:tcW w:w="1275" w:type="dxa"/>
            <w:shd w:val="clear" w:color="000000" w:fill="FFFFFF"/>
            <w:vAlign w:val="center"/>
          </w:tcPr>
          <w:p w14:paraId="2D1C2B36"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129 754 133,6</w:t>
            </w:r>
          </w:p>
        </w:tc>
        <w:tc>
          <w:tcPr>
            <w:tcW w:w="1276" w:type="dxa"/>
            <w:shd w:val="clear" w:color="000000" w:fill="FFFFFF"/>
            <w:vAlign w:val="center"/>
          </w:tcPr>
          <w:p w14:paraId="2CB2855E"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130 016 254,9</w:t>
            </w:r>
          </w:p>
        </w:tc>
        <w:tc>
          <w:tcPr>
            <w:tcW w:w="709" w:type="dxa"/>
            <w:shd w:val="clear" w:color="000000" w:fill="FFFFFF"/>
            <w:vAlign w:val="center"/>
          </w:tcPr>
          <w:p w14:paraId="57B33D51"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100,2</w:t>
            </w:r>
          </w:p>
        </w:tc>
        <w:tc>
          <w:tcPr>
            <w:tcW w:w="1276" w:type="dxa"/>
            <w:shd w:val="clear" w:color="000000" w:fill="FFFFFF"/>
            <w:vAlign w:val="center"/>
          </w:tcPr>
          <w:p w14:paraId="124421EC"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-4 483 606,9</w:t>
            </w:r>
          </w:p>
        </w:tc>
        <w:tc>
          <w:tcPr>
            <w:tcW w:w="708" w:type="dxa"/>
            <w:shd w:val="clear" w:color="000000" w:fill="FFFFFF"/>
            <w:vAlign w:val="center"/>
          </w:tcPr>
          <w:p w14:paraId="5AD617E0"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96,7</w:t>
            </w:r>
          </w:p>
        </w:tc>
      </w:tr>
      <w:tr w:rsidR="00A922B4" w:rsidRPr="00A922B4" w14:paraId="0119D6BF" w14:textId="77777777" w:rsidTr="00545B6E">
        <w:trPr>
          <w:trHeight w:val="85"/>
        </w:trPr>
        <w:tc>
          <w:tcPr>
            <w:tcW w:w="3119" w:type="dxa"/>
            <w:shd w:val="clear" w:color="auto" w:fill="FFFFFF"/>
            <w:vAlign w:val="center"/>
          </w:tcPr>
          <w:p w14:paraId="6A28EF2A" w14:textId="77777777" w:rsidR="00A922B4" w:rsidRPr="00A922B4" w:rsidRDefault="00A922B4" w:rsidP="00A922B4">
            <w:pPr>
              <w:spacing w:after="0" w:line="240" w:lineRule="auto"/>
              <w:ind w:right="-57"/>
              <w:jc w:val="both"/>
              <w:rPr>
                <w:rFonts w:ascii="Times New Roman" w:eastAsia="Times New Roman" w:hAnsi="Times New Roman" w:cs="Times New Roman"/>
                <w:i/>
                <w:iCs/>
                <w:sz w:val="24"/>
                <w:szCs w:val="24"/>
                <w:lang w:eastAsia="ru-RU"/>
              </w:rPr>
            </w:pPr>
            <w:r w:rsidRPr="00A922B4">
              <w:rPr>
                <w:rFonts w:ascii="Times New Roman" w:eastAsia="Times New Roman" w:hAnsi="Times New Roman" w:cs="Times New Roman"/>
                <w:i/>
                <w:iCs/>
                <w:sz w:val="24"/>
                <w:szCs w:val="24"/>
                <w:lang w:eastAsia="ru-RU"/>
              </w:rPr>
              <w:t>дотации</w:t>
            </w:r>
          </w:p>
        </w:tc>
        <w:tc>
          <w:tcPr>
            <w:tcW w:w="1276" w:type="dxa"/>
            <w:vAlign w:val="center"/>
          </w:tcPr>
          <w:p w14:paraId="3F6C1CD0"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80 123 901,7</w:t>
            </w:r>
          </w:p>
        </w:tc>
        <w:tc>
          <w:tcPr>
            <w:tcW w:w="1275" w:type="dxa"/>
            <w:vAlign w:val="center"/>
          </w:tcPr>
          <w:p w14:paraId="319A2963"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76 775 596,8</w:t>
            </w:r>
          </w:p>
        </w:tc>
        <w:tc>
          <w:tcPr>
            <w:tcW w:w="1276" w:type="dxa"/>
            <w:vAlign w:val="center"/>
          </w:tcPr>
          <w:p w14:paraId="02327BEF"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77 492 684,6</w:t>
            </w:r>
          </w:p>
        </w:tc>
        <w:tc>
          <w:tcPr>
            <w:tcW w:w="709" w:type="dxa"/>
            <w:shd w:val="clear" w:color="000000" w:fill="FFFFFF"/>
            <w:vAlign w:val="center"/>
          </w:tcPr>
          <w:p w14:paraId="65C91F71"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100,9</w:t>
            </w:r>
          </w:p>
        </w:tc>
        <w:tc>
          <w:tcPr>
            <w:tcW w:w="1276" w:type="dxa"/>
            <w:shd w:val="clear" w:color="000000" w:fill="FFFFFF"/>
            <w:vAlign w:val="center"/>
          </w:tcPr>
          <w:p w14:paraId="6FC824EA"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-2 631 217,1</w:t>
            </w:r>
          </w:p>
        </w:tc>
        <w:tc>
          <w:tcPr>
            <w:tcW w:w="708" w:type="dxa"/>
            <w:shd w:val="clear" w:color="000000" w:fill="FFFFFF"/>
            <w:vAlign w:val="center"/>
          </w:tcPr>
          <w:p w14:paraId="6C3D274E"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96,7</w:t>
            </w:r>
          </w:p>
        </w:tc>
      </w:tr>
      <w:tr w:rsidR="00A922B4" w:rsidRPr="00A922B4" w14:paraId="727B5CA1" w14:textId="77777777" w:rsidTr="00545B6E">
        <w:trPr>
          <w:trHeight w:val="85"/>
        </w:trPr>
        <w:tc>
          <w:tcPr>
            <w:tcW w:w="3119" w:type="dxa"/>
            <w:shd w:val="clear" w:color="auto" w:fill="FFFFFF"/>
            <w:vAlign w:val="center"/>
          </w:tcPr>
          <w:p w14:paraId="57501728" w14:textId="77777777" w:rsidR="00A922B4" w:rsidRPr="00A922B4" w:rsidRDefault="00A922B4" w:rsidP="00A922B4">
            <w:pPr>
              <w:spacing w:after="0" w:line="240" w:lineRule="auto"/>
              <w:ind w:right="-57"/>
              <w:jc w:val="both"/>
              <w:rPr>
                <w:rFonts w:ascii="Times New Roman" w:eastAsia="Times New Roman" w:hAnsi="Times New Roman" w:cs="Times New Roman"/>
                <w:i/>
                <w:iCs/>
                <w:sz w:val="24"/>
                <w:szCs w:val="24"/>
                <w:lang w:eastAsia="ru-RU"/>
              </w:rPr>
            </w:pPr>
            <w:r w:rsidRPr="00A922B4">
              <w:rPr>
                <w:rFonts w:ascii="Times New Roman" w:eastAsia="Times New Roman" w:hAnsi="Times New Roman" w:cs="Times New Roman"/>
                <w:i/>
                <w:iCs/>
                <w:sz w:val="24"/>
                <w:szCs w:val="24"/>
                <w:lang w:eastAsia="ru-RU"/>
              </w:rPr>
              <w:t>субсидии</w:t>
            </w:r>
          </w:p>
        </w:tc>
        <w:tc>
          <w:tcPr>
            <w:tcW w:w="1276" w:type="dxa"/>
            <w:vAlign w:val="center"/>
          </w:tcPr>
          <w:p w14:paraId="36953518"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29 434 155,4</w:t>
            </w:r>
          </w:p>
        </w:tc>
        <w:tc>
          <w:tcPr>
            <w:tcW w:w="1275" w:type="dxa"/>
            <w:vAlign w:val="center"/>
          </w:tcPr>
          <w:p w14:paraId="1522BDAD"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35 078 560,2</w:t>
            </w:r>
          </w:p>
        </w:tc>
        <w:tc>
          <w:tcPr>
            <w:tcW w:w="1276" w:type="dxa"/>
            <w:vAlign w:val="center"/>
          </w:tcPr>
          <w:p w14:paraId="70D35529"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30 723 300,2</w:t>
            </w:r>
          </w:p>
        </w:tc>
        <w:tc>
          <w:tcPr>
            <w:tcW w:w="709" w:type="dxa"/>
            <w:shd w:val="clear" w:color="000000" w:fill="FFFFFF"/>
            <w:vAlign w:val="center"/>
          </w:tcPr>
          <w:p w14:paraId="7676F263"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87,6</w:t>
            </w:r>
          </w:p>
        </w:tc>
        <w:tc>
          <w:tcPr>
            <w:tcW w:w="1276" w:type="dxa"/>
            <w:shd w:val="clear" w:color="000000" w:fill="FFFFFF"/>
            <w:vAlign w:val="center"/>
          </w:tcPr>
          <w:p w14:paraId="4C3DC0C4"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1 289 144,8</w:t>
            </w:r>
          </w:p>
        </w:tc>
        <w:tc>
          <w:tcPr>
            <w:tcW w:w="708" w:type="dxa"/>
            <w:shd w:val="clear" w:color="000000" w:fill="FFFFFF"/>
            <w:vAlign w:val="center"/>
          </w:tcPr>
          <w:p w14:paraId="78190255"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104,4</w:t>
            </w:r>
          </w:p>
        </w:tc>
      </w:tr>
      <w:tr w:rsidR="00A922B4" w:rsidRPr="00A922B4" w14:paraId="313CA156" w14:textId="77777777" w:rsidTr="00545B6E">
        <w:trPr>
          <w:trHeight w:val="231"/>
        </w:trPr>
        <w:tc>
          <w:tcPr>
            <w:tcW w:w="3119" w:type="dxa"/>
            <w:shd w:val="clear" w:color="auto" w:fill="FFFFFF"/>
            <w:vAlign w:val="center"/>
          </w:tcPr>
          <w:p w14:paraId="019D801B" w14:textId="77777777" w:rsidR="00A922B4" w:rsidRPr="00A922B4" w:rsidRDefault="00A922B4" w:rsidP="00A922B4">
            <w:pPr>
              <w:spacing w:after="0" w:line="240" w:lineRule="auto"/>
              <w:ind w:right="-57"/>
              <w:jc w:val="both"/>
              <w:rPr>
                <w:rFonts w:ascii="Times New Roman" w:eastAsia="Times New Roman" w:hAnsi="Times New Roman" w:cs="Times New Roman"/>
                <w:i/>
                <w:iCs/>
                <w:sz w:val="24"/>
                <w:szCs w:val="24"/>
                <w:lang w:eastAsia="ru-RU"/>
              </w:rPr>
            </w:pPr>
            <w:r w:rsidRPr="00A922B4">
              <w:rPr>
                <w:rFonts w:ascii="Times New Roman" w:eastAsia="Times New Roman" w:hAnsi="Times New Roman" w:cs="Times New Roman"/>
                <w:i/>
                <w:iCs/>
                <w:sz w:val="24"/>
                <w:szCs w:val="24"/>
                <w:lang w:eastAsia="ru-RU"/>
              </w:rPr>
              <w:t>субвенции</w:t>
            </w:r>
          </w:p>
        </w:tc>
        <w:tc>
          <w:tcPr>
            <w:tcW w:w="1276" w:type="dxa"/>
            <w:vAlign w:val="center"/>
          </w:tcPr>
          <w:p w14:paraId="124849C7"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13 924 237,5</w:t>
            </w:r>
          </w:p>
        </w:tc>
        <w:tc>
          <w:tcPr>
            <w:tcW w:w="1275" w:type="dxa"/>
            <w:vAlign w:val="center"/>
          </w:tcPr>
          <w:p w14:paraId="7A431315"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11 663 820,0</w:t>
            </w:r>
          </w:p>
        </w:tc>
        <w:tc>
          <w:tcPr>
            <w:tcW w:w="1276" w:type="dxa"/>
            <w:vAlign w:val="center"/>
          </w:tcPr>
          <w:p w14:paraId="7A401662"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12 805 432,5</w:t>
            </w:r>
          </w:p>
        </w:tc>
        <w:tc>
          <w:tcPr>
            <w:tcW w:w="709" w:type="dxa"/>
            <w:shd w:val="clear" w:color="000000" w:fill="FFFFFF"/>
            <w:vAlign w:val="center"/>
          </w:tcPr>
          <w:p w14:paraId="07A798AE"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109,8</w:t>
            </w:r>
          </w:p>
        </w:tc>
        <w:tc>
          <w:tcPr>
            <w:tcW w:w="1276" w:type="dxa"/>
            <w:shd w:val="clear" w:color="000000" w:fill="FFFFFF"/>
            <w:vAlign w:val="center"/>
          </w:tcPr>
          <w:p w14:paraId="4398EE0D"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-1 118 805,0</w:t>
            </w:r>
          </w:p>
        </w:tc>
        <w:tc>
          <w:tcPr>
            <w:tcW w:w="708" w:type="dxa"/>
            <w:shd w:val="clear" w:color="000000" w:fill="FFFFFF"/>
            <w:vAlign w:val="center"/>
          </w:tcPr>
          <w:p w14:paraId="5CF15451"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92,0</w:t>
            </w:r>
          </w:p>
        </w:tc>
      </w:tr>
      <w:tr w:rsidR="00A922B4" w:rsidRPr="00A922B4" w14:paraId="2289A44F" w14:textId="77777777" w:rsidTr="00545B6E">
        <w:trPr>
          <w:trHeight w:val="373"/>
        </w:trPr>
        <w:tc>
          <w:tcPr>
            <w:tcW w:w="3119" w:type="dxa"/>
            <w:shd w:val="clear" w:color="auto" w:fill="FFFFFF"/>
            <w:vAlign w:val="center"/>
          </w:tcPr>
          <w:p w14:paraId="7E062805" w14:textId="77777777" w:rsidR="00A922B4" w:rsidRPr="00A922B4" w:rsidRDefault="00A922B4" w:rsidP="00A922B4">
            <w:pPr>
              <w:spacing w:after="0" w:line="240" w:lineRule="auto"/>
              <w:ind w:right="-57"/>
              <w:jc w:val="both"/>
              <w:rPr>
                <w:rFonts w:ascii="Times New Roman" w:eastAsia="Times New Roman" w:hAnsi="Times New Roman" w:cs="Times New Roman"/>
                <w:i/>
                <w:iCs/>
                <w:sz w:val="24"/>
                <w:szCs w:val="24"/>
                <w:lang w:eastAsia="ru-RU"/>
              </w:rPr>
            </w:pPr>
            <w:r w:rsidRPr="00A922B4">
              <w:rPr>
                <w:rFonts w:ascii="Times New Roman" w:eastAsia="Times New Roman" w:hAnsi="Times New Roman" w:cs="Times New Roman"/>
                <w:i/>
                <w:iCs/>
                <w:sz w:val="24"/>
                <w:szCs w:val="24"/>
                <w:lang w:eastAsia="ru-RU"/>
              </w:rPr>
              <w:t>иные межбюджетные трансферты</w:t>
            </w:r>
          </w:p>
        </w:tc>
        <w:tc>
          <w:tcPr>
            <w:tcW w:w="1276" w:type="dxa"/>
            <w:vAlign w:val="center"/>
          </w:tcPr>
          <w:p w14:paraId="4D3A4878"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11 017 567,2</w:t>
            </w:r>
          </w:p>
        </w:tc>
        <w:tc>
          <w:tcPr>
            <w:tcW w:w="1275" w:type="dxa"/>
            <w:vAlign w:val="center"/>
          </w:tcPr>
          <w:p w14:paraId="4FFAF8C9"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6 236 156,6</w:t>
            </w:r>
          </w:p>
        </w:tc>
        <w:tc>
          <w:tcPr>
            <w:tcW w:w="1276" w:type="dxa"/>
            <w:vAlign w:val="center"/>
          </w:tcPr>
          <w:p w14:paraId="6A272503"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8 994 837,6</w:t>
            </w:r>
          </w:p>
        </w:tc>
        <w:tc>
          <w:tcPr>
            <w:tcW w:w="709" w:type="dxa"/>
            <w:shd w:val="clear" w:color="000000" w:fill="FFFFFF"/>
            <w:vAlign w:val="center"/>
          </w:tcPr>
          <w:p w14:paraId="7AC3D6CD"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144,2</w:t>
            </w:r>
          </w:p>
        </w:tc>
        <w:tc>
          <w:tcPr>
            <w:tcW w:w="1276" w:type="dxa"/>
            <w:shd w:val="clear" w:color="000000" w:fill="FFFFFF"/>
            <w:vAlign w:val="center"/>
          </w:tcPr>
          <w:p w14:paraId="46147A32"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-2 022 729,6</w:t>
            </w:r>
          </w:p>
        </w:tc>
        <w:tc>
          <w:tcPr>
            <w:tcW w:w="708" w:type="dxa"/>
            <w:shd w:val="clear" w:color="000000" w:fill="FFFFFF"/>
            <w:vAlign w:val="center"/>
          </w:tcPr>
          <w:p w14:paraId="1AA0B698" w14:textId="77777777" w:rsidR="00A922B4" w:rsidRPr="00A922B4" w:rsidRDefault="00A922B4" w:rsidP="00A922B4">
            <w:pPr>
              <w:spacing w:after="0" w:line="240" w:lineRule="auto"/>
              <w:ind w:left="-57" w:right="-57"/>
              <w:jc w:val="right"/>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i/>
                <w:sz w:val="20"/>
                <w:szCs w:val="20"/>
                <w:lang w:eastAsia="ru-RU"/>
              </w:rPr>
              <w:t>81,6</w:t>
            </w:r>
          </w:p>
        </w:tc>
      </w:tr>
      <w:tr w:rsidR="00A922B4" w:rsidRPr="00A922B4" w14:paraId="238B1F09" w14:textId="77777777" w:rsidTr="00545B6E">
        <w:trPr>
          <w:trHeight w:val="278"/>
        </w:trPr>
        <w:tc>
          <w:tcPr>
            <w:tcW w:w="3119" w:type="dxa"/>
            <w:shd w:val="clear" w:color="auto" w:fill="FFFFFF"/>
            <w:vAlign w:val="center"/>
          </w:tcPr>
          <w:p w14:paraId="1571424B" w14:textId="77777777" w:rsidR="00A922B4" w:rsidRPr="00A922B4" w:rsidRDefault="00A922B4" w:rsidP="00A922B4">
            <w:pPr>
              <w:spacing w:after="0" w:line="240" w:lineRule="auto"/>
              <w:ind w:right="-57"/>
              <w:jc w:val="both"/>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Безвозмездные поступления от государственных организаций</w:t>
            </w:r>
          </w:p>
        </w:tc>
        <w:tc>
          <w:tcPr>
            <w:tcW w:w="1276" w:type="dxa"/>
            <w:shd w:val="clear" w:color="000000" w:fill="FFFFFF"/>
            <w:vAlign w:val="center"/>
          </w:tcPr>
          <w:p w14:paraId="3508F7AF"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15 707,1</w:t>
            </w:r>
          </w:p>
        </w:tc>
        <w:tc>
          <w:tcPr>
            <w:tcW w:w="1275" w:type="dxa"/>
            <w:shd w:val="clear" w:color="000000" w:fill="FFFFFF"/>
            <w:vAlign w:val="center"/>
          </w:tcPr>
          <w:p w14:paraId="3412D682"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77 775,1</w:t>
            </w:r>
          </w:p>
        </w:tc>
        <w:tc>
          <w:tcPr>
            <w:tcW w:w="1276" w:type="dxa"/>
            <w:shd w:val="clear" w:color="000000" w:fill="FFFFFF"/>
            <w:vAlign w:val="center"/>
          </w:tcPr>
          <w:p w14:paraId="51BBFC36"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38 431,9</w:t>
            </w:r>
          </w:p>
        </w:tc>
        <w:tc>
          <w:tcPr>
            <w:tcW w:w="709" w:type="dxa"/>
            <w:shd w:val="clear" w:color="000000" w:fill="FFFFFF"/>
            <w:vAlign w:val="center"/>
          </w:tcPr>
          <w:p w14:paraId="33C78C4B"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49,4</w:t>
            </w:r>
          </w:p>
        </w:tc>
        <w:tc>
          <w:tcPr>
            <w:tcW w:w="1276" w:type="dxa"/>
            <w:shd w:val="clear" w:color="000000" w:fill="FFFFFF"/>
            <w:vAlign w:val="center"/>
          </w:tcPr>
          <w:p w14:paraId="095DE993"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22 724,8</w:t>
            </w:r>
          </w:p>
        </w:tc>
        <w:tc>
          <w:tcPr>
            <w:tcW w:w="708" w:type="dxa"/>
            <w:shd w:val="clear" w:color="000000" w:fill="FFFFFF"/>
            <w:vAlign w:val="center"/>
          </w:tcPr>
          <w:p w14:paraId="72D65516" w14:textId="77777777" w:rsidR="00A922B4" w:rsidRPr="00A922B4" w:rsidRDefault="00A922B4" w:rsidP="00A922B4">
            <w:pPr>
              <w:spacing w:after="0" w:line="240" w:lineRule="auto"/>
              <w:ind w:left="-57" w:right="-57"/>
              <w:jc w:val="right"/>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244,7</w:t>
            </w:r>
          </w:p>
        </w:tc>
      </w:tr>
      <w:tr w:rsidR="00A922B4" w:rsidRPr="00A922B4" w14:paraId="14A5D2AC" w14:textId="77777777" w:rsidTr="00545B6E">
        <w:trPr>
          <w:trHeight w:val="500"/>
        </w:trPr>
        <w:tc>
          <w:tcPr>
            <w:tcW w:w="3119" w:type="dxa"/>
            <w:shd w:val="clear" w:color="auto" w:fill="FFFFFF"/>
            <w:vAlign w:val="center"/>
          </w:tcPr>
          <w:p w14:paraId="2B32616E" w14:textId="77777777" w:rsidR="00A922B4" w:rsidRPr="00A922B4" w:rsidRDefault="00A922B4" w:rsidP="00A922B4">
            <w:pPr>
              <w:spacing w:after="0" w:line="240" w:lineRule="auto"/>
              <w:ind w:right="-57"/>
              <w:jc w:val="both"/>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Безвозмездные поступления от не государственных организаций</w:t>
            </w:r>
          </w:p>
        </w:tc>
        <w:tc>
          <w:tcPr>
            <w:tcW w:w="1276" w:type="dxa"/>
            <w:shd w:val="clear" w:color="000000" w:fill="FFFFFF"/>
            <w:vAlign w:val="center"/>
          </w:tcPr>
          <w:p w14:paraId="46D0858A"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c>
          <w:tcPr>
            <w:tcW w:w="1275" w:type="dxa"/>
            <w:shd w:val="clear" w:color="000000" w:fill="FFFFFF"/>
            <w:vAlign w:val="center"/>
          </w:tcPr>
          <w:p w14:paraId="489FCB09"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c>
          <w:tcPr>
            <w:tcW w:w="1276" w:type="dxa"/>
            <w:shd w:val="clear" w:color="000000" w:fill="FFFFFF"/>
            <w:vAlign w:val="center"/>
          </w:tcPr>
          <w:p w14:paraId="353CF22F"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11 591,8</w:t>
            </w:r>
          </w:p>
        </w:tc>
        <w:tc>
          <w:tcPr>
            <w:tcW w:w="709" w:type="dxa"/>
            <w:shd w:val="clear" w:color="000000" w:fill="FFFFFF"/>
            <w:vAlign w:val="center"/>
          </w:tcPr>
          <w:p w14:paraId="7E23CDB6"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c>
          <w:tcPr>
            <w:tcW w:w="1276" w:type="dxa"/>
            <w:shd w:val="clear" w:color="000000" w:fill="FFFFFF"/>
            <w:vAlign w:val="center"/>
          </w:tcPr>
          <w:p w14:paraId="3E97BAC0"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c>
          <w:tcPr>
            <w:tcW w:w="708" w:type="dxa"/>
            <w:shd w:val="clear" w:color="000000" w:fill="FFFFFF"/>
            <w:vAlign w:val="center"/>
          </w:tcPr>
          <w:p w14:paraId="5DE42680"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r>
      <w:tr w:rsidR="00A922B4" w:rsidRPr="00A922B4" w14:paraId="4147D46A" w14:textId="77777777" w:rsidTr="00545B6E">
        <w:trPr>
          <w:trHeight w:val="159"/>
        </w:trPr>
        <w:tc>
          <w:tcPr>
            <w:tcW w:w="3119" w:type="dxa"/>
            <w:shd w:val="clear" w:color="auto" w:fill="FFFFFF"/>
            <w:vAlign w:val="center"/>
          </w:tcPr>
          <w:p w14:paraId="388FBF9D" w14:textId="77777777" w:rsidR="00A922B4" w:rsidRPr="00A922B4" w:rsidRDefault="00A922B4" w:rsidP="00A922B4">
            <w:pPr>
              <w:spacing w:after="0" w:line="240" w:lineRule="auto"/>
              <w:jc w:val="both"/>
              <w:rPr>
                <w:rFonts w:ascii="Times New Roman" w:eastAsia="Times New Roman" w:hAnsi="Times New Roman" w:cs="Times New Roman"/>
                <w:sz w:val="24"/>
                <w:szCs w:val="24"/>
                <w:lang w:eastAsia="ru-RU"/>
              </w:rPr>
            </w:pPr>
            <w:r w:rsidRPr="00A922B4">
              <w:rPr>
                <w:rFonts w:ascii="Times New Roman" w:eastAsia="Times New Roman" w:hAnsi="Times New Roman" w:cs="Times New Roman"/>
                <w:color w:val="000000"/>
                <w:sz w:val="24"/>
                <w:szCs w:val="24"/>
                <w:lang w:eastAsia="ru-RU"/>
              </w:rPr>
              <w:t xml:space="preserve">Прочие безвозмездные поступления </w:t>
            </w:r>
          </w:p>
        </w:tc>
        <w:tc>
          <w:tcPr>
            <w:tcW w:w="1276" w:type="dxa"/>
            <w:shd w:val="clear" w:color="000000" w:fill="FFFFFF"/>
            <w:vAlign w:val="center"/>
          </w:tcPr>
          <w:p w14:paraId="7DB6CD89"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16 078,9</w:t>
            </w:r>
          </w:p>
        </w:tc>
        <w:tc>
          <w:tcPr>
            <w:tcW w:w="1275" w:type="dxa"/>
            <w:shd w:val="clear" w:color="000000" w:fill="FFFFFF"/>
            <w:vAlign w:val="center"/>
          </w:tcPr>
          <w:p w14:paraId="68F8095D"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c>
          <w:tcPr>
            <w:tcW w:w="1276" w:type="dxa"/>
            <w:shd w:val="clear" w:color="000000" w:fill="FFFFFF"/>
            <w:vAlign w:val="center"/>
          </w:tcPr>
          <w:p w14:paraId="0E8C13B9"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c>
          <w:tcPr>
            <w:tcW w:w="709" w:type="dxa"/>
            <w:shd w:val="clear" w:color="000000" w:fill="FFFFFF"/>
            <w:vAlign w:val="center"/>
          </w:tcPr>
          <w:p w14:paraId="2EDD5901"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c>
          <w:tcPr>
            <w:tcW w:w="1276" w:type="dxa"/>
            <w:shd w:val="clear" w:color="000000" w:fill="FFFFFF"/>
            <w:vAlign w:val="center"/>
          </w:tcPr>
          <w:p w14:paraId="7CAC490F"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-16 078,9</w:t>
            </w:r>
          </w:p>
        </w:tc>
        <w:tc>
          <w:tcPr>
            <w:tcW w:w="708" w:type="dxa"/>
            <w:shd w:val="clear" w:color="000000" w:fill="FFFFFF"/>
            <w:vAlign w:val="center"/>
          </w:tcPr>
          <w:p w14:paraId="787BD283"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 </w:t>
            </w:r>
          </w:p>
        </w:tc>
      </w:tr>
      <w:tr w:rsidR="00A922B4" w:rsidRPr="00A922B4" w14:paraId="647078E7" w14:textId="77777777" w:rsidTr="00545B6E">
        <w:trPr>
          <w:trHeight w:val="1267"/>
        </w:trPr>
        <w:tc>
          <w:tcPr>
            <w:tcW w:w="3119" w:type="dxa"/>
            <w:shd w:val="clear" w:color="auto" w:fill="FFFFFF"/>
            <w:vAlign w:val="center"/>
          </w:tcPr>
          <w:p w14:paraId="7BACC4D7" w14:textId="77777777" w:rsidR="00A922B4" w:rsidRPr="00A922B4" w:rsidRDefault="00A922B4" w:rsidP="00A922B4">
            <w:pPr>
              <w:spacing w:after="0" w:line="240" w:lineRule="auto"/>
              <w:ind w:right="-57"/>
              <w:jc w:val="both"/>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lastRenderedPageBreak/>
              <w:t>Доходы от возврата остатков субсидий, субвенций и иных межбюджетных трансфертов, имеющих целевое назначение, прошлых лет</w:t>
            </w:r>
          </w:p>
        </w:tc>
        <w:tc>
          <w:tcPr>
            <w:tcW w:w="1276" w:type="dxa"/>
            <w:shd w:val="clear" w:color="000000" w:fill="FFFFFF"/>
            <w:vAlign w:val="center"/>
          </w:tcPr>
          <w:p w14:paraId="2E08603F"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659 730,4</w:t>
            </w:r>
          </w:p>
        </w:tc>
        <w:tc>
          <w:tcPr>
            <w:tcW w:w="1275" w:type="dxa"/>
            <w:shd w:val="clear" w:color="000000" w:fill="FFFFFF"/>
            <w:vAlign w:val="center"/>
          </w:tcPr>
          <w:p w14:paraId="12611958"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1 298 230,6</w:t>
            </w:r>
          </w:p>
        </w:tc>
        <w:tc>
          <w:tcPr>
            <w:tcW w:w="1276" w:type="dxa"/>
            <w:shd w:val="clear" w:color="000000" w:fill="FFFFFF"/>
            <w:vAlign w:val="center"/>
          </w:tcPr>
          <w:p w14:paraId="3216113F"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1 835 123,7</w:t>
            </w:r>
          </w:p>
        </w:tc>
        <w:tc>
          <w:tcPr>
            <w:tcW w:w="709" w:type="dxa"/>
            <w:shd w:val="clear" w:color="000000" w:fill="FFFFFF"/>
            <w:vAlign w:val="center"/>
          </w:tcPr>
          <w:p w14:paraId="13A07448"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141,4</w:t>
            </w:r>
          </w:p>
        </w:tc>
        <w:tc>
          <w:tcPr>
            <w:tcW w:w="1276" w:type="dxa"/>
            <w:shd w:val="clear" w:color="000000" w:fill="FFFFFF"/>
            <w:vAlign w:val="center"/>
          </w:tcPr>
          <w:p w14:paraId="0D99B232"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1 175 393,3</w:t>
            </w:r>
          </w:p>
        </w:tc>
        <w:tc>
          <w:tcPr>
            <w:tcW w:w="708" w:type="dxa"/>
            <w:shd w:val="clear" w:color="000000" w:fill="FFFFFF"/>
            <w:vAlign w:val="center"/>
          </w:tcPr>
          <w:p w14:paraId="5C55D8F1"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278,2</w:t>
            </w:r>
          </w:p>
        </w:tc>
      </w:tr>
      <w:tr w:rsidR="00A922B4" w:rsidRPr="00A922B4" w14:paraId="693AE9E0" w14:textId="77777777" w:rsidTr="00545B6E">
        <w:trPr>
          <w:trHeight w:val="976"/>
        </w:trPr>
        <w:tc>
          <w:tcPr>
            <w:tcW w:w="3119" w:type="dxa"/>
            <w:shd w:val="clear" w:color="auto" w:fill="FFFFFF"/>
            <w:vAlign w:val="center"/>
          </w:tcPr>
          <w:p w14:paraId="49DB3093" w14:textId="77777777" w:rsidR="00A922B4" w:rsidRPr="00A922B4" w:rsidRDefault="00A922B4" w:rsidP="00A922B4">
            <w:pPr>
              <w:spacing w:after="0" w:line="240" w:lineRule="auto"/>
              <w:ind w:right="-57"/>
              <w:jc w:val="both"/>
              <w:rPr>
                <w:rFonts w:ascii="Times New Roman" w:eastAsia="Times New Roman" w:hAnsi="Times New Roman" w:cs="Times New Roman"/>
                <w:sz w:val="24"/>
                <w:szCs w:val="24"/>
                <w:lang w:eastAsia="ru-RU"/>
              </w:rPr>
            </w:pPr>
            <w:r w:rsidRPr="00A922B4">
              <w:rPr>
                <w:rFonts w:ascii="Times New Roman" w:eastAsia="Times New Roman" w:hAnsi="Times New Roman" w:cs="Times New Roman"/>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276" w:type="dxa"/>
            <w:shd w:val="clear" w:color="000000" w:fill="FFFFFF"/>
            <w:vAlign w:val="center"/>
          </w:tcPr>
          <w:p w14:paraId="78E35E80"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-44 972,0</w:t>
            </w:r>
          </w:p>
        </w:tc>
        <w:tc>
          <w:tcPr>
            <w:tcW w:w="1275" w:type="dxa"/>
            <w:shd w:val="clear" w:color="000000" w:fill="FFFFFF"/>
            <w:vAlign w:val="center"/>
          </w:tcPr>
          <w:p w14:paraId="45AD524E"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-372 532,3</w:t>
            </w:r>
          </w:p>
        </w:tc>
        <w:tc>
          <w:tcPr>
            <w:tcW w:w="1276" w:type="dxa"/>
            <w:shd w:val="clear" w:color="000000" w:fill="FFFFFF"/>
            <w:vAlign w:val="center"/>
          </w:tcPr>
          <w:p w14:paraId="253B5347"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-789 101,9</w:t>
            </w:r>
          </w:p>
        </w:tc>
        <w:tc>
          <w:tcPr>
            <w:tcW w:w="709" w:type="dxa"/>
            <w:shd w:val="clear" w:color="000000" w:fill="FFFFFF"/>
            <w:vAlign w:val="center"/>
          </w:tcPr>
          <w:p w14:paraId="6FF69592"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211,8</w:t>
            </w:r>
          </w:p>
        </w:tc>
        <w:tc>
          <w:tcPr>
            <w:tcW w:w="1276" w:type="dxa"/>
            <w:shd w:val="clear" w:color="000000" w:fill="FFFFFF"/>
            <w:vAlign w:val="center"/>
          </w:tcPr>
          <w:p w14:paraId="61D4E684"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r w:rsidRPr="00A922B4">
              <w:rPr>
                <w:rFonts w:ascii="Times New Roman" w:eastAsia="Times New Roman" w:hAnsi="Times New Roman" w:cs="Times New Roman"/>
                <w:color w:val="000000"/>
                <w:sz w:val="20"/>
                <w:szCs w:val="20"/>
                <w:lang w:eastAsia="ru-RU"/>
              </w:rPr>
              <w:t>-744 129,9</w:t>
            </w:r>
          </w:p>
        </w:tc>
        <w:tc>
          <w:tcPr>
            <w:tcW w:w="708" w:type="dxa"/>
            <w:shd w:val="clear" w:color="000000" w:fill="FFFFFF"/>
            <w:vAlign w:val="center"/>
          </w:tcPr>
          <w:p w14:paraId="3F9C461F" w14:textId="77777777" w:rsidR="00A922B4" w:rsidRPr="00A922B4" w:rsidRDefault="00A922B4" w:rsidP="00A922B4">
            <w:pPr>
              <w:spacing w:after="0" w:line="240" w:lineRule="auto"/>
              <w:jc w:val="right"/>
              <w:rPr>
                <w:rFonts w:ascii="Times New Roman" w:eastAsia="Times New Roman" w:hAnsi="Times New Roman" w:cs="Times New Roman"/>
                <w:color w:val="000000"/>
                <w:sz w:val="20"/>
                <w:szCs w:val="20"/>
                <w:lang w:eastAsia="ru-RU"/>
              </w:rPr>
            </w:pPr>
          </w:p>
        </w:tc>
      </w:tr>
    </w:tbl>
    <w:p w14:paraId="142B35AE" w14:textId="77777777" w:rsidR="00A922B4" w:rsidRPr="00A922B4" w:rsidRDefault="00A922B4" w:rsidP="00A922B4">
      <w:pPr>
        <w:spacing w:after="0" w:line="240" w:lineRule="auto"/>
        <w:jc w:val="both"/>
        <w:rPr>
          <w:rFonts w:ascii="Times New Roman" w:eastAsia="Times New Roman" w:hAnsi="Times New Roman" w:cs="Times New Roman"/>
          <w:b/>
          <w:color w:val="002060"/>
          <w:sz w:val="28"/>
          <w:szCs w:val="28"/>
          <w:highlight w:val="yellow"/>
          <w:lang w:eastAsia="ru-RU"/>
        </w:rPr>
      </w:pPr>
    </w:p>
    <w:p w14:paraId="42112A0F" w14:textId="77777777" w:rsidR="00A922B4" w:rsidRPr="00A922B4" w:rsidRDefault="00A922B4" w:rsidP="00A922B4">
      <w:pPr>
        <w:spacing w:after="0" w:line="240" w:lineRule="auto"/>
        <w:jc w:val="center"/>
        <w:rPr>
          <w:rFonts w:ascii="Times New Roman" w:eastAsia="Times New Roman" w:hAnsi="Times New Roman" w:cs="Times New Roman"/>
          <w:b/>
          <w:color w:val="002060"/>
          <w:sz w:val="28"/>
          <w:szCs w:val="28"/>
          <w:lang w:eastAsia="ru-RU"/>
        </w:rPr>
      </w:pPr>
      <w:r w:rsidRPr="00A922B4">
        <w:rPr>
          <w:rFonts w:ascii="Times New Roman" w:eastAsia="Times New Roman" w:hAnsi="Times New Roman" w:cs="Times New Roman"/>
          <w:b/>
          <w:color w:val="002060"/>
          <w:sz w:val="28"/>
          <w:szCs w:val="28"/>
          <w:lang w:eastAsia="ru-RU"/>
        </w:rPr>
        <w:t xml:space="preserve">Структура доходов </w:t>
      </w:r>
    </w:p>
    <w:p w14:paraId="2787511A" w14:textId="77777777" w:rsidR="00A922B4" w:rsidRPr="00A922B4" w:rsidRDefault="00A922B4" w:rsidP="00A922B4">
      <w:pPr>
        <w:spacing w:after="0" w:line="240" w:lineRule="auto"/>
        <w:jc w:val="center"/>
        <w:rPr>
          <w:rFonts w:ascii="Times New Roman" w:eastAsia="Times New Roman" w:hAnsi="Times New Roman" w:cs="Times New Roman"/>
          <w:b/>
          <w:color w:val="002060"/>
          <w:sz w:val="28"/>
          <w:szCs w:val="28"/>
          <w:lang w:eastAsia="ru-RU"/>
        </w:rPr>
      </w:pPr>
      <w:r w:rsidRPr="00A922B4">
        <w:rPr>
          <w:rFonts w:ascii="Times New Roman" w:eastAsia="Times New Roman" w:hAnsi="Times New Roman" w:cs="Times New Roman"/>
          <w:b/>
          <w:color w:val="002060"/>
          <w:sz w:val="28"/>
          <w:szCs w:val="28"/>
          <w:lang w:eastAsia="ru-RU"/>
        </w:rPr>
        <w:t xml:space="preserve">республиканского бюджета Республики Дагестан </w:t>
      </w:r>
    </w:p>
    <w:p w14:paraId="0D3F0925" w14:textId="77777777" w:rsidR="00A922B4" w:rsidRPr="00A922B4" w:rsidRDefault="00A922B4" w:rsidP="00A922B4">
      <w:pPr>
        <w:spacing w:after="0" w:line="240" w:lineRule="auto"/>
        <w:jc w:val="center"/>
        <w:rPr>
          <w:rFonts w:ascii="Times New Roman" w:eastAsia="Times New Roman" w:hAnsi="Times New Roman" w:cs="Times New Roman"/>
          <w:b/>
          <w:color w:val="002060"/>
          <w:sz w:val="28"/>
          <w:szCs w:val="28"/>
          <w:lang w:eastAsia="ru-RU"/>
        </w:rPr>
      </w:pPr>
      <w:r w:rsidRPr="00A922B4">
        <w:rPr>
          <w:rFonts w:ascii="Times New Roman" w:eastAsia="Times New Roman" w:hAnsi="Times New Roman" w:cs="Times New Roman"/>
          <w:b/>
          <w:color w:val="002060"/>
          <w:sz w:val="28"/>
          <w:szCs w:val="28"/>
          <w:lang w:eastAsia="ru-RU"/>
        </w:rPr>
        <w:t>за 2020-2021 годы</w:t>
      </w:r>
    </w:p>
    <w:p w14:paraId="464E9AD8" w14:textId="77777777" w:rsidR="00A922B4" w:rsidRPr="00A922B4" w:rsidRDefault="00A922B4" w:rsidP="00A922B4">
      <w:pPr>
        <w:spacing w:after="0" w:line="240" w:lineRule="auto"/>
        <w:jc w:val="right"/>
        <w:rPr>
          <w:rFonts w:ascii="Times New Roman" w:eastAsia="Times New Roman" w:hAnsi="Times New Roman" w:cs="Times New Roman"/>
          <w:b/>
          <w:color w:val="002060"/>
          <w:sz w:val="24"/>
          <w:szCs w:val="24"/>
          <w:lang w:eastAsia="ru-RU"/>
        </w:rPr>
      </w:pPr>
      <w:r w:rsidRPr="00A922B4">
        <w:rPr>
          <w:rFonts w:ascii="Times New Roman" w:eastAsia="Times New Roman" w:hAnsi="Times New Roman" w:cs="Times New Roman"/>
          <w:b/>
          <w:color w:val="002060"/>
          <w:sz w:val="24"/>
          <w:szCs w:val="24"/>
          <w:lang w:eastAsia="ru-RU"/>
        </w:rPr>
        <w:t>млн. рублей</w:t>
      </w:r>
    </w:p>
    <w:p w14:paraId="50973878" w14:textId="77777777" w:rsidR="00A922B4" w:rsidRPr="00A922B4" w:rsidRDefault="00A922B4" w:rsidP="00A922B4">
      <w:pPr>
        <w:spacing w:after="0" w:line="240" w:lineRule="auto"/>
        <w:jc w:val="right"/>
        <w:rPr>
          <w:rFonts w:ascii="Times New Roman" w:eastAsia="Times New Roman" w:hAnsi="Times New Roman" w:cs="Times New Roman"/>
          <w:b/>
          <w:color w:val="002060"/>
          <w:sz w:val="24"/>
          <w:szCs w:val="24"/>
          <w:lang w:eastAsia="ru-RU"/>
        </w:rPr>
      </w:pPr>
      <w:r w:rsidRPr="00A922B4">
        <w:rPr>
          <w:rFonts w:ascii="Times New Roman" w:eastAsia="Times New Roman" w:hAnsi="Times New Roman" w:cs="Times New Roman"/>
          <w:noProof/>
          <w:sz w:val="24"/>
          <w:szCs w:val="24"/>
          <w:lang w:eastAsia="ru-RU"/>
        </w:rPr>
        <w:drawing>
          <wp:inline distT="0" distB="0" distL="0" distR="0" wp14:anchorId="293DFFD0" wp14:editId="4030D8E2">
            <wp:extent cx="6133465" cy="3389971"/>
            <wp:effectExtent l="0" t="0" r="635" b="1270"/>
            <wp:docPr id="70" name="Объект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5E31ED"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3CAE453D" w14:textId="77777777"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структуре доходов республиканского бюджета Республики Дагестан доля безвозмездных поступлений составляет 75,9 % против 79,7 % в 2020 году.</w:t>
      </w:r>
    </w:p>
    <w:p w14:paraId="04A2FD78" w14:textId="77777777"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По отношению к уровню 2020 года объем безвозмездных поступлений уменьшился на 4 034 105,6 тыс. рублей, или на 3 %, в том числе за счет уменьшения объемов:</w:t>
      </w:r>
    </w:p>
    <w:p w14:paraId="7BE2A2EE" w14:textId="77777777"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дотации – на 2 631 217,1 тыс. рублей, или на 3,3 %;</w:t>
      </w:r>
    </w:p>
    <w:p w14:paraId="40918975" w14:textId="77777777"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субвенции</w:t>
      </w:r>
      <w:r w:rsidRPr="00A922B4">
        <w:rPr>
          <w:rFonts w:ascii="Times New Roman" w:eastAsia="Times New Roman" w:hAnsi="Times New Roman" w:cs="Times New Roman"/>
          <w:sz w:val="24"/>
          <w:szCs w:val="24"/>
          <w:lang w:eastAsia="ru-RU"/>
        </w:rPr>
        <w:t xml:space="preserve"> – </w:t>
      </w:r>
      <w:r w:rsidRPr="00A922B4">
        <w:rPr>
          <w:rFonts w:ascii="Times New Roman" w:eastAsia="Times New Roman" w:hAnsi="Times New Roman" w:cs="Times New Roman"/>
          <w:sz w:val="28"/>
          <w:szCs w:val="28"/>
          <w:lang w:eastAsia="ru-RU"/>
        </w:rPr>
        <w:t>на 1 118 505,0 тыс. рублей, или на 8 %;</w:t>
      </w:r>
    </w:p>
    <w:p w14:paraId="2A53373B" w14:textId="77777777"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иные межбюджетные трансферты – на 2 022 729,6 тыс. рублей, или на 18,4 %.</w:t>
      </w:r>
    </w:p>
    <w:p w14:paraId="557A9139" w14:textId="77777777"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 xml:space="preserve">В составе безвозмездных поступлений за 2021 год (131 112 300,6 тыс. рублей) 99,2 % составляют поступления из федерального бюджета – </w:t>
      </w:r>
      <w:r w:rsidRPr="00A922B4">
        <w:rPr>
          <w:rFonts w:ascii="Times New Roman" w:eastAsia="Times New Roman" w:hAnsi="Times New Roman" w:cs="Times New Roman"/>
          <w:sz w:val="28"/>
          <w:szCs w:val="28"/>
          <w:lang w:eastAsia="ru-RU"/>
        </w:rPr>
        <w:br/>
        <w:t xml:space="preserve">130 016 254,9 тыс. рублей. </w:t>
      </w:r>
    </w:p>
    <w:p w14:paraId="5A2219C9" w14:textId="77777777"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общем объеме поступлений из федерального бюджета поступления в виде дотаций бюджетам субъектов Российской Федерации составили 59,6 %, или 77 492 684,6 тыс. рублей, субсидий – 23,6 %, или 30 723 300,2 тыс. рублей, субвенций – 9,8 %, или 12 805 432,5 тыс. рублей, иные межбюджетные трансферты – 6,9 %, или 8 994 837,6 тыс. рублей.</w:t>
      </w:r>
    </w:p>
    <w:p w14:paraId="69442B4E" w14:textId="77777777" w:rsidR="00A922B4" w:rsidRPr="00A922B4" w:rsidRDefault="00A922B4" w:rsidP="005237E7">
      <w:pPr>
        <w:spacing w:after="0" w:line="380" w:lineRule="exact"/>
        <w:ind w:right="-1"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Поступление налоговых и неналоговых доходов в 2021 году составило</w:t>
      </w:r>
      <w:r w:rsidRPr="00A922B4">
        <w:rPr>
          <w:rFonts w:ascii="Times New Roman" w:eastAsia="Times New Roman" w:hAnsi="Times New Roman" w:cs="Times New Roman"/>
          <w:sz w:val="28"/>
          <w:szCs w:val="28"/>
          <w:lang w:eastAsia="ru-RU"/>
        </w:rPr>
        <w:br/>
        <w:t xml:space="preserve">41 734 515,7 тыс. рублей, что на 7 207 592,8 тыс. рублей, или 20,9 % больше уровня 2020 года (34 526 922,9 тыс. рублей). </w:t>
      </w:r>
    </w:p>
    <w:p w14:paraId="773E2FC4" w14:textId="1E8B65FB" w:rsidR="00A922B4" w:rsidRPr="00A922B4" w:rsidRDefault="00A922B4" w:rsidP="005237E7">
      <w:pPr>
        <w:spacing w:after="0" w:line="380" w:lineRule="exact"/>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структуре доходов республиканского бюджета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доля налоговых и неналоговых доходов в 2021 году увеличилась по сравнению с уровнем 2020 года на 3,8 процентных пунктов и составила 24,1 % против 20,3 % в 2020 году.</w:t>
      </w:r>
    </w:p>
    <w:p w14:paraId="27BB69A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5BD080BC"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68E78310"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149BE3B1"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3B7ABFD6"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6F1E59F8"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7A6E682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789E206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654D8B25"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6ADFFD28"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2DFFC4E5"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48314541"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253AB411"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581AC7C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166E9102"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2ABDB54C"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4AE0E798"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31219AE5"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71401383"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42397E01"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32A3B81E"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4DDB22E0"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6AD5CC41" w14:textId="4A7BE825" w:rsid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0E85ADCF" w14:textId="77777777" w:rsidR="00A60AEE" w:rsidRPr="00A922B4" w:rsidRDefault="00A60AEE" w:rsidP="00A922B4">
      <w:pPr>
        <w:spacing w:after="0" w:line="240" w:lineRule="auto"/>
        <w:ind w:firstLine="709"/>
        <w:jc w:val="both"/>
        <w:rPr>
          <w:rFonts w:ascii="Times New Roman" w:eastAsia="Times New Roman" w:hAnsi="Times New Roman" w:cs="Times New Roman"/>
          <w:sz w:val="28"/>
          <w:szCs w:val="28"/>
          <w:lang w:eastAsia="ru-RU"/>
        </w:rPr>
      </w:pPr>
    </w:p>
    <w:p w14:paraId="2709D47F"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5C700213" w14:textId="291F0C24" w:rsidR="00A922B4" w:rsidRPr="00A922B4" w:rsidRDefault="00A922B4" w:rsidP="005B21C7">
      <w:pPr>
        <w:spacing w:after="0" w:line="240" w:lineRule="auto"/>
        <w:ind w:firstLine="708"/>
        <w:jc w:val="both"/>
        <w:rPr>
          <w:rFonts w:ascii="Times New Roman" w:eastAsia="Times New Roman" w:hAnsi="Times New Roman" w:cs="Times New Roman"/>
          <w:b/>
          <w:color w:val="002060"/>
          <w:sz w:val="28"/>
          <w:szCs w:val="28"/>
          <w:lang w:eastAsia="ru-RU"/>
        </w:rPr>
      </w:pPr>
      <w:r w:rsidRPr="00A922B4">
        <w:rPr>
          <w:rFonts w:ascii="Times New Roman" w:eastAsia="Times New Roman" w:hAnsi="Times New Roman" w:cs="Times New Roman"/>
          <w:b/>
          <w:color w:val="002060"/>
          <w:sz w:val="28"/>
          <w:szCs w:val="28"/>
          <w:lang w:eastAsia="ru-RU"/>
        </w:rPr>
        <w:lastRenderedPageBreak/>
        <w:t>4.1.1. Налоговые и неналоговые доходы</w:t>
      </w:r>
      <w:r w:rsidR="005B21C7">
        <w:rPr>
          <w:rFonts w:ascii="Times New Roman" w:eastAsia="Times New Roman" w:hAnsi="Times New Roman" w:cs="Times New Roman"/>
          <w:b/>
          <w:color w:val="002060"/>
          <w:sz w:val="28"/>
          <w:szCs w:val="28"/>
          <w:lang w:eastAsia="ru-RU"/>
        </w:rPr>
        <w:t xml:space="preserve"> </w:t>
      </w:r>
      <w:r w:rsidRPr="00A922B4">
        <w:rPr>
          <w:rFonts w:ascii="Times New Roman" w:eastAsia="Times New Roman" w:hAnsi="Times New Roman" w:cs="Times New Roman"/>
          <w:b/>
          <w:color w:val="002060"/>
          <w:sz w:val="28"/>
          <w:szCs w:val="28"/>
          <w:lang w:eastAsia="ru-RU"/>
        </w:rPr>
        <w:t>республиканского бюджета Республики Дагестан</w:t>
      </w:r>
      <w:r w:rsidR="005B21C7">
        <w:rPr>
          <w:rFonts w:ascii="Times New Roman" w:eastAsia="Times New Roman" w:hAnsi="Times New Roman" w:cs="Times New Roman"/>
          <w:b/>
          <w:color w:val="002060"/>
          <w:sz w:val="28"/>
          <w:szCs w:val="28"/>
          <w:lang w:eastAsia="ru-RU"/>
        </w:rPr>
        <w:t>.</w:t>
      </w:r>
    </w:p>
    <w:p w14:paraId="500C8A43"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highlight w:val="yellow"/>
          <w:lang w:eastAsia="ru-RU"/>
        </w:rPr>
      </w:pPr>
    </w:p>
    <w:p w14:paraId="0C2113BF" w14:textId="647196E7" w:rsidR="00A922B4" w:rsidRPr="00A922B4" w:rsidRDefault="00BF35BD" w:rsidP="00A922B4">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bookmarkStart w:id="15" w:name="_Hlk104557828"/>
      <w:r w:rsidRPr="00BF35BD">
        <w:rPr>
          <w:rFonts w:ascii="Times New Roman" w:eastAsia="Calibri" w:hAnsi="Times New Roman" w:cs="Times New Roman"/>
          <w:b/>
          <w:bCs/>
          <w:color w:val="002060"/>
          <w:sz w:val="28"/>
          <w:szCs w:val="28"/>
          <w:lang w:eastAsia="ru-RU"/>
        </w:rPr>
        <w:t>4.1.1.1.</w:t>
      </w:r>
      <w:r w:rsidRPr="00BF35BD">
        <w:rPr>
          <w:rFonts w:ascii="Times New Roman" w:eastAsia="Calibri" w:hAnsi="Times New Roman" w:cs="Times New Roman"/>
          <w:color w:val="002060"/>
          <w:sz w:val="28"/>
          <w:szCs w:val="28"/>
          <w:lang w:eastAsia="ru-RU"/>
        </w:rPr>
        <w:t xml:space="preserve"> </w:t>
      </w:r>
      <w:bookmarkEnd w:id="15"/>
      <w:r w:rsidR="00A922B4" w:rsidRPr="00A922B4">
        <w:rPr>
          <w:rFonts w:ascii="Times New Roman" w:eastAsia="Calibri" w:hAnsi="Times New Roman" w:cs="Times New Roman"/>
          <w:sz w:val="28"/>
          <w:szCs w:val="28"/>
          <w:lang w:eastAsia="ru-RU"/>
        </w:rPr>
        <w:t>Поступление налоговых и неналоговых доходов в республиканский бюджет Р</w:t>
      </w:r>
      <w:r w:rsidR="00946B4D">
        <w:rPr>
          <w:rFonts w:ascii="Times New Roman" w:eastAsia="Calibri" w:hAnsi="Times New Roman" w:cs="Times New Roman"/>
          <w:sz w:val="28"/>
          <w:szCs w:val="28"/>
          <w:lang w:eastAsia="ru-RU"/>
        </w:rPr>
        <w:t>еспублики Дагестан</w:t>
      </w:r>
      <w:r w:rsidR="00A922B4" w:rsidRPr="00A922B4">
        <w:rPr>
          <w:rFonts w:ascii="Times New Roman" w:eastAsia="Calibri" w:hAnsi="Times New Roman" w:cs="Times New Roman"/>
          <w:sz w:val="28"/>
          <w:szCs w:val="28"/>
          <w:lang w:eastAsia="ru-RU"/>
        </w:rPr>
        <w:t xml:space="preserve"> за 2020-2021 годы приведено в следующей таблице.</w:t>
      </w:r>
    </w:p>
    <w:p w14:paraId="6BFF2CF9" w14:textId="77777777" w:rsidR="00A922B4" w:rsidRPr="00A922B4" w:rsidRDefault="00A922B4" w:rsidP="00A922B4">
      <w:pPr>
        <w:spacing w:after="0" w:line="240" w:lineRule="auto"/>
        <w:jc w:val="right"/>
        <w:rPr>
          <w:rFonts w:ascii="Times New Roman" w:eastAsia="Times New Roman" w:hAnsi="Times New Roman" w:cs="Times New Roman"/>
          <w:b/>
          <w:color w:val="002060"/>
          <w:sz w:val="24"/>
          <w:szCs w:val="24"/>
          <w:lang w:val="en-US" w:eastAsia="ru-RU"/>
        </w:rPr>
      </w:pPr>
      <w:r w:rsidRPr="00A922B4">
        <w:rPr>
          <w:rFonts w:ascii="Times New Roman" w:eastAsia="Times New Roman" w:hAnsi="Times New Roman" w:cs="Times New Roman"/>
          <w:b/>
          <w:color w:val="002060"/>
          <w:sz w:val="24"/>
          <w:szCs w:val="24"/>
          <w:lang w:eastAsia="ru-RU"/>
        </w:rPr>
        <w:t>тыс. рублей</w:t>
      </w:r>
    </w:p>
    <w:tbl>
      <w:tblPr>
        <w:tblW w:w="95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9"/>
        <w:gridCol w:w="1080"/>
        <w:gridCol w:w="1080"/>
        <w:gridCol w:w="1080"/>
        <w:gridCol w:w="1054"/>
        <w:gridCol w:w="746"/>
        <w:gridCol w:w="1096"/>
        <w:gridCol w:w="567"/>
      </w:tblGrid>
      <w:tr w:rsidR="00A922B4" w:rsidRPr="00A922B4" w14:paraId="38366A3C" w14:textId="77777777" w:rsidTr="00156793">
        <w:trPr>
          <w:trHeight w:val="363"/>
        </w:trPr>
        <w:tc>
          <w:tcPr>
            <w:tcW w:w="2879" w:type="dxa"/>
            <w:vMerge w:val="restart"/>
            <w:shd w:val="clear" w:color="auto" w:fill="D9E2F3" w:themeFill="accent1" w:themeFillTint="33"/>
            <w:vAlign w:val="center"/>
          </w:tcPr>
          <w:p w14:paraId="376D3B34" w14:textId="77777777" w:rsidR="00A922B4" w:rsidRPr="00A922B4" w:rsidRDefault="00A922B4" w:rsidP="00A922B4">
            <w:pPr>
              <w:spacing w:after="0" w:line="240" w:lineRule="auto"/>
              <w:ind w:left="-57" w:right="-113"/>
              <w:jc w:val="center"/>
              <w:rPr>
                <w:rFonts w:ascii="Times New Roman" w:eastAsia="Times New Roman" w:hAnsi="Times New Roman" w:cs="Times New Roman"/>
                <w:b/>
                <w:bCs/>
                <w:sz w:val="18"/>
                <w:szCs w:val="18"/>
                <w:lang w:eastAsia="ru-RU"/>
              </w:rPr>
            </w:pPr>
            <w:r w:rsidRPr="00A922B4">
              <w:rPr>
                <w:rFonts w:ascii="Times New Roman" w:eastAsia="Times New Roman" w:hAnsi="Times New Roman" w:cs="Times New Roman"/>
                <w:b/>
                <w:bCs/>
                <w:sz w:val="18"/>
                <w:szCs w:val="18"/>
                <w:lang w:eastAsia="ru-RU"/>
              </w:rPr>
              <w:t>Наименование</w:t>
            </w:r>
          </w:p>
        </w:tc>
        <w:tc>
          <w:tcPr>
            <w:tcW w:w="1080" w:type="dxa"/>
            <w:vMerge w:val="restart"/>
            <w:shd w:val="clear" w:color="auto" w:fill="D9E2F3" w:themeFill="accent1" w:themeFillTint="33"/>
            <w:vAlign w:val="center"/>
          </w:tcPr>
          <w:p w14:paraId="7484FF59"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 xml:space="preserve">Отчет </w:t>
            </w:r>
          </w:p>
          <w:p w14:paraId="2D44E1C9"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2020 год</w:t>
            </w:r>
          </w:p>
          <w:p w14:paraId="46969796"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p>
        </w:tc>
        <w:tc>
          <w:tcPr>
            <w:tcW w:w="3960" w:type="dxa"/>
            <w:gridSpan w:val="4"/>
            <w:shd w:val="clear" w:color="auto" w:fill="D9E2F3" w:themeFill="accent1" w:themeFillTint="33"/>
            <w:vAlign w:val="center"/>
          </w:tcPr>
          <w:p w14:paraId="1A423ED8"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2021 год</w:t>
            </w:r>
          </w:p>
        </w:tc>
        <w:tc>
          <w:tcPr>
            <w:tcW w:w="1663" w:type="dxa"/>
            <w:gridSpan w:val="2"/>
            <w:shd w:val="clear" w:color="auto" w:fill="D9E2F3" w:themeFill="accent1" w:themeFillTint="33"/>
            <w:vAlign w:val="center"/>
          </w:tcPr>
          <w:p w14:paraId="7A71A6C7" w14:textId="77777777" w:rsidR="00A922B4" w:rsidRPr="00A922B4" w:rsidRDefault="00A922B4" w:rsidP="00A922B4">
            <w:pPr>
              <w:spacing w:after="0" w:line="240" w:lineRule="auto"/>
              <w:ind w:left="-121" w:right="-140"/>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 xml:space="preserve">Отчет за 2021 год </w:t>
            </w:r>
          </w:p>
          <w:p w14:paraId="751816FA" w14:textId="77777777" w:rsidR="00A922B4" w:rsidRPr="00A922B4" w:rsidRDefault="00A922B4" w:rsidP="00A922B4">
            <w:pPr>
              <w:spacing w:after="0" w:line="240" w:lineRule="auto"/>
              <w:ind w:left="-121" w:right="-140"/>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к отчету за 2020 год</w:t>
            </w:r>
          </w:p>
        </w:tc>
      </w:tr>
      <w:tr w:rsidR="00A922B4" w:rsidRPr="00A922B4" w14:paraId="04ACE9F3" w14:textId="77777777" w:rsidTr="00156793">
        <w:trPr>
          <w:trHeight w:val="342"/>
        </w:trPr>
        <w:tc>
          <w:tcPr>
            <w:tcW w:w="2879" w:type="dxa"/>
            <w:vMerge/>
            <w:shd w:val="clear" w:color="auto" w:fill="D9E2F3" w:themeFill="accent1" w:themeFillTint="33"/>
            <w:vAlign w:val="center"/>
          </w:tcPr>
          <w:p w14:paraId="1A964B8D" w14:textId="77777777" w:rsidR="00A922B4" w:rsidRPr="00A922B4" w:rsidRDefault="00A922B4" w:rsidP="00A922B4">
            <w:pPr>
              <w:spacing w:after="0" w:line="240" w:lineRule="auto"/>
              <w:ind w:left="-57" w:right="-113"/>
              <w:jc w:val="center"/>
              <w:rPr>
                <w:rFonts w:ascii="Times New Roman" w:eastAsia="Times New Roman" w:hAnsi="Times New Roman" w:cs="Times New Roman"/>
                <w:b/>
                <w:bCs/>
                <w:sz w:val="18"/>
                <w:szCs w:val="18"/>
                <w:lang w:eastAsia="ru-RU"/>
              </w:rPr>
            </w:pPr>
          </w:p>
        </w:tc>
        <w:tc>
          <w:tcPr>
            <w:tcW w:w="1080" w:type="dxa"/>
            <w:vMerge/>
            <w:shd w:val="clear" w:color="auto" w:fill="D9E2F3" w:themeFill="accent1" w:themeFillTint="33"/>
            <w:vAlign w:val="center"/>
          </w:tcPr>
          <w:p w14:paraId="12DD2C34"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sz w:val="18"/>
                <w:szCs w:val="18"/>
                <w:lang w:eastAsia="ru-RU"/>
              </w:rPr>
            </w:pPr>
          </w:p>
        </w:tc>
        <w:tc>
          <w:tcPr>
            <w:tcW w:w="1080" w:type="dxa"/>
            <w:shd w:val="clear" w:color="auto" w:fill="D9E2F3" w:themeFill="accent1" w:themeFillTint="33"/>
            <w:vAlign w:val="center"/>
          </w:tcPr>
          <w:p w14:paraId="49F58169"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sz w:val="18"/>
                <w:szCs w:val="18"/>
                <w:lang w:eastAsia="ru-RU"/>
              </w:rPr>
            </w:pPr>
            <w:r w:rsidRPr="00A922B4">
              <w:rPr>
                <w:rFonts w:ascii="Times New Roman" w:eastAsia="Times New Roman" w:hAnsi="Times New Roman" w:cs="Times New Roman"/>
                <w:b/>
                <w:sz w:val="18"/>
                <w:szCs w:val="18"/>
                <w:lang w:eastAsia="ru-RU"/>
              </w:rPr>
              <w:t>утверждено</w:t>
            </w:r>
          </w:p>
        </w:tc>
        <w:tc>
          <w:tcPr>
            <w:tcW w:w="1080" w:type="dxa"/>
            <w:shd w:val="clear" w:color="auto" w:fill="D9E2F3" w:themeFill="accent1" w:themeFillTint="33"/>
            <w:vAlign w:val="center"/>
          </w:tcPr>
          <w:p w14:paraId="6A726DA9"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sz w:val="18"/>
                <w:szCs w:val="18"/>
                <w:lang w:eastAsia="ru-RU"/>
              </w:rPr>
            </w:pPr>
            <w:r w:rsidRPr="00A922B4">
              <w:rPr>
                <w:rFonts w:ascii="Times New Roman" w:eastAsia="Times New Roman" w:hAnsi="Times New Roman" w:cs="Times New Roman"/>
                <w:b/>
                <w:sz w:val="18"/>
                <w:szCs w:val="18"/>
                <w:lang w:eastAsia="ru-RU"/>
              </w:rPr>
              <w:t>исполнено</w:t>
            </w:r>
          </w:p>
        </w:tc>
        <w:tc>
          <w:tcPr>
            <w:tcW w:w="1054" w:type="dxa"/>
            <w:shd w:val="clear" w:color="auto" w:fill="D9E2F3" w:themeFill="accent1" w:themeFillTint="33"/>
            <w:vAlign w:val="center"/>
          </w:tcPr>
          <w:p w14:paraId="42E5E867"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w:t>
            </w:r>
          </w:p>
        </w:tc>
        <w:tc>
          <w:tcPr>
            <w:tcW w:w="746" w:type="dxa"/>
            <w:shd w:val="clear" w:color="auto" w:fill="D9E2F3" w:themeFill="accent1" w:themeFillTint="33"/>
            <w:vAlign w:val="center"/>
          </w:tcPr>
          <w:p w14:paraId="09118280"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w:t>
            </w:r>
          </w:p>
        </w:tc>
        <w:tc>
          <w:tcPr>
            <w:tcW w:w="1096" w:type="dxa"/>
            <w:shd w:val="clear" w:color="auto" w:fill="D9E2F3" w:themeFill="accent1" w:themeFillTint="33"/>
            <w:vAlign w:val="center"/>
          </w:tcPr>
          <w:p w14:paraId="7FC81C1F"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w:t>
            </w:r>
          </w:p>
        </w:tc>
        <w:tc>
          <w:tcPr>
            <w:tcW w:w="567" w:type="dxa"/>
            <w:shd w:val="clear" w:color="auto" w:fill="D9E2F3" w:themeFill="accent1" w:themeFillTint="33"/>
            <w:vAlign w:val="center"/>
          </w:tcPr>
          <w:p w14:paraId="3AEBD73C" w14:textId="77777777" w:rsidR="00A922B4" w:rsidRPr="00A922B4" w:rsidRDefault="00A922B4" w:rsidP="00A922B4">
            <w:pPr>
              <w:spacing w:after="0" w:line="240" w:lineRule="auto"/>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w:t>
            </w:r>
          </w:p>
        </w:tc>
      </w:tr>
      <w:tr w:rsidR="00A922B4" w:rsidRPr="00A922B4" w14:paraId="5CC4F22D" w14:textId="77777777" w:rsidTr="00545B6E">
        <w:trPr>
          <w:trHeight w:val="270"/>
        </w:trPr>
        <w:tc>
          <w:tcPr>
            <w:tcW w:w="2879" w:type="dxa"/>
            <w:shd w:val="clear" w:color="auto" w:fill="FFFFFF"/>
            <w:vAlign w:val="center"/>
          </w:tcPr>
          <w:p w14:paraId="7897B7E3" w14:textId="77777777" w:rsidR="00A922B4" w:rsidRPr="00A922B4" w:rsidRDefault="00A922B4" w:rsidP="00A922B4">
            <w:pPr>
              <w:spacing w:after="0" w:line="240" w:lineRule="auto"/>
              <w:ind w:left="-57" w:right="-113"/>
              <w:jc w:val="both"/>
              <w:rPr>
                <w:rFonts w:ascii="Times New Roman" w:eastAsia="Times New Roman" w:hAnsi="Times New Roman" w:cs="Times New Roman"/>
                <w:b/>
                <w:bCs/>
                <w:sz w:val="18"/>
                <w:szCs w:val="18"/>
                <w:lang w:eastAsia="ru-RU"/>
              </w:rPr>
            </w:pPr>
            <w:r w:rsidRPr="00A922B4">
              <w:rPr>
                <w:rFonts w:ascii="Times New Roman" w:eastAsia="Times New Roman" w:hAnsi="Times New Roman" w:cs="Times New Roman"/>
                <w:b/>
                <w:bCs/>
                <w:sz w:val="18"/>
                <w:szCs w:val="18"/>
                <w:lang w:eastAsia="ru-RU"/>
              </w:rPr>
              <w:t>Налоговые и неналоговые доходы, всего</w:t>
            </w:r>
          </w:p>
        </w:tc>
        <w:tc>
          <w:tcPr>
            <w:tcW w:w="1080" w:type="dxa"/>
            <w:shd w:val="clear" w:color="000000" w:fill="FFFFFF"/>
            <w:vAlign w:val="center"/>
          </w:tcPr>
          <w:p w14:paraId="6F766A89"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34 526 922,8</w:t>
            </w:r>
          </w:p>
        </w:tc>
        <w:tc>
          <w:tcPr>
            <w:tcW w:w="1080" w:type="dxa"/>
            <w:shd w:val="clear" w:color="000000" w:fill="FFFFFF"/>
            <w:vAlign w:val="center"/>
          </w:tcPr>
          <w:p w14:paraId="2CE1F957"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41 232 821,9</w:t>
            </w:r>
          </w:p>
        </w:tc>
        <w:tc>
          <w:tcPr>
            <w:tcW w:w="1080" w:type="dxa"/>
            <w:shd w:val="clear" w:color="000000" w:fill="FFFFFF"/>
            <w:vAlign w:val="center"/>
          </w:tcPr>
          <w:p w14:paraId="742743E9"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41 734 515,7</w:t>
            </w:r>
          </w:p>
        </w:tc>
        <w:tc>
          <w:tcPr>
            <w:tcW w:w="1054" w:type="dxa"/>
            <w:shd w:val="clear" w:color="000000" w:fill="FFFFFF"/>
            <w:vAlign w:val="center"/>
          </w:tcPr>
          <w:p w14:paraId="21654286"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501 693,8</w:t>
            </w:r>
          </w:p>
        </w:tc>
        <w:tc>
          <w:tcPr>
            <w:tcW w:w="746" w:type="dxa"/>
            <w:shd w:val="clear" w:color="000000" w:fill="auto"/>
            <w:vAlign w:val="center"/>
          </w:tcPr>
          <w:p w14:paraId="44B5D257"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101,2</w:t>
            </w:r>
          </w:p>
        </w:tc>
        <w:tc>
          <w:tcPr>
            <w:tcW w:w="1096" w:type="dxa"/>
            <w:shd w:val="clear" w:color="000000" w:fill="FFFFFF"/>
            <w:vAlign w:val="center"/>
          </w:tcPr>
          <w:p w14:paraId="0E532E46"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7 207 592,9</w:t>
            </w:r>
          </w:p>
        </w:tc>
        <w:tc>
          <w:tcPr>
            <w:tcW w:w="567" w:type="dxa"/>
            <w:shd w:val="clear" w:color="000000" w:fill="FFFFFF"/>
            <w:vAlign w:val="center"/>
          </w:tcPr>
          <w:p w14:paraId="2822DEAA"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120,9</w:t>
            </w:r>
          </w:p>
        </w:tc>
      </w:tr>
      <w:tr w:rsidR="00A922B4" w:rsidRPr="00A922B4" w14:paraId="0DD1F952" w14:textId="77777777" w:rsidTr="00545B6E">
        <w:trPr>
          <w:trHeight w:val="270"/>
        </w:trPr>
        <w:tc>
          <w:tcPr>
            <w:tcW w:w="2879" w:type="dxa"/>
            <w:shd w:val="clear" w:color="auto" w:fill="FFFFFF"/>
            <w:vAlign w:val="center"/>
          </w:tcPr>
          <w:p w14:paraId="0A8BA110" w14:textId="77777777" w:rsidR="00A922B4" w:rsidRPr="00A922B4" w:rsidRDefault="00A922B4" w:rsidP="00A922B4">
            <w:pPr>
              <w:spacing w:after="0" w:line="240" w:lineRule="auto"/>
              <w:ind w:left="-57" w:right="-113"/>
              <w:jc w:val="both"/>
              <w:rPr>
                <w:rFonts w:ascii="Times New Roman" w:eastAsia="Times New Roman" w:hAnsi="Times New Roman" w:cs="Times New Roman"/>
                <w:b/>
                <w:bCs/>
                <w:i/>
                <w:iCs/>
                <w:sz w:val="18"/>
                <w:szCs w:val="18"/>
                <w:lang w:eastAsia="ru-RU"/>
              </w:rPr>
            </w:pPr>
            <w:r w:rsidRPr="00A922B4">
              <w:rPr>
                <w:rFonts w:ascii="Times New Roman" w:eastAsia="Times New Roman" w:hAnsi="Times New Roman" w:cs="Times New Roman"/>
                <w:b/>
                <w:bCs/>
                <w:i/>
                <w:iCs/>
                <w:sz w:val="18"/>
                <w:szCs w:val="18"/>
                <w:lang w:eastAsia="ru-RU"/>
              </w:rPr>
              <w:t>Налоговые доходы</w:t>
            </w:r>
          </w:p>
        </w:tc>
        <w:tc>
          <w:tcPr>
            <w:tcW w:w="1080" w:type="dxa"/>
            <w:shd w:val="clear" w:color="000000" w:fill="FFFFFF"/>
            <w:vAlign w:val="center"/>
          </w:tcPr>
          <w:p w14:paraId="29AE87D4" w14:textId="77777777" w:rsidR="00A922B4" w:rsidRPr="00A922B4" w:rsidRDefault="00A922B4" w:rsidP="00A922B4">
            <w:pPr>
              <w:spacing w:after="0" w:line="240" w:lineRule="auto"/>
              <w:ind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33 468 831,2</w:t>
            </w:r>
          </w:p>
        </w:tc>
        <w:tc>
          <w:tcPr>
            <w:tcW w:w="1080" w:type="dxa"/>
            <w:shd w:val="clear" w:color="000000" w:fill="FFFFFF"/>
            <w:vAlign w:val="center"/>
          </w:tcPr>
          <w:p w14:paraId="279D9F84"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38 990 001,2</w:t>
            </w:r>
          </w:p>
        </w:tc>
        <w:tc>
          <w:tcPr>
            <w:tcW w:w="1080" w:type="dxa"/>
            <w:shd w:val="clear" w:color="000000" w:fill="FFFFFF"/>
            <w:vAlign w:val="center"/>
          </w:tcPr>
          <w:p w14:paraId="64FD5A13"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38 965 793,0</w:t>
            </w:r>
          </w:p>
        </w:tc>
        <w:tc>
          <w:tcPr>
            <w:tcW w:w="1054" w:type="dxa"/>
            <w:shd w:val="clear" w:color="000000" w:fill="FFFFFF"/>
            <w:vAlign w:val="center"/>
          </w:tcPr>
          <w:p w14:paraId="667583E9"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-24 208,2</w:t>
            </w:r>
          </w:p>
        </w:tc>
        <w:tc>
          <w:tcPr>
            <w:tcW w:w="746" w:type="dxa"/>
            <w:shd w:val="clear" w:color="000000" w:fill="auto"/>
            <w:vAlign w:val="center"/>
          </w:tcPr>
          <w:p w14:paraId="455268E5"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99,9</w:t>
            </w:r>
          </w:p>
        </w:tc>
        <w:tc>
          <w:tcPr>
            <w:tcW w:w="1096" w:type="dxa"/>
            <w:shd w:val="clear" w:color="000000" w:fill="FFFFFF"/>
            <w:vAlign w:val="center"/>
          </w:tcPr>
          <w:p w14:paraId="058EFE93"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5 496 961,8</w:t>
            </w:r>
          </w:p>
        </w:tc>
        <w:tc>
          <w:tcPr>
            <w:tcW w:w="567" w:type="dxa"/>
            <w:shd w:val="clear" w:color="000000" w:fill="FFFFFF"/>
            <w:vAlign w:val="center"/>
          </w:tcPr>
          <w:p w14:paraId="59C8F7A9"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116,4</w:t>
            </w:r>
          </w:p>
        </w:tc>
      </w:tr>
      <w:tr w:rsidR="00A922B4" w:rsidRPr="00A922B4" w14:paraId="02D6765F" w14:textId="77777777" w:rsidTr="00545B6E">
        <w:trPr>
          <w:trHeight w:val="194"/>
        </w:trPr>
        <w:tc>
          <w:tcPr>
            <w:tcW w:w="2879" w:type="dxa"/>
            <w:shd w:val="clear" w:color="auto" w:fill="FFFFFF"/>
            <w:vAlign w:val="center"/>
          </w:tcPr>
          <w:p w14:paraId="4B5679FB"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Налог на прибыль организаций</w:t>
            </w:r>
          </w:p>
        </w:tc>
        <w:tc>
          <w:tcPr>
            <w:tcW w:w="1080" w:type="dxa"/>
            <w:vAlign w:val="center"/>
          </w:tcPr>
          <w:p w14:paraId="4F927F0E"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4 712 446,3</w:t>
            </w:r>
          </w:p>
        </w:tc>
        <w:tc>
          <w:tcPr>
            <w:tcW w:w="1080" w:type="dxa"/>
            <w:vAlign w:val="bottom"/>
          </w:tcPr>
          <w:p w14:paraId="42211301"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5 307 712,9</w:t>
            </w:r>
          </w:p>
        </w:tc>
        <w:tc>
          <w:tcPr>
            <w:tcW w:w="1080" w:type="dxa"/>
            <w:vAlign w:val="bottom"/>
          </w:tcPr>
          <w:p w14:paraId="09E2DBD1"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5 964 578,4</w:t>
            </w:r>
          </w:p>
        </w:tc>
        <w:tc>
          <w:tcPr>
            <w:tcW w:w="1054" w:type="dxa"/>
            <w:shd w:val="clear" w:color="000000" w:fill="FFFFFF"/>
            <w:vAlign w:val="center"/>
          </w:tcPr>
          <w:p w14:paraId="5F179B38"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656 865,5</w:t>
            </w:r>
          </w:p>
        </w:tc>
        <w:tc>
          <w:tcPr>
            <w:tcW w:w="746" w:type="dxa"/>
            <w:shd w:val="clear" w:color="000000" w:fill="auto"/>
            <w:vAlign w:val="center"/>
          </w:tcPr>
          <w:p w14:paraId="27AA9953"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112,4</w:t>
            </w:r>
          </w:p>
        </w:tc>
        <w:tc>
          <w:tcPr>
            <w:tcW w:w="1096" w:type="dxa"/>
            <w:shd w:val="clear" w:color="000000" w:fill="FFFFFF"/>
            <w:vAlign w:val="center"/>
          </w:tcPr>
          <w:p w14:paraId="56C8C0CB"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1 252 132,1</w:t>
            </w:r>
          </w:p>
        </w:tc>
        <w:tc>
          <w:tcPr>
            <w:tcW w:w="567" w:type="dxa"/>
            <w:shd w:val="clear" w:color="000000" w:fill="FFFFFF"/>
            <w:vAlign w:val="center"/>
          </w:tcPr>
          <w:p w14:paraId="6E991C10"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126,6</w:t>
            </w:r>
          </w:p>
        </w:tc>
      </w:tr>
      <w:tr w:rsidR="00A922B4" w:rsidRPr="00A922B4" w14:paraId="3AA4203E" w14:textId="77777777" w:rsidTr="00545B6E">
        <w:trPr>
          <w:trHeight w:val="126"/>
        </w:trPr>
        <w:tc>
          <w:tcPr>
            <w:tcW w:w="2879" w:type="dxa"/>
            <w:shd w:val="clear" w:color="auto" w:fill="FFFFFF"/>
            <w:vAlign w:val="center"/>
          </w:tcPr>
          <w:p w14:paraId="7887C4FE"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Налог на доходы физических лиц</w:t>
            </w:r>
          </w:p>
        </w:tc>
        <w:tc>
          <w:tcPr>
            <w:tcW w:w="1080" w:type="dxa"/>
            <w:vAlign w:val="center"/>
          </w:tcPr>
          <w:p w14:paraId="0B9D441B" w14:textId="77777777" w:rsidR="00A922B4" w:rsidRPr="00A922B4" w:rsidRDefault="00A922B4" w:rsidP="00A922B4">
            <w:pPr>
              <w:spacing w:after="0" w:line="240" w:lineRule="auto"/>
              <w:ind w:left="-57" w:right="-57"/>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15 889 446,3</w:t>
            </w:r>
          </w:p>
        </w:tc>
        <w:tc>
          <w:tcPr>
            <w:tcW w:w="1080" w:type="dxa"/>
            <w:vAlign w:val="bottom"/>
          </w:tcPr>
          <w:p w14:paraId="2B4A85B8"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19 672 593,8</w:t>
            </w:r>
          </w:p>
        </w:tc>
        <w:tc>
          <w:tcPr>
            <w:tcW w:w="1080" w:type="dxa"/>
            <w:vAlign w:val="bottom"/>
          </w:tcPr>
          <w:p w14:paraId="64F8A960"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18 619 577,8</w:t>
            </w:r>
          </w:p>
        </w:tc>
        <w:tc>
          <w:tcPr>
            <w:tcW w:w="1054" w:type="dxa"/>
            <w:shd w:val="clear" w:color="000000" w:fill="FFFFFF"/>
            <w:vAlign w:val="center"/>
          </w:tcPr>
          <w:p w14:paraId="3286B74B"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-1 053 016,0</w:t>
            </w:r>
          </w:p>
        </w:tc>
        <w:tc>
          <w:tcPr>
            <w:tcW w:w="746" w:type="dxa"/>
            <w:shd w:val="clear" w:color="000000" w:fill="auto"/>
            <w:vAlign w:val="center"/>
          </w:tcPr>
          <w:p w14:paraId="753295E7"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94,6</w:t>
            </w:r>
          </w:p>
        </w:tc>
        <w:tc>
          <w:tcPr>
            <w:tcW w:w="1096" w:type="dxa"/>
            <w:shd w:val="clear" w:color="000000" w:fill="FFFFFF"/>
            <w:vAlign w:val="center"/>
          </w:tcPr>
          <w:p w14:paraId="30ADC112"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2 730 131,5</w:t>
            </w:r>
          </w:p>
        </w:tc>
        <w:tc>
          <w:tcPr>
            <w:tcW w:w="567" w:type="dxa"/>
            <w:shd w:val="clear" w:color="000000" w:fill="FFFFFF"/>
            <w:vAlign w:val="center"/>
          </w:tcPr>
          <w:p w14:paraId="14D496A6"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117,2</w:t>
            </w:r>
          </w:p>
        </w:tc>
      </w:tr>
      <w:tr w:rsidR="00A922B4" w:rsidRPr="00A922B4" w14:paraId="6516EB16" w14:textId="77777777" w:rsidTr="00545B6E">
        <w:trPr>
          <w:trHeight w:val="115"/>
        </w:trPr>
        <w:tc>
          <w:tcPr>
            <w:tcW w:w="2879" w:type="dxa"/>
            <w:shd w:val="clear" w:color="auto" w:fill="FFFFFF"/>
            <w:vAlign w:val="center"/>
          </w:tcPr>
          <w:p w14:paraId="4575BE5E"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Акцизы на алкогольную продукцию</w:t>
            </w:r>
          </w:p>
        </w:tc>
        <w:tc>
          <w:tcPr>
            <w:tcW w:w="1080" w:type="dxa"/>
            <w:shd w:val="clear" w:color="000000" w:fill="FFFFFF"/>
            <w:vAlign w:val="center"/>
          </w:tcPr>
          <w:p w14:paraId="5114FFCD"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1 777 093,7</w:t>
            </w:r>
          </w:p>
        </w:tc>
        <w:tc>
          <w:tcPr>
            <w:tcW w:w="1080" w:type="dxa"/>
            <w:vAlign w:val="bottom"/>
          </w:tcPr>
          <w:p w14:paraId="2DA64BA4"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1 552 323,0</w:t>
            </w:r>
          </w:p>
        </w:tc>
        <w:tc>
          <w:tcPr>
            <w:tcW w:w="1080" w:type="dxa"/>
            <w:vAlign w:val="bottom"/>
          </w:tcPr>
          <w:p w14:paraId="5FB0A932"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1 538 284,0</w:t>
            </w:r>
          </w:p>
        </w:tc>
        <w:tc>
          <w:tcPr>
            <w:tcW w:w="1054" w:type="dxa"/>
            <w:shd w:val="clear" w:color="000000" w:fill="FFFFFF"/>
            <w:vAlign w:val="center"/>
          </w:tcPr>
          <w:p w14:paraId="1757BC1B"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-14 039,0</w:t>
            </w:r>
          </w:p>
        </w:tc>
        <w:tc>
          <w:tcPr>
            <w:tcW w:w="746" w:type="dxa"/>
            <w:shd w:val="clear" w:color="000000" w:fill="auto"/>
            <w:vAlign w:val="center"/>
          </w:tcPr>
          <w:p w14:paraId="1BD82297"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99,1</w:t>
            </w:r>
          </w:p>
        </w:tc>
        <w:tc>
          <w:tcPr>
            <w:tcW w:w="1096" w:type="dxa"/>
            <w:shd w:val="clear" w:color="000000" w:fill="FFFFFF"/>
            <w:vAlign w:val="center"/>
          </w:tcPr>
          <w:p w14:paraId="4DB3B8F8"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-238 809,7</w:t>
            </w:r>
          </w:p>
        </w:tc>
        <w:tc>
          <w:tcPr>
            <w:tcW w:w="567" w:type="dxa"/>
            <w:shd w:val="clear" w:color="000000" w:fill="FFFFFF"/>
            <w:vAlign w:val="center"/>
          </w:tcPr>
          <w:p w14:paraId="02CBF231"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86,6</w:t>
            </w:r>
          </w:p>
        </w:tc>
      </w:tr>
      <w:tr w:rsidR="00A922B4" w:rsidRPr="00A922B4" w14:paraId="4052195B" w14:textId="77777777" w:rsidTr="00545B6E">
        <w:trPr>
          <w:trHeight w:val="106"/>
        </w:trPr>
        <w:tc>
          <w:tcPr>
            <w:tcW w:w="2879" w:type="dxa"/>
            <w:shd w:val="clear" w:color="auto" w:fill="FFFFFF"/>
            <w:vAlign w:val="center"/>
          </w:tcPr>
          <w:p w14:paraId="3B45880E"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Акцизы на ГСМ</w:t>
            </w:r>
          </w:p>
        </w:tc>
        <w:tc>
          <w:tcPr>
            <w:tcW w:w="1080" w:type="dxa"/>
            <w:shd w:val="clear" w:color="000000" w:fill="FFFFFF"/>
            <w:vAlign w:val="center"/>
          </w:tcPr>
          <w:p w14:paraId="7581627D"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6 244 107,4</w:t>
            </w:r>
          </w:p>
        </w:tc>
        <w:tc>
          <w:tcPr>
            <w:tcW w:w="1080" w:type="dxa"/>
            <w:vAlign w:val="bottom"/>
          </w:tcPr>
          <w:p w14:paraId="7FAC5AB4"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7 249 906,0</w:t>
            </w:r>
          </w:p>
        </w:tc>
        <w:tc>
          <w:tcPr>
            <w:tcW w:w="1080" w:type="dxa"/>
            <w:vAlign w:val="bottom"/>
          </w:tcPr>
          <w:p w14:paraId="1220B0FE"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7 389 313,0</w:t>
            </w:r>
          </w:p>
        </w:tc>
        <w:tc>
          <w:tcPr>
            <w:tcW w:w="1054" w:type="dxa"/>
            <w:shd w:val="clear" w:color="000000" w:fill="FFFFFF"/>
            <w:vAlign w:val="center"/>
          </w:tcPr>
          <w:p w14:paraId="0B32AEA8"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139 407,0</w:t>
            </w:r>
          </w:p>
        </w:tc>
        <w:tc>
          <w:tcPr>
            <w:tcW w:w="746" w:type="dxa"/>
            <w:shd w:val="clear" w:color="000000" w:fill="auto"/>
            <w:vAlign w:val="center"/>
          </w:tcPr>
          <w:p w14:paraId="32632738"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101,9</w:t>
            </w:r>
          </w:p>
        </w:tc>
        <w:tc>
          <w:tcPr>
            <w:tcW w:w="1096" w:type="dxa"/>
            <w:shd w:val="clear" w:color="000000" w:fill="FFFFFF"/>
            <w:vAlign w:val="center"/>
          </w:tcPr>
          <w:p w14:paraId="20E44E10"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1 145 205,6</w:t>
            </w:r>
          </w:p>
        </w:tc>
        <w:tc>
          <w:tcPr>
            <w:tcW w:w="567" w:type="dxa"/>
            <w:shd w:val="clear" w:color="000000" w:fill="FFFFFF"/>
            <w:vAlign w:val="center"/>
          </w:tcPr>
          <w:p w14:paraId="7193708F"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118,3</w:t>
            </w:r>
          </w:p>
        </w:tc>
      </w:tr>
      <w:tr w:rsidR="00A922B4" w:rsidRPr="00A922B4" w14:paraId="1177DCF7" w14:textId="77777777" w:rsidTr="00545B6E">
        <w:trPr>
          <w:trHeight w:val="106"/>
        </w:trPr>
        <w:tc>
          <w:tcPr>
            <w:tcW w:w="2879" w:type="dxa"/>
            <w:shd w:val="clear" w:color="auto" w:fill="FFFFFF"/>
            <w:vAlign w:val="center"/>
          </w:tcPr>
          <w:p w14:paraId="28A39831"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Налог на профессиональный доход</w:t>
            </w:r>
          </w:p>
        </w:tc>
        <w:tc>
          <w:tcPr>
            <w:tcW w:w="1080" w:type="dxa"/>
            <w:shd w:val="clear" w:color="000000" w:fill="FFFFFF"/>
            <w:vAlign w:val="center"/>
          </w:tcPr>
          <w:p w14:paraId="27126B5D"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705,1</w:t>
            </w:r>
          </w:p>
        </w:tc>
        <w:tc>
          <w:tcPr>
            <w:tcW w:w="1080" w:type="dxa"/>
            <w:vAlign w:val="bottom"/>
          </w:tcPr>
          <w:p w14:paraId="08ADA747"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 </w:t>
            </w:r>
          </w:p>
        </w:tc>
        <w:tc>
          <w:tcPr>
            <w:tcW w:w="1080" w:type="dxa"/>
            <w:vAlign w:val="bottom"/>
          </w:tcPr>
          <w:p w14:paraId="08F71621"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24 285,7</w:t>
            </w:r>
          </w:p>
        </w:tc>
        <w:tc>
          <w:tcPr>
            <w:tcW w:w="1054" w:type="dxa"/>
            <w:shd w:val="clear" w:color="000000" w:fill="FFFFFF"/>
            <w:vAlign w:val="center"/>
          </w:tcPr>
          <w:p w14:paraId="0A18A078"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 </w:t>
            </w:r>
          </w:p>
        </w:tc>
        <w:tc>
          <w:tcPr>
            <w:tcW w:w="746" w:type="dxa"/>
            <w:shd w:val="clear" w:color="000000" w:fill="auto"/>
            <w:vAlign w:val="center"/>
          </w:tcPr>
          <w:p w14:paraId="6DD0E313"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 </w:t>
            </w:r>
          </w:p>
        </w:tc>
        <w:tc>
          <w:tcPr>
            <w:tcW w:w="1096" w:type="dxa"/>
            <w:shd w:val="clear" w:color="000000" w:fill="FFFFFF"/>
            <w:vAlign w:val="center"/>
          </w:tcPr>
          <w:p w14:paraId="01A434AF"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 </w:t>
            </w:r>
          </w:p>
        </w:tc>
        <w:tc>
          <w:tcPr>
            <w:tcW w:w="567" w:type="dxa"/>
            <w:shd w:val="clear" w:color="000000" w:fill="FFFFFF"/>
            <w:vAlign w:val="center"/>
          </w:tcPr>
          <w:p w14:paraId="1385DCE4"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 </w:t>
            </w:r>
          </w:p>
        </w:tc>
      </w:tr>
      <w:tr w:rsidR="00A922B4" w:rsidRPr="00A922B4" w14:paraId="11DFF6BA" w14:textId="77777777" w:rsidTr="00545B6E">
        <w:trPr>
          <w:trHeight w:val="203"/>
        </w:trPr>
        <w:tc>
          <w:tcPr>
            <w:tcW w:w="2879" w:type="dxa"/>
            <w:shd w:val="clear" w:color="auto" w:fill="FFFFFF"/>
            <w:vAlign w:val="center"/>
          </w:tcPr>
          <w:p w14:paraId="3E64AF4F"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Налог на имущество организаций</w:t>
            </w:r>
          </w:p>
        </w:tc>
        <w:tc>
          <w:tcPr>
            <w:tcW w:w="1080" w:type="dxa"/>
            <w:vAlign w:val="center"/>
          </w:tcPr>
          <w:p w14:paraId="37A6350A"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3 429 717,5</w:t>
            </w:r>
          </w:p>
        </w:tc>
        <w:tc>
          <w:tcPr>
            <w:tcW w:w="1080" w:type="dxa"/>
            <w:vAlign w:val="bottom"/>
          </w:tcPr>
          <w:p w14:paraId="7E4D9FCA"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3 659 417,3</w:t>
            </w:r>
          </w:p>
        </w:tc>
        <w:tc>
          <w:tcPr>
            <w:tcW w:w="1080" w:type="dxa"/>
            <w:vAlign w:val="bottom"/>
          </w:tcPr>
          <w:p w14:paraId="02F7FC73"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3 702 483,9</w:t>
            </w:r>
          </w:p>
        </w:tc>
        <w:tc>
          <w:tcPr>
            <w:tcW w:w="1054" w:type="dxa"/>
            <w:shd w:val="clear" w:color="000000" w:fill="FFFFFF"/>
            <w:vAlign w:val="center"/>
          </w:tcPr>
          <w:p w14:paraId="7E9C8930"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43 066,6</w:t>
            </w:r>
          </w:p>
        </w:tc>
        <w:tc>
          <w:tcPr>
            <w:tcW w:w="746" w:type="dxa"/>
            <w:shd w:val="clear" w:color="000000" w:fill="auto"/>
            <w:vAlign w:val="center"/>
          </w:tcPr>
          <w:p w14:paraId="5647E63B"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101,2</w:t>
            </w:r>
          </w:p>
        </w:tc>
        <w:tc>
          <w:tcPr>
            <w:tcW w:w="1096" w:type="dxa"/>
            <w:shd w:val="clear" w:color="000000" w:fill="FFFFFF"/>
            <w:vAlign w:val="center"/>
          </w:tcPr>
          <w:p w14:paraId="1F5856A7"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272 766,4</w:t>
            </w:r>
          </w:p>
        </w:tc>
        <w:tc>
          <w:tcPr>
            <w:tcW w:w="567" w:type="dxa"/>
            <w:shd w:val="clear" w:color="000000" w:fill="FFFFFF"/>
            <w:vAlign w:val="center"/>
          </w:tcPr>
          <w:p w14:paraId="1B0109C1"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108,0</w:t>
            </w:r>
          </w:p>
        </w:tc>
      </w:tr>
      <w:tr w:rsidR="00A922B4" w:rsidRPr="00A922B4" w14:paraId="0EF54F59" w14:textId="77777777" w:rsidTr="00545B6E">
        <w:trPr>
          <w:trHeight w:val="164"/>
        </w:trPr>
        <w:tc>
          <w:tcPr>
            <w:tcW w:w="2879" w:type="dxa"/>
            <w:shd w:val="clear" w:color="auto" w:fill="FFFFFF"/>
            <w:vAlign w:val="center"/>
          </w:tcPr>
          <w:p w14:paraId="5808E73B"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Транспортный налог</w:t>
            </w:r>
          </w:p>
        </w:tc>
        <w:tc>
          <w:tcPr>
            <w:tcW w:w="1080" w:type="dxa"/>
            <w:shd w:val="clear" w:color="000000" w:fill="FFFFFF"/>
            <w:vAlign w:val="center"/>
          </w:tcPr>
          <w:p w14:paraId="689B9BF9"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1 261 761,5</w:t>
            </w:r>
          </w:p>
        </w:tc>
        <w:tc>
          <w:tcPr>
            <w:tcW w:w="1080" w:type="dxa"/>
            <w:vAlign w:val="bottom"/>
          </w:tcPr>
          <w:p w14:paraId="34BB7B9F"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1 353 120,0</w:t>
            </w:r>
          </w:p>
        </w:tc>
        <w:tc>
          <w:tcPr>
            <w:tcW w:w="1080" w:type="dxa"/>
            <w:vAlign w:val="bottom"/>
          </w:tcPr>
          <w:p w14:paraId="17824646"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1 553 829,0</w:t>
            </w:r>
          </w:p>
        </w:tc>
        <w:tc>
          <w:tcPr>
            <w:tcW w:w="1054" w:type="dxa"/>
            <w:shd w:val="clear" w:color="000000" w:fill="FFFFFF"/>
            <w:vAlign w:val="bottom"/>
          </w:tcPr>
          <w:p w14:paraId="7BCEB827"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200 709,0</w:t>
            </w:r>
          </w:p>
        </w:tc>
        <w:tc>
          <w:tcPr>
            <w:tcW w:w="746" w:type="dxa"/>
            <w:shd w:val="clear" w:color="000000" w:fill="auto"/>
            <w:vAlign w:val="center"/>
          </w:tcPr>
          <w:p w14:paraId="447BB05F"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114,8</w:t>
            </w:r>
          </w:p>
        </w:tc>
        <w:tc>
          <w:tcPr>
            <w:tcW w:w="1096" w:type="dxa"/>
            <w:shd w:val="clear" w:color="000000" w:fill="FFFFFF"/>
            <w:vAlign w:val="center"/>
          </w:tcPr>
          <w:p w14:paraId="5829FE42"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292 067,5</w:t>
            </w:r>
          </w:p>
        </w:tc>
        <w:tc>
          <w:tcPr>
            <w:tcW w:w="567" w:type="dxa"/>
            <w:shd w:val="clear" w:color="000000" w:fill="FFFFFF"/>
            <w:vAlign w:val="center"/>
          </w:tcPr>
          <w:p w14:paraId="5E0C0A55"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123,1</w:t>
            </w:r>
          </w:p>
        </w:tc>
      </w:tr>
      <w:tr w:rsidR="00A922B4" w:rsidRPr="00A922B4" w14:paraId="5D11ECFC" w14:textId="77777777" w:rsidTr="00545B6E">
        <w:trPr>
          <w:trHeight w:val="155"/>
        </w:trPr>
        <w:tc>
          <w:tcPr>
            <w:tcW w:w="2879" w:type="dxa"/>
            <w:shd w:val="clear" w:color="auto" w:fill="FFFFFF"/>
            <w:vAlign w:val="center"/>
          </w:tcPr>
          <w:p w14:paraId="73F1D575"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Налог на игорный бизнес</w:t>
            </w:r>
          </w:p>
        </w:tc>
        <w:tc>
          <w:tcPr>
            <w:tcW w:w="1080" w:type="dxa"/>
            <w:shd w:val="clear" w:color="000000" w:fill="FFFFFF"/>
            <w:vAlign w:val="center"/>
          </w:tcPr>
          <w:p w14:paraId="1F96D853"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11 154,8</w:t>
            </w:r>
          </w:p>
        </w:tc>
        <w:tc>
          <w:tcPr>
            <w:tcW w:w="1080" w:type="dxa"/>
            <w:vAlign w:val="bottom"/>
          </w:tcPr>
          <w:p w14:paraId="78F5B480"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10 000,0</w:t>
            </w:r>
          </w:p>
        </w:tc>
        <w:tc>
          <w:tcPr>
            <w:tcW w:w="1080" w:type="dxa"/>
            <w:vAlign w:val="bottom"/>
          </w:tcPr>
          <w:p w14:paraId="051A963A"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11 030,4</w:t>
            </w:r>
          </w:p>
        </w:tc>
        <w:tc>
          <w:tcPr>
            <w:tcW w:w="1054" w:type="dxa"/>
            <w:shd w:val="clear" w:color="000000" w:fill="FFFFFF"/>
            <w:vAlign w:val="bottom"/>
          </w:tcPr>
          <w:p w14:paraId="6801EF22"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1 030,4</w:t>
            </w:r>
          </w:p>
        </w:tc>
        <w:tc>
          <w:tcPr>
            <w:tcW w:w="746" w:type="dxa"/>
            <w:shd w:val="clear" w:color="000000" w:fill="auto"/>
            <w:vAlign w:val="center"/>
          </w:tcPr>
          <w:p w14:paraId="2D3FD0CE"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110,3</w:t>
            </w:r>
          </w:p>
        </w:tc>
        <w:tc>
          <w:tcPr>
            <w:tcW w:w="1096" w:type="dxa"/>
            <w:shd w:val="clear" w:color="000000" w:fill="FFFFFF"/>
            <w:vAlign w:val="center"/>
          </w:tcPr>
          <w:p w14:paraId="043A466E"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-124,4</w:t>
            </w:r>
          </w:p>
        </w:tc>
        <w:tc>
          <w:tcPr>
            <w:tcW w:w="567" w:type="dxa"/>
            <w:shd w:val="clear" w:color="000000" w:fill="FFFFFF"/>
            <w:vAlign w:val="center"/>
          </w:tcPr>
          <w:p w14:paraId="4AACAA66"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98,9</w:t>
            </w:r>
          </w:p>
        </w:tc>
      </w:tr>
      <w:tr w:rsidR="00A922B4" w:rsidRPr="00A922B4" w14:paraId="4241FEFD" w14:textId="77777777" w:rsidTr="00545B6E">
        <w:trPr>
          <w:trHeight w:val="270"/>
        </w:trPr>
        <w:tc>
          <w:tcPr>
            <w:tcW w:w="2879" w:type="dxa"/>
            <w:shd w:val="clear" w:color="auto" w:fill="FFFFFF"/>
            <w:vAlign w:val="center"/>
          </w:tcPr>
          <w:p w14:paraId="13BD68E6"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Налоги, сборы и регулярные платежи за пользование природными ресурсами (НДПИ)</w:t>
            </w:r>
          </w:p>
        </w:tc>
        <w:tc>
          <w:tcPr>
            <w:tcW w:w="1080" w:type="dxa"/>
            <w:shd w:val="clear" w:color="000000" w:fill="FFFFFF"/>
            <w:vAlign w:val="center"/>
          </w:tcPr>
          <w:p w14:paraId="646E01DD"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33 890,4</w:t>
            </w:r>
          </w:p>
        </w:tc>
        <w:tc>
          <w:tcPr>
            <w:tcW w:w="1080" w:type="dxa"/>
            <w:vAlign w:val="bottom"/>
          </w:tcPr>
          <w:p w14:paraId="6B4A71F8"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44 999,8</w:t>
            </w:r>
          </w:p>
        </w:tc>
        <w:tc>
          <w:tcPr>
            <w:tcW w:w="1080" w:type="dxa"/>
            <w:vAlign w:val="bottom"/>
          </w:tcPr>
          <w:p w14:paraId="22032C82"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23 170,2</w:t>
            </w:r>
          </w:p>
        </w:tc>
        <w:tc>
          <w:tcPr>
            <w:tcW w:w="1054" w:type="dxa"/>
            <w:shd w:val="clear" w:color="000000" w:fill="FFFFFF"/>
            <w:vAlign w:val="bottom"/>
          </w:tcPr>
          <w:p w14:paraId="6ECF42FA"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-21 829,6</w:t>
            </w:r>
          </w:p>
        </w:tc>
        <w:tc>
          <w:tcPr>
            <w:tcW w:w="746" w:type="dxa"/>
            <w:shd w:val="clear" w:color="000000" w:fill="auto"/>
            <w:vAlign w:val="center"/>
          </w:tcPr>
          <w:p w14:paraId="2049632A"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51,5</w:t>
            </w:r>
          </w:p>
        </w:tc>
        <w:tc>
          <w:tcPr>
            <w:tcW w:w="1096" w:type="dxa"/>
            <w:shd w:val="clear" w:color="000000" w:fill="FFFFFF"/>
            <w:vAlign w:val="center"/>
          </w:tcPr>
          <w:p w14:paraId="3A6DFCED"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-10 720,2</w:t>
            </w:r>
          </w:p>
        </w:tc>
        <w:tc>
          <w:tcPr>
            <w:tcW w:w="567" w:type="dxa"/>
            <w:shd w:val="clear" w:color="000000" w:fill="FFFFFF"/>
            <w:vAlign w:val="center"/>
          </w:tcPr>
          <w:p w14:paraId="288CF28E"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68,4</w:t>
            </w:r>
          </w:p>
        </w:tc>
      </w:tr>
      <w:tr w:rsidR="00A922B4" w:rsidRPr="00A922B4" w14:paraId="4E23CA22" w14:textId="77777777" w:rsidTr="00545B6E">
        <w:trPr>
          <w:trHeight w:val="112"/>
        </w:trPr>
        <w:tc>
          <w:tcPr>
            <w:tcW w:w="2879" w:type="dxa"/>
            <w:shd w:val="clear" w:color="auto" w:fill="FFFFFF"/>
            <w:vAlign w:val="center"/>
          </w:tcPr>
          <w:p w14:paraId="78DFFBBC"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Государственная пошлина</w:t>
            </w:r>
          </w:p>
        </w:tc>
        <w:tc>
          <w:tcPr>
            <w:tcW w:w="1080" w:type="dxa"/>
            <w:vAlign w:val="center"/>
          </w:tcPr>
          <w:p w14:paraId="43C9549B"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104 943,7</w:t>
            </w:r>
          </w:p>
        </w:tc>
        <w:tc>
          <w:tcPr>
            <w:tcW w:w="1080" w:type="dxa"/>
            <w:vAlign w:val="bottom"/>
          </w:tcPr>
          <w:p w14:paraId="1DBF9B26"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128 456,4</w:t>
            </w:r>
          </w:p>
        </w:tc>
        <w:tc>
          <w:tcPr>
            <w:tcW w:w="1080" w:type="dxa"/>
            <w:vAlign w:val="bottom"/>
          </w:tcPr>
          <w:p w14:paraId="5AAFB64D"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128 356,6</w:t>
            </w:r>
          </w:p>
        </w:tc>
        <w:tc>
          <w:tcPr>
            <w:tcW w:w="1054" w:type="dxa"/>
            <w:shd w:val="clear" w:color="000000" w:fill="FFFFFF"/>
            <w:vAlign w:val="center"/>
          </w:tcPr>
          <w:p w14:paraId="21F19C57"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-99,8</w:t>
            </w:r>
          </w:p>
        </w:tc>
        <w:tc>
          <w:tcPr>
            <w:tcW w:w="746" w:type="dxa"/>
            <w:shd w:val="clear" w:color="000000" w:fill="auto"/>
            <w:vAlign w:val="center"/>
          </w:tcPr>
          <w:p w14:paraId="4D076C74"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99,9</w:t>
            </w:r>
          </w:p>
        </w:tc>
        <w:tc>
          <w:tcPr>
            <w:tcW w:w="1096" w:type="dxa"/>
            <w:shd w:val="clear" w:color="000000" w:fill="FFFFFF"/>
            <w:vAlign w:val="center"/>
          </w:tcPr>
          <w:p w14:paraId="30D8767B"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23 412,9</w:t>
            </w:r>
          </w:p>
        </w:tc>
        <w:tc>
          <w:tcPr>
            <w:tcW w:w="567" w:type="dxa"/>
            <w:shd w:val="clear" w:color="000000" w:fill="FFFFFF"/>
            <w:vAlign w:val="center"/>
          </w:tcPr>
          <w:p w14:paraId="7B462C70"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122,3</w:t>
            </w:r>
          </w:p>
        </w:tc>
      </w:tr>
      <w:tr w:rsidR="00A922B4" w:rsidRPr="00A922B4" w14:paraId="61321F60" w14:textId="77777777" w:rsidTr="00545B6E">
        <w:trPr>
          <w:trHeight w:val="270"/>
        </w:trPr>
        <w:tc>
          <w:tcPr>
            <w:tcW w:w="2879" w:type="dxa"/>
            <w:shd w:val="clear" w:color="auto" w:fill="FFFFFF"/>
            <w:vAlign w:val="center"/>
          </w:tcPr>
          <w:p w14:paraId="4E0E6786" w14:textId="77777777" w:rsidR="00A922B4" w:rsidRPr="00A922B4" w:rsidRDefault="00A922B4" w:rsidP="00A922B4">
            <w:pPr>
              <w:spacing w:after="0" w:line="240" w:lineRule="auto"/>
              <w:ind w:left="-57" w:right="-113"/>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1080" w:type="dxa"/>
            <w:vAlign w:val="center"/>
          </w:tcPr>
          <w:p w14:paraId="19A64C1C" w14:textId="77777777" w:rsidR="00A922B4" w:rsidRPr="00A922B4" w:rsidRDefault="00A922B4" w:rsidP="00A922B4">
            <w:pPr>
              <w:spacing w:after="0" w:line="240" w:lineRule="auto"/>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3 564,5</w:t>
            </w:r>
          </w:p>
        </w:tc>
        <w:tc>
          <w:tcPr>
            <w:tcW w:w="1080" w:type="dxa"/>
            <w:shd w:val="clear" w:color="000000" w:fill="FFFFFF"/>
            <w:vAlign w:val="center"/>
          </w:tcPr>
          <w:p w14:paraId="1BC28C24"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11 472,0</w:t>
            </w:r>
          </w:p>
        </w:tc>
        <w:tc>
          <w:tcPr>
            <w:tcW w:w="1080" w:type="dxa"/>
            <w:shd w:val="clear" w:color="000000" w:fill="FFFFFF"/>
            <w:vAlign w:val="center"/>
          </w:tcPr>
          <w:p w14:paraId="1186FCE0"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10 884,0</w:t>
            </w:r>
          </w:p>
        </w:tc>
        <w:tc>
          <w:tcPr>
            <w:tcW w:w="1054" w:type="dxa"/>
            <w:shd w:val="clear" w:color="000000" w:fill="FFFFFF"/>
            <w:vAlign w:val="center"/>
          </w:tcPr>
          <w:p w14:paraId="029FCEE8"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-588,0</w:t>
            </w:r>
          </w:p>
        </w:tc>
        <w:tc>
          <w:tcPr>
            <w:tcW w:w="746" w:type="dxa"/>
            <w:shd w:val="clear" w:color="000000" w:fill="auto"/>
            <w:vAlign w:val="center"/>
          </w:tcPr>
          <w:p w14:paraId="47D1503B" w14:textId="77777777" w:rsidR="00A922B4" w:rsidRPr="00A922B4" w:rsidRDefault="00A922B4" w:rsidP="00A922B4">
            <w:pPr>
              <w:spacing w:after="0" w:line="240" w:lineRule="auto"/>
              <w:ind w:left="-73" w:right="-55"/>
              <w:jc w:val="right"/>
              <w:rPr>
                <w:rFonts w:ascii="Times New Roman" w:eastAsia="Times New Roman" w:hAnsi="Times New Roman" w:cs="Times New Roman"/>
                <w:sz w:val="16"/>
                <w:szCs w:val="16"/>
                <w:lang w:eastAsia="ru-RU"/>
              </w:rPr>
            </w:pPr>
            <w:r w:rsidRPr="00A922B4">
              <w:rPr>
                <w:rFonts w:ascii="Times New Roman" w:eastAsia="Times New Roman" w:hAnsi="Times New Roman" w:cs="Times New Roman"/>
                <w:sz w:val="16"/>
                <w:szCs w:val="16"/>
                <w:lang w:eastAsia="ru-RU"/>
              </w:rPr>
              <w:t>94,9</w:t>
            </w:r>
          </w:p>
        </w:tc>
        <w:tc>
          <w:tcPr>
            <w:tcW w:w="1096" w:type="dxa"/>
            <w:shd w:val="clear" w:color="000000" w:fill="FFFFFF"/>
            <w:vAlign w:val="center"/>
          </w:tcPr>
          <w:p w14:paraId="43FFB8E2"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7 319,5</w:t>
            </w:r>
          </w:p>
        </w:tc>
        <w:tc>
          <w:tcPr>
            <w:tcW w:w="567" w:type="dxa"/>
            <w:shd w:val="clear" w:color="000000" w:fill="FFFFFF"/>
            <w:vAlign w:val="center"/>
          </w:tcPr>
          <w:p w14:paraId="44649197" w14:textId="77777777" w:rsidR="00A922B4" w:rsidRPr="00A922B4" w:rsidRDefault="00A922B4" w:rsidP="00A922B4">
            <w:pPr>
              <w:spacing w:after="0" w:line="240" w:lineRule="auto"/>
              <w:ind w:left="-73" w:right="-55"/>
              <w:jc w:val="right"/>
              <w:rPr>
                <w:rFonts w:ascii="Times New Roman" w:eastAsia="Times New Roman" w:hAnsi="Times New Roman" w:cs="Times New Roman"/>
                <w:b/>
                <w:sz w:val="16"/>
                <w:szCs w:val="16"/>
                <w:lang w:eastAsia="ru-RU"/>
              </w:rPr>
            </w:pPr>
            <w:r w:rsidRPr="00A922B4">
              <w:rPr>
                <w:rFonts w:ascii="Times New Roman" w:eastAsia="Times New Roman" w:hAnsi="Times New Roman" w:cs="Times New Roman"/>
                <w:b/>
                <w:sz w:val="16"/>
                <w:szCs w:val="16"/>
                <w:lang w:eastAsia="ru-RU"/>
              </w:rPr>
              <w:t>305,3</w:t>
            </w:r>
          </w:p>
        </w:tc>
      </w:tr>
      <w:tr w:rsidR="00A922B4" w:rsidRPr="00A922B4" w14:paraId="31B54A7D" w14:textId="77777777" w:rsidTr="00545B6E">
        <w:trPr>
          <w:trHeight w:val="270"/>
        </w:trPr>
        <w:tc>
          <w:tcPr>
            <w:tcW w:w="2879" w:type="dxa"/>
            <w:shd w:val="clear" w:color="auto" w:fill="FFFFFF"/>
            <w:vAlign w:val="center"/>
          </w:tcPr>
          <w:p w14:paraId="5AEA97B1" w14:textId="77777777" w:rsidR="00A922B4" w:rsidRPr="00A922B4" w:rsidRDefault="00A922B4" w:rsidP="00A922B4">
            <w:pPr>
              <w:spacing w:after="0" w:line="240" w:lineRule="auto"/>
              <w:ind w:left="-57" w:right="-113"/>
              <w:jc w:val="both"/>
              <w:rPr>
                <w:rFonts w:ascii="Times New Roman" w:eastAsia="Times New Roman" w:hAnsi="Times New Roman" w:cs="Times New Roman"/>
                <w:b/>
                <w:bCs/>
                <w:i/>
                <w:iCs/>
                <w:sz w:val="18"/>
                <w:szCs w:val="18"/>
                <w:lang w:eastAsia="ru-RU"/>
              </w:rPr>
            </w:pPr>
            <w:r w:rsidRPr="00A922B4">
              <w:rPr>
                <w:rFonts w:ascii="Times New Roman" w:eastAsia="Times New Roman" w:hAnsi="Times New Roman" w:cs="Times New Roman"/>
                <w:b/>
                <w:bCs/>
                <w:i/>
                <w:iCs/>
                <w:sz w:val="18"/>
                <w:szCs w:val="18"/>
                <w:lang w:eastAsia="ru-RU"/>
              </w:rPr>
              <w:t>Неналоговые доходы</w:t>
            </w:r>
          </w:p>
        </w:tc>
        <w:tc>
          <w:tcPr>
            <w:tcW w:w="1080" w:type="dxa"/>
            <w:shd w:val="clear" w:color="000000" w:fill="FFFFFF"/>
            <w:vAlign w:val="center"/>
          </w:tcPr>
          <w:p w14:paraId="74CA37C4" w14:textId="77777777" w:rsidR="00A922B4" w:rsidRPr="00A922B4" w:rsidRDefault="00A922B4" w:rsidP="00A922B4">
            <w:pPr>
              <w:spacing w:after="0" w:line="240" w:lineRule="auto"/>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1 058 091,6</w:t>
            </w:r>
          </w:p>
        </w:tc>
        <w:tc>
          <w:tcPr>
            <w:tcW w:w="1080" w:type="dxa"/>
            <w:shd w:val="clear" w:color="000000" w:fill="FFFFFF"/>
            <w:vAlign w:val="center"/>
          </w:tcPr>
          <w:p w14:paraId="0CCA4B93"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2 242 820,7</w:t>
            </w:r>
          </w:p>
        </w:tc>
        <w:tc>
          <w:tcPr>
            <w:tcW w:w="1080" w:type="dxa"/>
            <w:shd w:val="clear" w:color="000000" w:fill="FFFFFF"/>
            <w:vAlign w:val="center"/>
          </w:tcPr>
          <w:p w14:paraId="47C1F322"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2 768 722,7</w:t>
            </w:r>
          </w:p>
        </w:tc>
        <w:tc>
          <w:tcPr>
            <w:tcW w:w="1054" w:type="dxa"/>
            <w:shd w:val="clear" w:color="000000" w:fill="FFFFFF"/>
            <w:vAlign w:val="center"/>
          </w:tcPr>
          <w:p w14:paraId="76994A0C"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525 902,0</w:t>
            </w:r>
          </w:p>
        </w:tc>
        <w:tc>
          <w:tcPr>
            <w:tcW w:w="746" w:type="dxa"/>
            <w:shd w:val="clear" w:color="000000" w:fill="auto"/>
            <w:vAlign w:val="center"/>
          </w:tcPr>
          <w:p w14:paraId="71BAA15F"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123,4</w:t>
            </w:r>
          </w:p>
        </w:tc>
        <w:tc>
          <w:tcPr>
            <w:tcW w:w="1096" w:type="dxa"/>
            <w:shd w:val="clear" w:color="000000" w:fill="FFFFFF"/>
            <w:vAlign w:val="center"/>
          </w:tcPr>
          <w:p w14:paraId="1FCDB2D3"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1 710 631,1</w:t>
            </w:r>
          </w:p>
        </w:tc>
        <w:tc>
          <w:tcPr>
            <w:tcW w:w="567" w:type="dxa"/>
            <w:shd w:val="clear" w:color="000000" w:fill="FFFFFF"/>
            <w:vAlign w:val="center"/>
          </w:tcPr>
          <w:p w14:paraId="3151FF20" w14:textId="77777777" w:rsidR="00A922B4" w:rsidRPr="00A922B4" w:rsidRDefault="00A922B4" w:rsidP="00A922B4">
            <w:pPr>
              <w:spacing w:after="0" w:line="240" w:lineRule="auto"/>
              <w:ind w:left="-73" w:right="-55"/>
              <w:jc w:val="right"/>
              <w:rPr>
                <w:rFonts w:ascii="Times New Roman" w:eastAsia="Times New Roman" w:hAnsi="Times New Roman" w:cs="Times New Roman"/>
                <w:b/>
                <w:i/>
                <w:sz w:val="16"/>
                <w:szCs w:val="16"/>
                <w:lang w:eastAsia="ru-RU"/>
              </w:rPr>
            </w:pPr>
            <w:r w:rsidRPr="00A922B4">
              <w:rPr>
                <w:rFonts w:ascii="Times New Roman" w:eastAsia="Times New Roman" w:hAnsi="Times New Roman" w:cs="Times New Roman"/>
                <w:b/>
                <w:i/>
                <w:sz w:val="16"/>
                <w:szCs w:val="16"/>
                <w:lang w:eastAsia="ru-RU"/>
              </w:rPr>
              <w:t>261,7</w:t>
            </w:r>
          </w:p>
        </w:tc>
      </w:tr>
    </w:tbl>
    <w:p w14:paraId="12F76B6A" w14:textId="77777777" w:rsidR="00A922B4" w:rsidRPr="00A922B4" w:rsidRDefault="00A922B4" w:rsidP="00A922B4">
      <w:pPr>
        <w:spacing w:after="0" w:line="240" w:lineRule="auto"/>
        <w:jc w:val="right"/>
        <w:rPr>
          <w:rFonts w:ascii="Times New Roman" w:eastAsia="Times New Roman" w:hAnsi="Times New Roman" w:cs="Times New Roman"/>
          <w:b/>
          <w:sz w:val="24"/>
          <w:szCs w:val="24"/>
          <w:highlight w:val="yellow"/>
          <w:lang w:eastAsia="ru-RU"/>
        </w:rPr>
      </w:pPr>
    </w:p>
    <w:p w14:paraId="38E0785B" w14:textId="421963EE"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Как видно из таблицы, бюджетные назначения по поступлению налоговых и неналоговых доходов за 2021 год выполнены на 101,2 % (утверждено – 38 990 001,2 тыс. ру</w:t>
      </w:r>
      <w:r w:rsidR="00074A60">
        <w:rPr>
          <w:rFonts w:ascii="Times New Roman" w:eastAsia="Times New Roman" w:hAnsi="Times New Roman" w:cs="Times New Roman"/>
          <w:sz w:val="28"/>
          <w:szCs w:val="28"/>
          <w:lang w:eastAsia="ru-RU"/>
        </w:rPr>
        <w:t>б</w:t>
      </w:r>
      <w:r w:rsidRPr="00A922B4">
        <w:rPr>
          <w:rFonts w:ascii="Times New Roman" w:eastAsia="Times New Roman" w:hAnsi="Times New Roman" w:cs="Times New Roman"/>
          <w:sz w:val="28"/>
          <w:szCs w:val="28"/>
          <w:lang w:eastAsia="ru-RU"/>
        </w:rPr>
        <w:t>лей, исполнено – 38 965 793,0 тыс. рублей).</w:t>
      </w:r>
    </w:p>
    <w:p w14:paraId="16761367" w14:textId="327F7571"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Утвержденные задания выполнены </w:t>
      </w:r>
      <w:r w:rsidR="006E435F">
        <w:rPr>
          <w:rFonts w:ascii="Times New Roman" w:eastAsia="Times New Roman" w:hAnsi="Times New Roman" w:cs="Times New Roman"/>
          <w:sz w:val="28"/>
          <w:szCs w:val="28"/>
          <w:lang w:eastAsia="ru-RU"/>
        </w:rPr>
        <w:t>а</w:t>
      </w:r>
      <w:r w:rsidRPr="00A922B4">
        <w:rPr>
          <w:rFonts w:ascii="Times New Roman" w:eastAsia="Times New Roman" w:hAnsi="Times New Roman" w:cs="Times New Roman"/>
          <w:sz w:val="28"/>
          <w:szCs w:val="28"/>
          <w:lang w:eastAsia="ru-RU"/>
        </w:rPr>
        <w:t>по шести доходным источникам, в том числе по:</w:t>
      </w:r>
    </w:p>
    <w:p w14:paraId="4AD30FD0"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налогу на прибыль – 112,4 % (план – 5 307 712,9 тыс. рублей, факт – </w:t>
      </w:r>
      <w:r w:rsidRPr="00A922B4">
        <w:rPr>
          <w:rFonts w:ascii="Times New Roman" w:eastAsia="Times New Roman" w:hAnsi="Times New Roman" w:cs="Times New Roman"/>
          <w:sz w:val="28"/>
          <w:szCs w:val="28"/>
          <w:lang w:eastAsia="ru-RU"/>
        </w:rPr>
        <w:br/>
        <w:t>5 964 578,4 тыс. рублей);</w:t>
      </w:r>
    </w:p>
    <w:p w14:paraId="1E127DA6"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акцизам на ГСМ – 101,9 % (план – 7 249 906,0 тыс. рублей, факт – 7 389 313, тыс. рублей);</w:t>
      </w:r>
    </w:p>
    <w:p w14:paraId="466B1009"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налогу на имущество организаций – 101,2 % (план – 3 659 417,3 тыс. рублей, факт – 3 702 483,9 тыс. рублей);</w:t>
      </w:r>
    </w:p>
    <w:p w14:paraId="14531518" w14:textId="631B73F5"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транспортному налогу – 114,8 % (план – 1 353 120,0тыс. рублей, факт – 1 553 829,0тыс. рублей);</w:t>
      </w:r>
    </w:p>
    <w:p w14:paraId="525CFBCE"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налогу на игорный бизнес – 110,3 % (план – 10 000,0 тыс. рублей; факт – 11 030,4 тыс. рублей);</w:t>
      </w:r>
    </w:p>
    <w:p w14:paraId="5434EF9E" w14:textId="2F3C5752"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неналоговым доходам – 123,4 % (план –</w:t>
      </w:r>
      <w:r w:rsidRPr="00A922B4">
        <w:rPr>
          <w:rFonts w:ascii="Times New Roman" w:eastAsia="Times New Roman" w:hAnsi="Times New Roman" w:cs="Times New Roman"/>
          <w:sz w:val="24"/>
          <w:szCs w:val="24"/>
          <w:lang w:eastAsia="ru-RU"/>
        </w:rPr>
        <w:t xml:space="preserve"> </w:t>
      </w:r>
      <w:r w:rsidRPr="00A922B4">
        <w:rPr>
          <w:rFonts w:ascii="Times New Roman" w:eastAsia="Times New Roman" w:hAnsi="Times New Roman" w:cs="Times New Roman"/>
          <w:sz w:val="28"/>
          <w:szCs w:val="28"/>
          <w:lang w:eastAsia="ru-RU"/>
        </w:rPr>
        <w:t>2 242 820,7 тыс. рублей, факт – 2 768 722,7 тыс. рублей).</w:t>
      </w:r>
    </w:p>
    <w:p w14:paraId="0DD95BD0"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При этом, утвержденные назначения не выполнены по:</w:t>
      </w:r>
    </w:p>
    <w:p w14:paraId="66A4051D"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налогу на доходы физических лиц – 94,6 % (план –19 672 593,8 тыс. рублей, факт – 18 619 577,8 тыс. рублей); </w:t>
      </w:r>
    </w:p>
    <w:p w14:paraId="3D651F79"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 акцизам на алкогольную продукцию – 99,1 % (план – 1 552 323,0 тыс. рублей, факт – 1 538 284,0 тыс. рублей);</w:t>
      </w:r>
    </w:p>
    <w:p w14:paraId="6B753B0C"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налогам, сборам и регулярным платежам за пользование природными ресурсами – 51,5 % (план – 4 999,8 тыс. рублей, факт – 23 170,2 тыс. рублей);</w:t>
      </w:r>
    </w:p>
    <w:p w14:paraId="0B673040"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государственной пошлине – 99,9 % (план – 128 456,4 тыс. рублей, факт – 128 356,6 тыс. рублей);</w:t>
      </w:r>
    </w:p>
    <w:p w14:paraId="10B2C88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задолженности и перерасчетам по отмененным налогам, сборам и иным обязательным платежам – 94,9 % (план – 11 472,0 тыс. рублей, факт – 10 884,0 тыс. рублей.</w:t>
      </w:r>
    </w:p>
    <w:p w14:paraId="35C32B72"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ru-RU"/>
        </w:rPr>
      </w:pPr>
    </w:p>
    <w:p w14:paraId="1B6696CC" w14:textId="77777777" w:rsidR="00A922B4" w:rsidRPr="00A922B4" w:rsidRDefault="00A922B4" w:rsidP="00A922B4">
      <w:pPr>
        <w:spacing w:after="0" w:line="240" w:lineRule="auto"/>
        <w:jc w:val="center"/>
        <w:rPr>
          <w:rFonts w:ascii="Times New Roman" w:eastAsia="Times New Roman" w:hAnsi="Times New Roman" w:cs="Times New Roman"/>
          <w:b/>
          <w:color w:val="002060"/>
          <w:sz w:val="28"/>
          <w:szCs w:val="28"/>
          <w:lang w:eastAsia="ru-RU"/>
        </w:rPr>
      </w:pPr>
      <w:r w:rsidRPr="00A922B4">
        <w:rPr>
          <w:rFonts w:ascii="Times New Roman" w:eastAsia="Times New Roman" w:hAnsi="Times New Roman" w:cs="Times New Roman"/>
          <w:b/>
          <w:color w:val="002060"/>
          <w:sz w:val="28"/>
          <w:szCs w:val="28"/>
          <w:lang w:eastAsia="ru-RU"/>
        </w:rPr>
        <w:t xml:space="preserve">Утвержденные задания </w:t>
      </w:r>
    </w:p>
    <w:p w14:paraId="49B3D68B" w14:textId="77777777" w:rsidR="00A922B4" w:rsidRPr="00A922B4" w:rsidRDefault="00A922B4" w:rsidP="00A922B4">
      <w:pPr>
        <w:spacing w:after="0" w:line="240" w:lineRule="auto"/>
        <w:jc w:val="center"/>
        <w:rPr>
          <w:rFonts w:ascii="Times New Roman" w:eastAsia="Times New Roman" w:hAnsi="Times New Roman" w:cs="Times New Roman"/>
          <w:b/>
          <w:color w:val="002060"/>
          <w:sz w:val="28"/>
          <w:szCs w:val="28"/>
          <w:lang w:eastAsia="ru-RU"/>
        </w:rPr>
      </w:pPr>
      <w:r w:rsidRPr="00A922B4">
        <w:rPr>
          <w:rFonts w:ascii="Times New Roman" w:eastAsia="Times New Roman" w:hAnsi="Times New Roman" w:cs="Times New Roman"/>
          <w:b/>
          <w:color w:val="002060"/>
          <w:sz w:val="28"/>
          <w:szCs w:val="28"/>
          <w:lang w:eastAsia="ru-RU"/>
        </w:rPr>
        <w:t xml:space="preserve">и фактические поступления налоговых и неналоговых доходов республиканского бюджета Республики Дагестан </w:t>
      </w:r>
    </w:p>
    <w:p w14:paraId="133A6273" w14:textId="77777777" w:rsidR="00A922B4" w:rsidRPr="00A922B4" w:rsidRDefault="00A922B4" w:rsidP="00A922B4">
      <w:pPr>
        <w:spacing w:after="0" w:line="240" w:lineRule="auto"/>
        <w:jc w:val="center"/>
        <w:rPr>
          <w:rFonts w:ascii="Times New Roman" w:eastAsia="Times New Roman" w:hAnsi="Times New Roman" w:cs="Times New Roman"/>
          <w:b/>
          <w:color w:val="002060"/>
          <w:sz w:val="28"/>
          <w:szCs w:val="28"/>
          <w:lang w:eastAsia="ru-RU"/>
        </w:rPr>
      </w:pPr>
      <w:r w:rsidRPr="00A922B4">
        <w:rPr>
          <w:rFonts w:ascii="Times New Roman" w:eastAsia="Times New Roman" w:hAnsi="Times New Roman" w:cs="Times New Roman"/>
          <w:b/>
          <w:color w:val="002060"/>
          <w:sz w:val="28"/>
          <w:szCs w:val="28"/>
          <w:lang w:eastAsia="ru-RU"/>
        </w:rPr>
        <w:t>за 2021 год</w:t>
      </w:r>
    </w:p>
    <w:p w14:paraId="41DF81FC" w14:textId="77777777" w:rsidR="00A922B4" w:rsidRPr="00A922B4" w:rsidRDefault="00A922B4" w:rsidP="00A922B4">
      <w:pPr>
        <w:spacing w:after="0" w:line="240" w:lineRule="auto"/>
        <w:jc w:val="center"/>
        <w:rPr>
          <w:rFonts w:ascii="Times New Roman" w:eastAsia="Times New Roman" w:hAnsi="Times New Roman" w:cs="Times New Roman"/>
          <w:b/>
          <w:color w:val="002060"/>
          <w:sz w:val="28"/>
          <w:szCs w:val="28"/>
          <w:lang w:eastAsia="ru-RU"/>
        </w:rPr>
      </w:pPr>
    </w:p>
    <w:p w14:paraId="368A80D5" w14:textId="77777777" w:rsidR="00A922B4" w:rsidRPr="00A922B4" w:rsidRDefault="00A922B4" w:rsidP="00A922B4">
      <w:pPr>
        <w:spacing w:after="0" w:line="240" w:lineRule="auto"/>
        <w:jc w:val="right"/>
        <w:rPr>
          <w:rFonts w:ascii="Times New Roman" w:eastAsia="Times New Roman" w:hAnsi="Times New Roman" w:cs="Times New Roman"/>
          <w:b/>
          <w:color w:val="002060"/>
          <w:sz w:val="24"/>
          <w:szCs w:val="24"/>
          <w:lang w:eastAsia="ru-RU"/>
        </w:rPr>
      </w:pPr>
      <w:r w:rsidRPr="00A922B4">
        <w:rPr>
          <w:rFonts w:ascii="Times New Roman" w:eastAsia="Times New Roman" w:hAnsi="Times New Roman" w:cs="Times New Roman"/>
          <w:b/>
          <w:color w:val="002060"/>
          <w:sz w:val="24"/>
          <w:szCs w:val="24"/>
          <w:lang w:eastAsia="ru-RU"/>
        </w:rPr>
        <w:t>млн. рублей</w:t>
      </w:r>
    </w:p>
    <w:p w14:paraId="7A7D2E83" w14:textId="77777777" w:rsidR="00A922B4" w:rsidRPr="00A922B4" w:rsidRDefault="00A922B4" w:rsidP="00A922B4">
      <w:pPr>
        <w:spacing w:after="0" w:line="240" w:lineRule="auto"/>
        <w:jc w:val="right"/>
        <w:rPr>
          <w:rFonts w:ascii="Times New Roman" w:eastAsia="Times New Roman" w:hAnsi="Times New Roman" w:cs="Times New Roman"/>
          <w:b/>
          <w:color w:val="002060"/>
          <w:sz w:val="24"/>
          <w:szCs w:val="24"/>
          <w:lang w:eastAsia="ru-RU"/>
        </w:rPr>
      </w:pPr>
      <w:r w:rsidRPr="00A922B4">
        <w:rPr>
          <w:rFonts w:ascii="Times New Roman" w:eastAsia="Times New Roman" w:hAnsi="Times New Roman" w:cs="Times New Roman"/>
          <w:noProof/>
          <w:sz w:val="24"/>
          <w:szCs w:val="24"/>
          <w:lang w:eastAsia="ru-RU"/>
        </w:rPr>
        <w:drawing>
          <wp:inline distT="0" distB="0" distL="0" distR="0" wp14:anchorId="6644BD14" wp14:editId="12FEB13A">
            <wp:extent cx="6119495" cy="3735658"/>
            <wp:effectExtent l="0" t="0" r="0" b="0"/>
            <wp:docPr id="3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6E4E34" w14:textId="77777777" w:rsidR="00A922B4" w:rsidRPr="00A922B4" w:rsidRDefault="00A922B4" w:rsidP="00A922B4">
      <w:pPr>
        <w:spacing w:after="0" w:line="360" w:lineRule="exact"/>
        <w:ind w:firstLine="851"/>
        <w:jc w:val="both"/>
        <w:rPr>
          <w:rFonts w:ascii="Times New Roman" w:eastAsia="Times New Roman" w:hAnsi="Times New Roman" w:cs="Times New Roman"/>
          <w:b/>
          <w:color w:val="002060"/>
          <w:sz w:val="28"/>
          <w:szCs w:val="28"/>
          <w:lang w:eastAsia="ru-RU"/>
        </w:rPr>
      </w:pPr>
    </w:p>
    <w:p w14:paraId="35BAE90C" w14:textId="1E153216" w:rsidR="00A922B4" w:rsidRPr="00A922B4" w:rsidRDefault="00BF35BD" w:rsidP="007C1F98">
      <w:pPr>
        <w:spacing w:after="0" w:line="340" w:lineRule="exact"/>
        <w:ind w:firstLine="851"/>
        <w:jc w:val="both"/>
        <w:rPr>
          <w:rFonts w:ascii="Times New Roman" w:eastAsia="Times New Roman" w:hAnsi="Times New Roman" w:cs="Times New Roman"/>
          <w:sz w:val="28"/>
          <w:szCs w:val="28"/>
          <w:lang w:eastAsia="ru-RU"/>
        </w:rPr>
      </w:pPr>
      <w:r w:rsidRPr="00BF35BD">
        <w:rPr>
          <w:rFonts w:ascii="Times New Roman" w:eastAsia="Calibri" w:hAnsi="Times New Roman" w:cs="Times New Roman"/>
          <w:b/>
          <w:bCs/>
          <w:color w:val="002060"/>
          <w:sz w:val="28"/>
          <w:szCs w:val="28"/>
          <w:lang w:eastAsia="ru-RU"/>
        </w:rPr>
        <w:t>4.1.1.</w:t>
      </w:r>
      <w:r>
        <w:rPr>
          <w:rFonts w:ascii="Times New Roman" w:eastAsia="Calibri" w:hAnsi="Times New Roman" w:cs="Times New Roman"/>
          <w:b/>
          <w:bCs/>
          <w:color w:val="002060"/>
          <w:sz w:val="28"/>
          <w:szCs w:val="28"/>
          <w:lang w:eastAsia="ru-RU"/>
        </w:rPr>
        <w:t>2</w:t>
      </w:r>
      <w:r w:rsidRPr="00BF35BD">
        <w:rPr>
          <w:rFonts w:ascii="Times New Roman" w:eastAsia="Calibri" w:hAnsi="Times New Roman" w:cs="Times New Roman"/>
          <w:b/>
          <w:bCs/>
          <w:color w:val="002060"/>
          <w:sz w:val="28"/>
          <w:szCs w:val="28"/>
          <w:lang w:eastAsia="ru-RU"/>
        </w:rPr>
        <w:t>.</w:t>
      </w:r>
      <w:r w:rsidRPr="00BF35BD">
        <w:rPr>
          <w:rFonts w:ascii="Times New Roman" w:eastAsia="Calibri" w:hAnsi="Times New Roman" w:cs="Times New Roman"/>
          <w:color w:val="002060"/>
          <w:sz w:val="28"/>
          <w:szCs w:val="28"/>
          <w:lang w:eastAsia="ru-RU"/>
        </w:rPr>
        <w:t xml:space="preserve"> </w:t>
      </w:r>
      <w:r w:rsidR="00A922B4" w:rsidRPr="00A922B4">
        <w:rPr>
          <w:rFonts w:ascii="Times New Roman" w:eastAsia="Times New Roman" w:hAnsi="Times New Roman" w:cs="Times New Roman"/>
          <w:sz w:val="28"/>
          <w:szCs w:val="28"/>
          <w:lang w:eastAsia="ru-RU"/>
        </w:rPr>
        <w:t xml:space="preserve">В общей сумме налоговых и неналоговых доходов республиканского бюджета Республики Дагестан за 2021 год </w:t>
      </w:r>
      <w:r w:rsidR="00A922B4" w:rsidRPr="00A922B4">
        <w:rPr>
          <w:rFonts w:ascii="Times New Roman" w:eastAsia="Times New Roman" w:hAnsi="Times New Roman" w:cs="Times New Roman"/>
          <w:b/>
          <w:iCs/>
          <w:sz w:val="28"/>
          <w:szCs w:val="28"/>
          <w:lang w:eastAsia="ru-RU"/>
        </w:rPr>
        <w:t>доля налоговых доходов</w:t>
      </w:r>
      <w:r w:rsidR="00A922B4" w:rsidRPr="00A922B4">
        <w:rPr>
          <w:rFonts w:ascii="Times New Roman" w:eastAsia="Times New Roman" w:hAnsi="Times New Roman" w:cs="Times New Roman"/>
          <w:sz w:val="28"/>
          <w:szCs w:val="28"/>
          <w:lang w:eastAsia="ru-RU"/>
        </w:rPr>
        <w:t xml:space="preserve"> составляет 93,4 % (38 965 793,0 тыс. рублей). </w:t>
      </w:r>
    </w:p>
    <w:p w14:paraId="5E8B4820" w14:textId="77777777" w:rsidR="00A922B4" w:rsidRPr="00A922B4" w:rsidRDefault="00A922B4" w:rsidP="007C1F98">
      <w:pPr>
        <w:spacing w:after="0" w:line="340" w:lineRule="exact"/>
        <w:ind w:firstLine="851"/>
        <w:jc w:val="both"/>
        <w:rPr>
          <w:rFonts w:ascii="Times New Roman" w:eastAsia="Times New Roman" w:hAnsi="Times New Roman" w:cs="Times New Roman"/>
          <w:color w:val="FF0000"/>
          <w:sz w:val="28"/>
          <w:szCs w:val="28"/>
          <w:lang w:eastAsia="ru-RU"/>
        </w:rPr>
      </w:pPr>
      <w:r w:rsidRPr="00A922B4">
        <w:rPr>
          <w:rFonts w:ascii="Times New Roman" w:eastAsia="Times New Roman" w:hAnsi="Times New Roman" w:cs="Times New Roman"/>
          <w:sz w:val="28"/>
          <w:szCs w:val="28"/>
          <w:lang w:eastAsia="ru-RU"/>
        </w:rPr>
        <w:t>Бюджетные назначения по налоговым доходам выполнены на 99,9 процентов.</w:t>
      </w:r>
      <w:r w:rsidRPr="00A922B4">
        <w:rPr>
          <w:rFonts w:ascii="Times New Roman" w:eastAsia="Times New Roman" w:hAnsi="Times New Roman" w:cs="Times New Roman"/>
          <w:sz w:val="24"/>
          <w:szCs w:val="24"/>
          <w:lang w:eastAsia="ru-RU"/>
        </w:rPr>
        <w:t xml:space="preserve"> </w:t>
      </w:r>
      <w:r w:rsidRPr="00A922B4">
        <w:rPr>
          <w:rFonts w:ascii="Times New Roman" w:eastAsia="Times New Roman" w:hAnsi="Times New Roman" w:cs="Times New Roman"/>
          <w:sz w:val="28"/>
          <w:szCs w:val="28"/>
          <w:lang w:eastAsia="ru-RU"/>
        </w:rPr>
        <w:t xml:space="preserve">Наибольший удельный вес в структуре налоговых доходов (99,5 %) составляют налог на прибыль организаций, налог на доходы физических лиц, акцизы на алкогольную продукцию, акцизы на ГСМ, налог на имущество организаций и транспортный налог. </w:t>
      </w:r>
    </w:p>
    <w:p w14:paraId="205ADA81" w14:textId="2E2F2A98" w:rsidR="00A922B4" w:rsidRPr="00A922B4" w:rsidRDefault="00A922B4" w:rsidP="007C1F98">
      <w:pPr>
        <w:widowControl w:val="0"/>
        <w:spacing w:after="0" w:line="340" w:lineRule="exact"/>
        <w:ind w:firstLine="709"/>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lastRenderedPageBreak/>
        <w:t xml:space="preserve">Удельный вес </w:t>
      </w:r>
      <w:r w:rsidRPr="00A922B4">
        <w:rPr>
          <w:rFonts w:ascii="Times New Roman" w:eastAsia="Calibri" w:hAnsi="Times New Roman" w:cs="Times New Roman"/>
          <w:b/>
          <w:iCs/>
          <w:sz w:val="28"/>
          <w:szCs w:val="28"/>
          <w:lang w:eastAsia="ru-RU"/>
        </w:rPr>
        <w:t>неналоговых доходов</w:t>
      </w:r>
      <w:r w:rsidRPr="00A922B4">
        <w:rPr>
          <w:rFonts w:ascii="Times New Roman" w:eastAsia="Calibri" w:hAnsi="Times New Roman" w:cs="Times New Roman"/>
          <w:sz w:val="28"/>
          <w:szCs w:val="28"/>
          <w:lang w:eastAsia="ru-RU"/>
        </w:rPr>
        <w:t xml:space="preserve"> в общем объеме налоговых и неналоговых доходов составил 6,6 % против 3,1 % за 2020 год.</w:t>
      </w:r>
    </w:p>
    <w:p w14:paraId="587D4966" w14:textId="60410CB0" w:rsidR="00A922B4" w:rsidRPr="00A922B4" w:rsidRDefault="00BF35BD" w:rsidP="007C1F98">
      <w:pPr>
        <w:widowControl w:val="0"/>
        <w:spacing w:after="0" w:line="340" w:lineRule="exact"/>
        <w:ind w:firstLine="851"/>
        <w:jc w:val="both"/>
        <w:rPr>
          <w:rFonts w:ascii="Times New Roman" w:eastAsia="Calibri" w:hAnsi="Times New Roman" w:cs="Times New Roman"/>
          <w:sz w:val="28"/>
          <w:szCs w:val="28"/>
          <w:lang w:eastAsia="ru-RU"/>
        </w:rPr>
      </w:pPr>
      <w:r w:rsidRPr="00BF35BD">
        <w:rPr>
          <w:rFonts w:ascii="Times New Roman" w:eastAsia="Calibri" w:hAnsi="Times New Roman" w:cs="Times New Roman"/>
          <w:b/>
          <w:bCs/>
          <w:color w:val="002060"/>
          <w:sz w:val="28"/>
          <w:szCs w:val="28"/>
          <w:lang w:eastAsia="ru-RU"/>
        </w:rPr>
        <w:t>4.1.1.</w:t>
      </w:r>
      <w:r>
        <w:rPr>
          <w:rFonts w:ascii="Times New Roman" w:eastAsia="Calibri" w:hAnsi="Times New Roman" w:cs="Times New Roman"/>
          <w:b/>
          <w:bCs/>
          <w:color w:val="002060"/>
          <w:sz w:val="28"/>
          <w:szCs w:val="28"/>
          <w:lang w:eastAsia="ru-RU"/>
        </w:rPr>
        <w:t>3</w:t>
      </w:r>
      <w:r w:rsidRPr="00BF35BD">
        <w:rPr>
          <w:rFonts w:ascii="Times New Roman" w:eastAsia="Calibri" w:hAnsi="Times New Roman" w:cs="Times New Roman"/>
          <w:b/>
          <w:bCs/>
          <w:color w:val="002060"/>
          <w:sz w:val="28"/>
          <w:szCs w:val="28"/>
          <w:lang w:eastAsia="ru-RU"/>
        </w:rPr>
        <w:t>.</w:t>
      </w:r>
      <w:r w:rsidRPr="00BF35BD">
        <w:rPr>
          <w:rFonts w:ascii="Times New Roman" w:eastAsia="Calibri" w:hAnsi="Times New Roman" w:cs="Times New Roman"/>
          <w:color w:val="002060"/>
          <w:sz w:val="28"/>
          <w:szCs w:val="28"/>
          <w:lang w:eastAsia="ru-RU"/>
        </w:rPr>
        <w:t xml:space="preserve"> </w:t>
      </w:r>
      <w:r w:rsidR="00A922B4" w:rsidRPr="00A922B4">
        <w:rPr>
          <w:rFonts w:ascii="Times New Roman" w:eastAsia="Calibri" w:hAnsi="Times New Roman" w:cs="Times New Roman"/>
          <w:sz w:val="28"/>
          <w:szCs w:val="28"/>
          <w:lang w:eastAsia="ru-RU"/>
        </w:rPr>
        <w:t>За 2021 год поступление неналоговых доходов составило 2 768 722,7 тыс. рублей, что 1 710 631,1 тыс. рублей, или в 2,6 раза больше уровня 2020 года (1 058 091,6 тыс. рублей). В частности, поступления увеличились по:</w:t>
      </w:r>
    </w:p>
    <w:p w14:paraId="5975B348"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получаемым в виде арендной платы за земли, находящиеся в государственной собственности Республики Дагестан – на 20 278,4 тыс. рублей, или в 1,3 раза;</w:t>
      </w:r>
    </w:p>
    <w:p w14:paraId="136BBA35"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от сдачи в аренду объектов государственного имущества Республики Дагестан – на 37 320,1 тыс. рублей, или в 2,1 раза;</w:t>
      </w:r>
    </w:p>
    <w:p w14:paraId="26D3500F"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от реализации государственного имущества Республики Дагестан – на 4 798,6 тыс. рублей, или в 1,4 раза;</w:t>
      </w:r>
    </w:p>
    <w:p w14:paraId="13B309E5"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от оказания платных услуг</w:t>
      </w:r>
      <w:r w:rsidRPr="00A922B4">
        <w:rPr>
          <w:rFonts w:ascii="Times New Roman" w:eastAsia="Calibri" w:hAnsi="Times New Roman" w:cs="Times New Roman"/>
          <w:b/>
          <w:sz w:val="28"/>
          <w:szCs w:val="20"/>
          <w:lang w:eastAsia="ru-RU"/>
        </w:rPr>
        <w:t xml:space="preserve"> </w:t>
      </w:r>
      <w:r w:rsidRPr="00A922B4">
        <w:rPr>
          <w:rFonts w:ascii="Times New Roman" w:eastAsia="Calibri" w:hAnsi="Times New Roman" w:cs="Times New Roman"/>
          <w:sz w:val="28"/>
          <w:szCs w:val="28"/>
          <w:lang w:eastAsia="ru-RU"/>
        </w:rPr>
        <w:t>(работ) и компенсации затрат государства – на 40 444,1 тыс. рублей, или в 1,8 раза;</w:t>
      </w:r>
    </w:p>
    <w:p w14:paraId="568F63BE"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штрафам, санкциям, возмещению ущерба– на 491 168,4 тыс. рублей, или в 1,6 раза;</w:t>
      </w:r>
    </w:p>
    <w:p w14:paraId="55F249C9"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w:t>
      </w:r>
      <w:r w:rsidRPr="00A922B4">
        <w:rPr>
          <w:rFonts w:ascii="Times New Roman" w:eastAsia="Calibri" w:hAnsi="Times New Roman" w:cs="Times New Roman"/>
          <w:b/>
          <w:sz w:val="28"/>
          <w:szCs w:val="20"/>
          <w:lang w:eastAsia="ru-RU"/>
        </w:rPr>
        <w:t xml:space="preserve"> </w:t>
      </w:r>
      <w:r w:rsidRPr="00A922B4">
        <w:rPr>
          <w:rFonts w:ascii="Times New Roman" w:eastAsia="Calibri" w:hAnsi="Times New Roman" w:cs="Times New Roman"/>
          <w:sz w:val="28"/>
          <w:szCs w:val="28"/>
          <w:lang w:eastAsia="ru-RU"/>
        </w:rPr>
        <w:t>прочим неналоговым доходам – на 12 224,2 тыс. рублей, или в 1,6 раза.</w:t>
      </w:r>
    </w:p>
    <w:p w14:paraId="4B059516"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xml:space="preserve">При этом по пяти доходным источникам по отношению к уровню 2020 года поступления уменьшились, в частности по: </w:t>
      </w:r>
    </w:p>
    <w:p w14:paraId="30354A81"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в виде дивидендов по акциям, принадлежащим Республике Дагестан – на 4 123,7 тыс. рублей, или в 1,4 раза;</w:t>
      </w:r>
    </w:p>
    <w:p w14:paraId="077804B8"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от перечисления части прибыли, остающейся после уплаты налогов и иных обязательных платежей государственных унитарных предприятий Республики Дагестан – на 680,4 тыс. рублей, или в 1,6 раза;</w:t>
      </w:r>
    </w:p>
    <w:p w14:paraId="2259AFC2"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xml:space="preserve">- процентам, полученным от предоставления бюджетных кредитов внутри страны за счет средств бюджетов субъектов Российской Федерации – на 93,3 тыс. рублей, или на 3,8 %; </w:t>
      </w:r>
    </w:p>
    <w:p w14:paraId="65B85FB2"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xml:space="preserve">- платежам при пользовании природными ресурсами – на 2 659,0 тыс. рублей, или в 1,4 раза; </w:t>
      </w:r>
    </w:p>
    <w:p w14:paraId="6D3C0EAC"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xml:space="preserve">- административным платежам и сборам – на 428,0 тыс. рублей, или </w:t>
      </w:r>
      <w:r w:rsidRPr="00A922B4">
        <w:rPr>
          <w:rFonts w:ascii="Times New Roman" w:eastAsia="Calibri" w:hAnsi="Times New Roman" w:cs="Times New Roman"/>
          <w:sz w:val="28"/>
          <w:szCs w:val="28"/>
          <w:lang w:eastAsia="ru-RU"/>
        </w:rPr>
        <w:br/>
        <w:t>в 2,8 раза.</w:t>
      </w:r>
    </w:p>
    <w:p w14:paraId="340BC29D"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В структуре неналоговых доходов наибольший удельный вес составляют доходы:</w:t>
      </w:r>
    </w:p>
    <w:p w14:paraId="4235CAB1"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от штрафов, санкций, возмещения ущерба – 48,3 % (1 336 213,8 тыс. рублей);</w:t>
      </w:r>
    </w:p>
    <w:p w14:paraId="24ADB0FC"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от операций по управлению остатками средств на едином казначейском счете, зачисляемые в бюджеты бюджетной системы Российской Федерации – 40,2 % (1 112 220,9 тыс. рублей);</w:t>
      </w:r>
    </w:p>
    <w:p w14:paraId="366B6E5E" w14:textId="77777777" w:rsidR="00A922B4" w:rsidRPr="00A922B4" w:rsidRDefault="00A922B4" w:rsidP="007C1F98">
      <w:pPr>
        <w:widowControl w:val="0"/>
        <w:spacing w:after="0" w:line="340" w:lineRule="exact"/>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от использования государственного имущества – 6,6 % (183,8 млн. рублей).</w:t>
      </w:r>
    </w:p>
    <w:p w14:paraId="5275D62D" w14:textId="77777777" w:rsidR="00A922B4" w:rsidRPr="00A922B4" w:rsidRDefault="00A922B4" w:rsidP="00A922B4">
      <w:pPr>
        <w:widowControl w:val="0"/>
        <w:spacing w:after="0" w:line="240" w:lineRule="auto"/>
        <w:ind w:firstLine="851"/>
        <w:jc w:val="center"/>
        <w:rPr>
          <w:rFonts w:ascii="Times New Roman" w:eastAsia="Calibri" w:hAnsi="Times New Roman" w:cs="Times New Roman"/>
          <w:b/>
          <w:bCs/>
          <w:sz w:val="28"/>
          <w:szCs w:val="28"/>
          <w:lang w:eastAsia="ru-RU"/>
        </w:rPr>
      </w:pPr>
    </w:p>
    <w:p w14:paraId="77A4B56E" w14:textId="77777777" w:rsidR="00A60AEE" w:rsidRDefault="00A922B4" w:rsidP="00A922B4">
      <w:pPr>
        <w:widowControl w:val="0"/>
        <w:spacing w:after="0" w:line="240" w:lineRule="auto"/>
        <w:jc w:val="center"/>
        <w:rPr>
          <w:rFonts w:ascii="Times New Roman" w:eastAsia="Calibri" w:hAnsi="Times New Roman" w:cs="Times New Roman"/>
          <w:b/>
          <w:color w:val="002060"/>
          <w:sz w:val="28"/>
          <w:szCs w:val="28"/>
          <w:lang w:eastAsia="ru-RU"/>
        </w:rPr>
      </w:pPr>
      <w:r w:rsidRPr="00A922B4">
        <w:rPr>
          <w:rFonts w:ascii="Times New Roman" w:eastAsia="Calibri" w:hAnsi="Times New Roman" w:cs="Times New Roman"/>
          <w:b/>
          <w:color w:val="002060"/>
          <w:sz w:val="28"/>
          <w:szCs w:val="28"/>
          <w:lang w:eastAsia="ru-RU"/>
        </w:rPr>
        <w:lastRenderedPageBreak/>
        <w:t xml:space="preserve">Структура </w:t>
      </w:r>
    </w:p>
    <w:p w14:paraId="43EBA297" w14:textId="041A1503" w:rsidR="00A922B4" w:rsidRPr="00A922B4" w:rsidRDefault="00A922B4" w:rsidP="00A922B4">
      <w:pPr>
        <w:widowControl w:val="0"/>
        <w:spacing w:after="0" w:line="240" w:lineRule="auto"/>
        <w:jc w:val="center"/>
        <w:rPr>
          <w:rFonts w:ascii="Times New Roman" w:eastAsia="Calibri" w:hAnsi="Times New Roman" w:cs="Times New Roman"/>
          <w:b/>
          <w:color w:val="002060"/>
          <w:sz w:val="28"/>
          <w:szCs w:val="28"/>
          <w:lang w:eastAsia="ru-RU"/>
        </w:rPr>
      </w:pPr>
      <w:r w:rsidRPr="00A922B4">
        <w:rPr>
          <w:rFonts w:ascii="Times New Roman" w:eastAsia="Calibri" w:hAnsi="Times New Roman" w:cs="Times New Roman"/>
          <w:b/>
          <w:color w:val="002060"/>
          <w:sz w:val="28"/>
          <w:szCs w:val="28"/>
          <w:lang w:eastAsia="ru-RU"/>
        </w:rPr>
        <w:t>неналоговых доходов за 2021 год</w:t>
      </w:r>
    </w:p>
    <w:p w14:paraId="41C946C2" w14:textId="77777777" w:rsidR="00A922B4" w:rsidRPr="00A60AEE" w:rsidRDefault="00A922B4" w:rsidP="00A922B4">
      <w:pPr>
        <w:widowControl w:val="0"/>
        <w:spacing w:after="0" w:line="240" w:lineRule="auto"/>
        <w:ind w:firstLine="851"/>
        <w:jc w:val="right"/>
        <w:rPr>
          <w:rFonts w:ascii="Times New Roman" w:eastAsia="Calibri" w:hAnsi="Times New Roman" w:cs="Times New Roman"/>
          <w:b/>
          <w:color w:val="002060"/>
          <w:sz w:val="28"/>
          <w:szCs w:val="28"/>
          <w:lang w:eastAsia="ru-RU"/>
        </w:rPr>
      </w:pPr>
      <w:r w:rsidRPr="00A60AEE">
        <w:rPr>
          <w:rFonts w:ascii="Times New Roman" w:eastAsia="Calibri" w:hAnsi="Times New Roman" w:cs="Times New Roman"/>
          <w:b/>
          <w:color w:val="002060"/>
          <w:sz w:val="28"/>
          <w:szCs w:val="28"/>
          <w:lang w:eastAsia="ru-RU"/>
        </w:rPr>
        <w:t>%</w:t>
      </w:r>
    </w:p>
    <w:p w14:paraId="61AC5A64" w14:textId="77777777" w:rsidR="00A922B4" w:rsidRPr="00A922B4" w:rsidRDefault="00A922B4" w:rsidP="00A922B4">
      <w:pPr>
        <w:widowControl w:val="0"/>
        <w:spacing w:after="0" w:line="240" w:lineRule="auto"/>
        <w:jc w:val="center"/>
        <w:rPr>
          <w:rFonts w:ascii="Times New Roman" w:eastAsia="Calibri" w:hAnsi="Times New Roman" w:cs="Times New Roman"/>
          <w:b/>
          <w:bCs/>
          <w:sz w:val="28"/>
          <w:szCs w:val="28"/>
          <w:lang w:eastAsia="ru-RU"/>
        </w:rPr>
      </w:pPr>
      <w:r w:rsidRPr="00A922B4">
        <w:rPr>
          <w:rFonts w:ascii="Times New Roman" w:eastAsia="Calibri" w:hAnsi="Times New Roman" w:cs="Times New Roman"/>
          <w:b/>
          <w:noProof/>
          <w:sz w:val="28"/>
          <w:szCs w:val="20"/>
          <w:lang w:eastAsia="ru-RU"/>
        </w:rPr>
        <w:drawing>
          <wp:inline distT="0" distB="0" distL="0" distR="0" wp14:anchorId="59870C19" wp14:editId="2CE8099A">
            <wp:extent cx="5267325" cy="3054350"/>
            <wp:effectExtent l="0" t="0" r="0" b="0"/>
            <wp:docPr id="6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A8AAD5D" w14:textId="77777777" w:rsidR="00A922B4" w:rsidRPr="00A922B4" w:rsidRDefault="00A922B4" w:rsidP="00A922B4">
      <w:pPr>
        <w:widowControl w:val="0"/>
        <w:tabs>
          <w:tab w:val="left" w:pos="303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Утвержденные задания по поступлению неналоговых доходов на 2021 год выполнены 123,4 %, или при плане 2 242 820,7 тыс. рублей, фактическое поступление составило 2 768 722,6 тыс. рублей.</w:t>
      </w:r>
    </w:p>
    <w:p w14:paraId="25299763" w14:textId="77777777" w:rsidR="00A922B4" w:rsidRPr="00A922B4" w:rsidRDefault="00A922B4" w:rsidP="00A922B4">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A922B4">
        <w:rPr>
          <w:rFonts w:ascii="Times New Roman" w:eastAsia="Calibri" w:hAnsi="Times New Roman" w:cs="Times New Roman"/>
          <w:sz w:val="28"/>
          <w:szCs w:val="28"/>
          <w:lang w:eastAsia="ru-RU"/>
        </w:rPr>
        <w:t>Поступление неналоговых доходов за 2020-2021 годы в разрезе видов платежей приведено в следующей таблице.</w:t>
      </w:r>
    </w:p>
    <w:p w14:paraId="47A17932" w14:textId="77777777" w:rsidR="00A922B4" w:rsidRPr="00A922B4" w:rsidRDefault="00A922B4" w:rsidP="00A922B4">
      <w:pPr>
        <w:spacing w:after="0" w:line="240" w:lineRule="auto"/>
        <w:jc w:val="right"/>
        <w:rPr>
          <w:rFonts w:ascii="Times New Roman" w:eastAsia="Times New Roman" w:hAnsi="Times New Roman" w:cs="Times New Roman"/>
          <w:b/>
          <w:color w:val="002060"/>
          <w:sz w:val="24"/>
          <w:szCs w:val="24"/>
          <w:lang w:val="en-US" w:eastAsia="ru-RU"/>
        </w:rPr>
      </w:pPr>
      <w:r w:rsidRPr="00A922B4">
        <w:rPr>
          <w:rFonts w:ascii="Times New Roman" w:eastAsia="Times New Roman" w:hAnsi="Times New Roman" w:cs="Times New Roman"/>
          <w:b/>
          <w:color w:val="002060"/>
          <w:sz w:val="24"/>
          <w:szCs w:val="24"/>
          <w:lang w:eastAsia="ru-RU"/>
        </w:rPr>
        <w:t>тыс. рублей</w:t>
      </w:r>
    </w:p>
    <w:tbl>
      <w:tblPr>
        <w:tblW w:w="9498"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261"/>
        <w:gridCol w:w="993"/>
        <w:gridCol w:w="1075"/>
        <w:gridCol w:w="992"/>
        <w:gridCol w:w="992"/>
        <w:gridCol w:w="625"/>
        <w:gridCol w:w="1027"/>
        <w:gridCol w:w="533"/>
      </w:tblGrid>
      <w:tr w:rsidR="00A922B4" w:rsidRPr="00A922B4" w14:paraId="345A9211" w14:textId="77777777" w:rsidTr="00156793">
        <w:trPr>
          <w:trHeight w:val="515"/>
          <w:tblHeader/>
        </w:trPr>
        <w:tc>
          <w:tcPr>
            <w:tcW w:w="3261" w:type="dxa"/>
            <w:vMerge w:val="restart"/>
            <w:shd w:val="clear" w:color="auto" w:fill="D9E2F3" w:themeFill="accent1" w:themeFillTint="33"/>
            <w:vAlign w:val="center"/>
          </w:tcPr>
          <w:p w14:paraId="18B350E7"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Наименование</w:t>
            </w:r>
          </w:p>
        </w:tc>
        <w:tc>
          <w:tcPr>
            <w:tcW w:w="993" w:type="dxa"/>
            <w:vMerge w:val="restart"/>
            <w:shd w:val="clear" w:color="auto" w:fill="D9E2F3" w:themeFill="accent1" w:themeFillTint="33"/>
            <w:vAlign w:val="center"/>
          </w:tcPr>
          <w:p w14:paraId="32336A50"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Отчет за 2020 год</w:t>
            </w:r>
          </w:p>
        </w:tc>
        <w:tc>
          <w:tcPr>
            <w:tcW w:w="3684" w:type="dxa"/>
            <w:gridSpan w:val="4"/>
            <w:shd w:val="clear" w:color="auto" w:fill="D9E2F3" w:themeFill="accent1" w:themeFillTint="33"/>
            <w:vAlign w:val="center"/>
          </w:tcPr>
          <w:p w14:paraId="798241F8"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2021 год</w:t>
            </w:r>
          </w:p>
        </w:tc>
        <w:tc>
          <w:tcPr>
            <w:tcW w:w="1560" w:type="dxa"/>
            <w:gridSpan w:val="2"/>
            <w:shd w:val="clear" w:color="auto" w:fill="D9E2F3" w:themeFill="accent1" w:themeFillTint="33"/>
            <w:vAlign w:val="center"/>
          </w:tcPr>
          <w:p w14:paraId="1529CF2B" w14:textId="77777777" w:rsidR="00A922B4" w:rsidRPr="00A922B4" w:rsidRDefault="00A922B4" w:rsidP="00A922B4">
            <w:pPr>
              <w:spacing w:after="0" w:line="200" w:lineRule="exact"/>
              <w:ind w:left="-112" w:right="-57"/>
              <w:jc w:val="center"/>
              <w:rPr>
                <w:rFonts w:ascii="Times New Roman" w:eastAsia="Times New Roman" w:hAnsi="Times New Roman" w:cs="Times New Roman"/>
                <w:b/>
                <w:bCs/>
                <w:sz w:val="18"/>
                <w:szCs w:val="18"/>
                <w:lang w:eastAsia="ru-RU"/>
              </w:rPr>
            </w:pPr>
            <w:r w:rsidRPr="00A922B4">
              <w:rPr>
                <w:rFonts w:ascii="Times New Roman" w:eastAsia="Times New Roman" w:hAnsi="Times New Roman" w:cs="Times New Roman"/>
                <w:b/>
                <w:bCs/>
                <w:sz w:val="18"/>
                <w:szCs w:val="18"/>
                <w:lang w:eastAsia="ru-RU"/>
              </w:rPr>
              <w:t xml:space="preserve">2021 год </w:t>
            </w:r>
          </w:p>
          <w:p w14:paraId="7FFD52B3"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18"/>
                <w:szCs w:val="18"/>
                <w:lang w:eastAsia="ru-RU"/>
              </w:rPr>
              <w:t>к 2020 году</w:t>
            </w:r>
          </w:p>
        </w:tc>
      </w:tr>
      <w:tr w:rsidR="00A922B4" w:rsidRPr="00A922B4" w14:paraId="2E4CEB3F" w14:textId="77777777" w:rsidTr="00156793">
        <w:trPr>
          <w:trHeight w:val="329"/>
          <w:tblHeader/>
        </w:trPr>
        <w:tc>
          <w:tcPr>
            <w:tcW w:w="3261" w:type="dxa"/>
            <w:vMerge/>
            <w:shd w:val="clear" w:color="auto" w:fill="D9E2F3" w:themeFill="accent1" w:themeFillTint="33"/>
            <w:vAlign w:val="center"/>
          </w:tcPr>
          <w:p w14:paraId="11A26587" w14:textId="77777777" w:rsidR="00A922B4" w:rsidRPr="00A922B4" w:rsidRDefault="00A922B4" w:rsidP="00A922B4">
            <w:pPr>
              <w:spacing w:after="0" w:line="200" w:lineRule="exact"/>
              <w:ind w:left="-57" w:right="-57"/>
              <w:rPr>
                <w:rFonts w:ascii="Times New Roman" w:eastAsia="Times New Roman" w:hAnsi="Times New Roman" w:cs="Times New Roman"/>
                <w:b/>
                <w:bCs/>
                <w:sz w:val="24"/>
                <w:szCs w:val="24"/>
                <w:lang w:eastAsia="ru-RU"/>
              </w:rPr>
            </w:pPr>
          </w:p>
        </w:tc>
        <w:tc>
          <w:tcPr>
            <w:tcW w:w="993" w:type="dxa"/>
            <w:vMerge/>
            <w:shd w:val="clear" w:color="auto" w:fill="D9E2F3" w:themeFill="accent1" w:themeFillTint="33"/>
            <w:vAlign w:val="center"/>
          </w:tcPr>
          <w:p w14:paraId="1E1DAD3C"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p>
        </w:tc>
        <w:tc>
          <w:tcPr>
            <w:tcW w:w="1075" w:type="dxa"/>
            <w:shd w:val="clear" w:color="auto" w:fill="D9E2F3" w:themeFill="accent1" w:themeFillTint="33"/>
            <w:vAlign w:val="center"/>
          </w:tcPr>
          <w:p w14:paraId="738B8B52" w14:textId="77777777" w:rsidR="00A922B4" w:rsidRPr="00A922B4" w:rsidRDefault="00A922B4" w:rsidP="00A922B4">
            <w:pPr>
              <w:spacing w:after="0" w:line="200" w:lineRule="exact"/>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утверждено</w:t>
            </w:r>
          </w:p>
        </w:tc>
        <w:tc>
          <w:tcPr>
            <w:tcW w:w="992" w:type="dxa"/>
            <w:shd w:val="clear" w:color="auto" w:fill="D9E2F3" w:themeFill="accent1" w:themeFillTint="33"/>
            <w:vAlign w:val="center"/>
          </w:tcPr>
          <w:p w14:paraId="4B6CAF4A" w14:textId="77777777" w:rsidR="00A922B4" w:rsidRPr="00A922B4" w:rsidRDefault="00A922B4" w:rsidP="00A922B4">
            <w:pPr>
              <w:spacing w:after="0" w:line="200" w:lineRule="exact"/>
              <w:ind w:left="-57" w:right="-57"/>
              <w:jc w:val="center"/>
              <w:rPr>
                <w:rFonts w:ascii="Times New Roman" w:eastAsia="Times New Roman" w:hAnsi="Times New Roman" w:cs="Times New Roman"/>
                <w:b/>
                <w:sz w:val="18"/>
                <w:szCs w:val="18"/>
                <w:lang w:eastAsia="ru-RU"/>
              </w:rPr>
            </w:pPr>
            <w:r w:rsidRPr="00A922B4">
              <w:rPr>
                <w:rFonts w:ascii="Times New Roman" w:eastAsia="Times New Roman" w:hAnsi="Times New Roman" w:cs="Times New Roman"/>
                <w:b/>
                <w:sz w:val="18"/>
                <w:szCs w:val="18"/>
                <w:lang w:eastAsia="ru-RU"/>
              </w:rPr>
              <w:t>исполнено</w:t>
            </w:r>
          </w:p>
        </w:tc>
        <w:tc>
          <w:tcPr>
            <w:tcW w:w="992" w:type="dxa"/>
            <w:shd w:val="clear" w:color="auto" w:fill="D9E2F3" w:themeFill="accent1" w:themeFillTint="33"/>
            <w:vAlign w:val="center"/>
          </w:tcPr>
          <w:p w14:paraId="238D964E"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w:t>
            </w:r>
          </w:p>
        </w:tc>
        <w:tc>
          <w:tcPr>
            <w:tcW w:w="625" w:type="dxa"/>
            <w:shd w:val="clear" w:color="auto" w:fill="D9E2F3" w:themeFill="accent1" w:themeFillTint="33"/>
            <w:vAlign w:val="center"/>
          </w:tcPr>
          <w:p w14:paraId="09CC01CF"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w:t>
            </w:r>
          </w:p>
        </w:tc>
        <w:tc>
          <w:tcPr>
            <w:tcW w:w="1027" w:type="dxa"/>
            <w:shd w:val="clear" w:color="auto" w:fill="D9E2F3" w:themeFill="accent1" w:themeFillTint="33"/>
            <w:vAlign w:val="center"/>
          </w:tcPr>
          <w:p w14:paraId="726E2302"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w:t>
            </w:r>
          </w:p>
        </w:tc>
        <w:tc>
          <w:tcPr>
            <w:tcW w:w="533" w:type="dxa"/>
            <w:shd w:val="clear" w:color="auto" w:fill="D9E2F3" w:themeFill="accent1" w:themeFillTint="33"/>
            <w:vAlign w:val="center"/>
          </w:tcPr>
          <w:p w14:paraId="06420881" w14:textId="77777777" w:rsidR="00A922B4" w:rsidRPr="00A922B4" w:rsidRDefault="00A922B4" w:rsidP="00A922B4">
            <w:pPr>
              <w:spacing w:after="0" w:line="200" w:lineRule="exact"/>
              <w:ind w:left="-57" w:right="-57"/>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w:t>
            </w:r>
          </w:p>
        </w:tc>
      </w:tr>
      <w:tr w:rsidR="00A922B4" w:rsidRPr="00A922B4" w14:paraId="5ADD1120" w14:textId="77777777" w:rsidTr="00BF35BD">
        <w:trPr>
          <w:trHeight w:val="510"/>
        </w:trPr>
        <w:tc>
          <w:tcPr>
            <w:tcW w:w="3261" w:type="dxa"/>
            <w:shd w:val="clear" w:color="auto" w:fill="FFFFFF"/>
            <w:vAlign w:val="center"/>
          </w:tcPr>
          <w:p w14:paraId="57E99412" w14:textId="23400426" w:rsidR="00A922B4" w:rsidRPr="00A922B4" w:rsidRDefault="00A922B4" w:rsidP="00A922B4">
            <w:pPr>
              <w:spacing w:after="0" w:line="200" w:lineRule="exact"/>
              <w:ind w:left="-57" w:right="-57"/>
              <w:jc w:val="both"/>
              <w:rPr>
                <w:rFonts w:ascii="Times New Roman" w:eastAsia="Times New Roman" w:hAnsi="Times New Roman" w:cs="Times New Roman"/>
                <w:sz w:val="24"/>
                <w:szCs w:val="24"/>
                <w:lang w:eastAsia="ru-RU"/>
              </w:rPr>
            </w:pPr>
            <w:bookmarkStart w:id="16" w:name="_Hlk73090587"/>
            <w:r w:rsidRPr="00A922B4">
              <w:rPr>
                <w:rFonts w:ascii="Times New Roman" w:eastAsia="Times New Roman" w:hAnsi="Times New Roman" w:cs="Times New Roman"/>
                <w:sz w:val="20"/>
                <w:szCs w:val="20"/>
                <w:lang w:eastAsia="ru-RU"/>
              </w:rPr>
              <w:t xml:space="preserve">Доходы от использования государственной собственности </w:t>
            </w:r>
            <w:bookmarkEnd w:id="16"/>
            <w:r w:rsidRPr="00A922B4">
              <w:rPr>
                <w:rFonts w:ascii="Times New Roman" w:eastAsia="Times New Roman" w:hAnsi="Times New Roman" w:cs="Times New Roman"/>
                <w:sz w:val="20"/>
                <w:szCs w:val="20"/>
                <w:lang w:eastAsia="ru-RU"/>
              </w:rPr>
              <w:br/>
            </w:r>
            <w:r w:rsidRPr="00A922B4">
              <w:rPr>
                <w:rFonts w:ascii="Times New Roman" w:eastAsia="Times New Roman" w:hAnsi="Times New Roman" w:cs="Times New Roman"/>
                <w:sz w:val="16"/>
                <w:szCs w:val="16"/>
                <w:lang w:eastAsia="ru-RU"/>
              </w:rPr>
              <w:t>(без учета доходов от продажи акций)</w:t>
            </w:r>
          </w:p>
        </w:tc>
        <w:tc>
          <w:tcPr>
            <w:tcW w:w="993" w:type="dxa"/>
            <w:shd w:val="clear" w:color="auto" w:fill="FFFFFF"/>
            <w:vAlign w:val="center"/>
          </w:tcPr>
          <w:p w14:paraId="36E25B9E"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126 025,9</w:t>
            </w:r>
          </w:p>
        </w:tc>
        <w:tc>
          <w:tcPr>
            <w:tcW w:w="1075" w:type="dxa"/>
            <w:shd w:val="clear" w:color="auto" w:fill="FFFFFF"/>
            <w:vAlign w:val="center"/>
          </w:tcPr>
          <w:p w14:paraId="24E19783"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525 500,0</w:t>
            </w:r>
          </w:p>
        </w:tc>
        <w:tc>
          <w:tcPr>
            <w:tcW w:w="992" w:type="dxa"/>
            <w:shd w:val="clear" w:color="auto" w:fill="FFFFFF"/>
            <w:vAlign w:val="center"/>
          </w:tcPr>
          <w:p w14:paraId="7D7E51A1"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183 779,6</w:t>
            </w:r>
          </w:p>
        </w:tc>
        <w:tc>
          <w:tcPr>
            <w:tcW w:w="992" w:type="dxa"/>
            <w:shd w:val="clear" w:color="auto" w:fill="FFFFFF"/>
            <w:vAlign w:val="center"/>
          </w:tcPr>
          <w:p w14:paraId="720E93E8"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- 341 720,4</w:t>
            </w:r>
          </w:p>
        </w:tc>
        <w:tc>
          <w:tcPr>
            <w:tcW w:w="625" w:type="dxa"/>
            <w:shd w:val="clear" w:color="auto" w:fill="FFFFFF"/>
            <w:vAlign w:val="center"/>
          </w:tcPr>
          <w:p w14:paraId="344D2664"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35,0</w:t>
            </w:r>
          </w:p>
        </w:tc>
        <w:tc>
          <w:tcPr>
            <w:tcW w:w="1027" w:type="dxa"/>
            <w:shd w:val="clear" w:color="auto" w:fill="FFFFFF"/>
            <w:noWrap/>
            <w:vAlign w:val="center"/>
          </w:tcPr>
          <w:p w14:paraId="0EC68E97"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57 753,7</w:t>
            </w:r>
          </w:p>
        </w:tc>
        <w:tc>
          <w:tcPr>
            <w:tcW w:w="533" w:type="dxa"/>
            <w:shd w:val="clear" w:color="auto" w:fill="FFFFFF"/>
            <w:vAlign w:val="center"/>
          </w:tcPr>
          <w:p w14:paraId="7258FC89"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145,8</w:t>
            </w:r>
          </w:p>
        </w:tc>
      </w:tr>
      <w:tr w:rsidR="00A922B4" w:rsidRPr="00A922B4" w14:paraId="5D1F58DC" w14:textId="77777777" w:rsidTr="00BF35BD">
        <w:trPr>
          <w:trHeight w:val="258"/>
        </w:trPr>
        <w:tc>
          <w:tcPr>
            <w:tcW w:w="3261" w:type="dxa"/>
            <w:shd w:val="clear" w:color="auto" w:fill="FFFFFF"/>
            <w:vAlign w:val="center"/>
          </w:tcPr>
          <w:p w14:paraId="6DE6CE1E" w14:textId="77777777" w:rsidR="00A922B4" w:rsidRPr="00A922B4" w:rsidRDefault="00A922B4" w:rsidP="00A922B4">
            <w:pPr>
              <w:spacing w:after="0" w:line="200" w:lineRule="exact"/>
              <w:ind w:left="-57" w:right="-57"/>
              <w:jc w:val="both"/>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в том числе:</w:t>
            </w:r>
          </w:p>
        </w:tc>
        <w:tc>
          <w:tcPr>
            <w:tcW w:w="993" w:type="dxa"/>
            <w:shd w:val="clear" w:color="auto" w:fill="FFFFFF"/>
            <w:vAlign w:val="center"/>
          </w:tcPr>
          <w:p w14:paraId="4A7E3867"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p>
        </w:tc>
        <w:tc>
          <w:tcPr>
            <w:tcW w:w="1075" w:type="dxa"/>
            <w:shd w:val="clear" w:color="auto" w:fill="FFFFFF"/>
            <w:vAlign w:val="center"/>
          </w:tcPr>
          <w:p w14:paraId="6746A9A6"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p>
        </w:tc>
        <w:tc>
          <w:tcPr>
            <w:tcW w:w="992" w:type="dxa"/>
            <w:shd w:val="clear" w:color="auto" w:fill="FFFFFF"/>
            <w:vAlign w:val="center"/>
          </w:tcPr>
          <w:p w14:paraId="1CE7242B"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p>
        </w:tc>
        <w:tc>
          <w:tcPr>
            <w:tcW w:w="992" w:type="dxa"/>
            <w:shd w:val="clear" w:color="auto" w:fill="FFFFFF"/>
            <w:vAlign w:val="center"/>
          </w:tcPr>
          <w:p w14:paraId="6A633772"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p>
        </w:tc>
        <w:tc>
          <w:tcPr>
            <w:tcW w:w="625" w:type="dxa"/>
            <w:shd w:val="clear" w:color="auto" w:fill="FFFFFF"/>
            <w:vAlign w:val="center"/>
          </w:tcPr>
          <w:p w14:paraId="7B530899"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p>
        </w:tc>
        <w:tc>
          <w:tcPr>
            <w:tcW w:w="1027" w:type="dxa"/>
            <w:shd w:val="clear" w:color="auto" w:fill="FFFFFF"/>
            <w:noWrap/>
            <w:vAlign w:val="center"/>
          </w:tcPr>
          <w:p w14:paraId="3B7DBCE9"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p>
        </w:tc>
        <w:tc>
          <w:tcPr>
            <w:tcW w:w="533" w:type="dxa"/>
            <w:shd w:val="clear" w:color="auto" w:fill="FFFFFF"/>
            <w:vAlign w:val="center"/>
          </w:tcPr>
          <w:p w14:paraId="61C4FCB3"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p>
        </w:tc>
      </w:tr>
      <w:tr w:rsidR="00A922B4" w:rsidRPr="00A922B4" w14:paraId="05C8F814" w14:textId="77777777" w:rsidTr="00BF35BD">
        <w:trPr>
          <w:trHeight w:val="510"/>
        </w:trPr>
        <w:tc>
          <w:tcPr>
            <w:tcW w:w="3261" w:type="dxa"/>
            <w:shd w:val="clear" w:color="auto" w:fill="FFFFFF"/>
            <w:vAlign w:val="center"/>
          </w:tcPr>
          <w:p w14:paraId="16A0D71A" w14:textId="77777777" w:rsidR="00A922B4" w:rsidRPr="00A922B4" w:rsidRDefault="00A922B4" w:rsidP="00A922B4">
            <w:pPr>
              <w:spacing w:after="0" w:line="200" w:lineRule="exact"/>
              <w:ind w:left="-57" w:right="-57"/>
              <w:jc w:val="both"/>
              <w:rPr>
                <w:rFonts w:ascii="Times New Roman" w:eastAsia="Times New Roman" w:hAnsi="Times New Roman" w:cs="Times New Roman"/>
                <w:i/>
                <w:sz w:val="18"/>
                <w:szCs w:val="18"/>
                <w:lang w:eastAsia="ru-RU"/>
              </w:rPr>
            </w:pPr>
            <w:r w:rsidRPr="00A922B4">
              <w:rPr>
                <w:rFonts w:ascii="Times New Roman" w:eastAsia="Times New Roman" w:hAnsi="Times New Roman" w:cs="Times New Roman"/>
                <w:i/>
                <w:sz w:val="18"/>
                <w:szCs w:val="18"/>
                <w:lang w:eastAsia="ru-RU"/>
              </w:rPr>
              <w:t>доходы в виде прибыли</w:t>
            </w:r>
            <w:r w:rsidRPr="00A922B4">
              <w:rPr>
                <w:rFonts w:ascii="Times New Roman" w:eastAsia="Times New Roman" w:hAnsi="Times New Roman" w:cs="Times New Roman"/>
                <w:sz w:val="18"/>
                <w:szCs w:val="18"/>
                <w:lang w:eastAsia="ru-RU"/>
              </w:rPr>
              <w:t xml:space="preserve">, </w:t>
            </w:r>
            <w:r w:rsidRPr="00A922B4">
              <w:rPr>
                <w:rFonts w:ascii="Times New Roman" w:eastAsia="Times New Roman" w:hAnsi="Times New Roman" w:cs="Times New Roman"/>
                <w:i/>
                <w:sz w:val="18"/>
                <w:szCs w:val="18"/>
                <w:lang w:eastAsia="ru-RU"/>
              </w:rPr>
              <w:t>приходящейся на доли в уставных (складочных) капиталах хозяйственных товариществ и обществ, или дивидендов по акциям, принадлежащим РД</w:t>
            </w:r>
          </w:p>
        </w:tc>
        <w:tc>
          <w:tcPr>
            <w:tcW w:w="993" w:type="dxa"/>
            <w:shd w:val="clear" w:color="auto" w:fill="FFFFFF"/>
            <w:vAlign w:val="center"/>
          </w:tcPr>
          <w:p w14:paraId="3368B87E"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15 386,3</w:t>
            </w:r>
          </w:p>
        </w:tc>
        <w:tc>
          <w:tcPr>
            <w:tcW w:w="1075" w:type="dxa"/>
            <w:shd w:val="clear" w:color="auto" w:fill="FFFFFF"/>
            <w:vAlign w:val="center"/>
          </w:tcPr>
          <w:p w14:paraId="537A8E84"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6 000,0</w:t>
            </w:r>
          </w:p>
        </w:tc>
        <w:tc>
          <w:tcPr>
            <w:tcW w:w="992" w:type="dxa"/>
            <w:shd w:val="clear" w:color="auto" w:fill="FFFFFF"/>
            <w:vAlign w:val="center"/>
          </w:tcPr>
          <w:p w14:paraId="1FBA4881"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11 262,6</w:t>
            </w:r>
          </w:p>
        </w:tc>
        <w:tc>
          <w:tcPr>
            <w:tcW w:w="992" w:type="dxa"/>
            <w:shd w:val="clear" w:color="auto" w:fill="FFFFFF"/>
            <w:vAlign w:val="center"/>
          </w:tcPr>
          <w:p w14:paraId="487C3B94"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5 262,6</w:t>
            </w:r>
          </w:p>
        </w:tc>
        <w:tc>
          <w:tcPr>
            <w:tcW w:w="625" w:type="dxa"/>
            <w:shd w:val="clear" w:color="auto" w:fill="FFFFFF"/>
            <w:vAlign w:val="center"/>
          </w:tcPr>
          <w:p w14:paraId="610677E0"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187,7</w:t>
            </w:r>
          </w:p>
        </w:tc>
        <w:tc>
          <w:tcPr>
            <w:tcW w:w="1027" w:type="dxa"/>
            <w:shd w:val="clear" w:color="auto" w:fill="FFFFFF"/>
            <w:noWrap/>
            <w:vAlign w:val="center"/>
          </w:tcPr>
          <w:p w14:paraId="5031C7C8"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  4 123,7</w:t>
            </w:r>
          </w:p>
        </w:tc>
        <w:tc>
          <w:tcPr>
            <w:tcW w:w="533" w:type="dxa"/>
            <w:shd w:val="clear" w:color="auto" w:fill="FFFFFF"/>
            <w:vAlign w:val="center"/>
          </w:tcPr>
          <w:p w14:paraId="20CA23B7"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73,2</w:t>
            </w:r>
          </w:p>
        </w:tc>
      </w:tr>
      <w:tr w:rsidR="00A922B4" w:rsidRPr="00A922B4" w14:paraId="2B96CC70" w14:textId="77777777" w:rsidTr="00BF35BD">
        <w:trPr>
          <w:trHeight w:val="510"/>
        </w:trPr>
        <w:tc>
          <w:tcPr>
            <w:tcW w:w="3261" w:type="dxa"/>
            <w:shd w:val="clear" w:color="auto" w:fill="FFFFFF"/>
            <w:vAlign w:val="center"/>
          </w:tcPr>
          <w:p w14:paraId="09E1CD84" w14:textId="77777777" w:rsidR="00A922B4" w:rsidRPr="00A922B4" w:rsidRDefault="00A922B4" w:rsidP="00A922B4">
            <w:pPr>
              <w:spacing w:after="0" w:line="200" w:lineRule="exact"/>
              <w:ind w:left="-57" w:right="-57"/>
              <w:jc w:val="both"/>
              <w:rPr>
                <w:rFonts w:ascii="Times New Roman" w:eastAsia="Times New Roman" w:hAnsi="Times New Roman" w:cs="Times New Roman"/>
                <w:sz w:val="18"/>
                <w:szCs w:val="18"/>
                <w:lang w:eastAsia="ru-RU"/>
              </w:rPr>
            </w:pPr>
            <w:r w:rsidRPr="00A922B4">
              <w:rPr>
                <w:rFonts w:ascii="Times New Roman" w:eastAsia="Times New Roman" w:hAnsi="Times New Roman" w:cs="Times New Roman"/>
                <w:i/>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РД</w:t>
            </w:r>
          </w:p>
        </w:tc>
        <w:tc>
          <w:tcPr>
            <w:tcW w:w="993" w:type="dxa"/>
            <w:shd w:val="clear" w:color="auto" w:fill="FFFFFF"/>
            <w:vAlign w:val="center"/>
          </w:tcPr>
          <w:p w14:paraId="369607E9"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61 954,7</w:t>
            </w:r>
          </w:p>
        </w:tc>
        <w:tc>
          <w:tcPr>
            <w:tcW w:w="1075" w:type="dxa"/>
            <w:shd w:val="clear" w:color="auto" w:fill="FFFFFF"/>
            <w:vAlign w:val="center"/>
          </w:tcPr>
          <w:p w14:paraId="34BA5002"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90 000,0</w:t>
            </w:r>
          </w:p>
        </w:tc>
        <w:tc>
          <w:tcPr>
            <w:tcW w:w="992" w:type="dxa"/>
            <w:shd w:val="clear" w:color="auto" w:fill="FFFFFF"/>
            <w:vAlign w:val="center"/>
          </w:tcPr>
          <w:p w14:paraId="6A9C38D0"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82 233,1</w:t>
            </w:r>
          </w:p>
        </w:tc>
        <w:tc>
          <w:tcPr>
            <w:tcW w:w="992" w:type="dxa"/>
            <w:shd w:val="clear" w:color="auto" w:fill="FFFFFF"/>
            <w:vAlign w:val="center"/>
          </w:tcPr>
          <w:p w14:paraId="063C6679"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  7 766,9</w:t>
            </w:r>
          </w:p>
        </w:tc>
        <w:tc>
          <w:tcPr>
            <w:tcW w:w="625" w:type="dxa"/>
            <w:shd w:val="clear" w:color="auto" w:fill="FFFFFF"/>
            <w:vAlign w:val="center"/>
          </w:tcPr>
          <w:p w14:paraId="5633DA71"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91,4</w:t>
            </w:r>
          </w:p>
        </w:tc>
        <w:tc>
          <w:tcPr>
            <w:tcW w:w="1027" w:type="dxa"/>
            <w:shd w:val="clear" w:color="auto" w:fill="FFFFFF"/>
            <w:noWrap/>
            <w:vAlign w:val="center"/>
          </w:tcPr>
          <w:p w14:paraId="1E4FFA84"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20 278,4</w:t>
            </w:r>
          </w:p>
        </w:tc>
        <w:tc>
          <w:tcPr>
            <w:tcW w:w="533" w:type="dxa"/>
            <w:shd w:val="clear" w:color="auto" w:fill="FFFFFF"/>
            <w:vAlign w:val="center"/>
          </w:tcPr>
          <w:p w14:paraId="7D4A6F25"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132,7</w:t>
            </w:r>
          </w:p>
        </w:tc>
      </w:tr>
      <w:tr w:rsidR="00A922B4" w:rsidRPr="00A922B4" w14:paraId="4B2EEBB8" w14:textId="77777777" w:rsidTr="00BF35BD">
        <w:trPr>
          <w:trHeight w:val="859"/>
        </w:trPr>
        <w:tc>
          <w:tcPr>
            <w:tcW w:w="3261" w:type="dxa"/>
            <w:shd w:val="clear" w:color="auto" w:fill="FFFFFF"/>
            <w:vAlign w:val="center"/>
          </w:tcPr>
          <w:p w14:paraId="532DB10A" w14:textId="77777777" w:rsidR="00A922B4" w:rsidRPr="00A922B4" w:rsidRDefault="00A922B4" w:rsidP="00A922B4">
            <w:pPr>
              <w:spacing w:after="0" w:line="200" w:lineRule="exact"/>
              <w:ind w:left="-57" w:right="-57"/>
              <w:jc w:val="both"/>
              <w:rPr>
                <w:rFonts w:ascii="Times New Roman" w:eastAsia="Times New Roman" w:hAnsi="Times New Roman" w:cs="Times New Roman"/>
                <w:i/>
                <w:sz w:val="18"/>
                <w:szCs w:val="18"/>
                <w:lang w:eastAsia="ru-RU"/>
              </w:rPr>
            </w:pPr>
            <w:r w:rsidRPr="00A922B4">
              <w:rPr>
                <w:rFonts w:ascii="Times New Roman" w:eastAsia="Times New Roman" w:hAnsi="Times New Roman" w:cs="Times New Roman"/>
                <w:i/>
                <w:sz w:val="18"/>
                <w:szCs w:val="18"/>
                <w:lang w:eastAsia="ru-RU"/>
              </w:rPr>
              <w:t>доходы от сдачи в аренду имущества, находящегося в оперативном управлении органов государственной власти РД и созданных ими учреждений</w:t>
            </w:r>
          </w:p>
        </w:tc>
        <w:tc>
          <w:tcPr>
            <w:tcW w:w="993" w:type="dxa"/>
            <w:shd w:val="clear" w:color="auto" w:fill="FFFFFF"/>
            <w:vAlign w:val="center"/>
          </w:tcPr>
          <w:p w14:paraId="1AEDA9FF"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34 533,7</w:t>
            </w:r>
          </w:p>
        </w:tc>
        <w:tc>
          <w:tcPr>
            <w:tcW w:w="1075" w:type="dxa"/>
            <w:shd w:val="clear" w:color="auto" w:fill="FFFFFF"/>
            <w:vAlign w:val="center"/>
          </w:tcPr>
          <w:p w14:paraId="2A9F5B8D"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422 000,0</w:t>
            </w:r>
          </w:p>
        </w:tc>
        <w:tc>
          <w:tcPr>
            <w:tcW w:w="992" w:type="dxa"/>
            <w:shd w:val="clear" w:color="auto" w:fill="FFFFFF"/>
            <w:vAlign w:val="center"/>
          </w:tcPr>
          <w:p w14:paraId="3E8807BD"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71 853,8</w:t>
            </w:r>
          </w:p>
        </w:tc>
        <w:tc>
          <w:tcPr>
            <w:tcW w:w="992" w:type="dxa"/>
            <w:shd w:val="clear" w:color="auto" w:fill="FFFFFF"/>
            <w:vAlign w:val="center"/>
          </w:tcPr>
          <w:p w14:paraId="039DBD7F"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   350 146,2</w:t>
            </w:r>
          </w:p>
        </w:tc>
        <w:tc>
          <w:tcPr>
            <w:tcW w:w="625" w:type="dxa"/>
            <w:shd w:val="clear" w:color="auto" w:fill="FFFFFF"/>
            <w:vAlign w:val="center"/>
          </w:tcPr>
          <w:p w14:paraId="557B70D3"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17,0</w:t>
            </w:r>
          </w:p>
        </w:tc>
        <w:tc>
          <w:tcPr>
            <w:tcW w:w="1027" w:type="dxa"/>
            <w:shd w:val="clear" w:color="auto" w:fill="FFFFFF"/>
            <w:noWrap/>
            <w:vAlign w:val="center"/>
          </w:tcPr>
          <w:p w14:paraId="7BA437A0"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37 320,1</w:t>
            </w:r>
          </w:p>
        </w:tc>
        <w:tc>
          <w:tcPr>
            <w:tcW w:w="533" w:type="dxa"/>
            <w:shd w:val="clear" w:color="auto" w:fill="FFFFFF"/>
            <w:vAlign w:val="center"/>
          </w:tcPr>
          <w:p w14:paraId="65F6E152"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208,1</w:t>
            </w:r>
          </w:p>
        </w:tc>
      </w:tr>
      <w:tr w:rsidR="00A922B4" w:rsidRPr="00A922B4" w14:paraId="6D1ED1B9" w14:textId="77777777" w:rsidTr="00BF35BD">
        <w:trPr>
          <w:trHeight w:val="510"/>
        </w:trPr>
        <w:tc>
          <w:tcPr>
            <w:tcW w:w="3261" w:type="dxa"/>
            <w:shd w:val="clear" w:color="auto" w:fill="FFFFFF"/>
            <w:vAlign w:val="center"/>
          </w:tcPr>
          <w:p w14:paraId="6215BF05" w14:textId="77777777" w:rsidR="00A922B4" w:rsidRPr="00A922B4" w:rsidRDefault="00A922B4" w:rsidP="00A922B4">
            <w:pPr>
              <w:spacing w:after="0" w:line="200" w:lineRule="exact"/>
              <w:ind w:left="-57" w:right="-57"/>
              <w:jc w:val="both"/>
              <w:rPr>
                <w:rFonts w:ascii="Times New Roman" w:eastAsia="Times New Roman" w:hAnsi="Times New Roman" w:cs="Times New Roman"/>
                <w:i/>
                <w:sz w:val="18"/>
                <w:szCs w:val="18"/>
                <w:lang w:eastAsia="ru-RU"/>
              </w:rPr>
            </w:pPr>
            <w:r w:rsidRPr="00A922B4">
              <w:rPr>
                <w:rFonts w:ascii="Times New Roman" w:eastAsia="Times New Roman" w:hAnsi="Times New Roman" w:cs="Times New Roman"/>
                <w:i/>
                <w:sz w:val="18"/>
                <w:szCs w:val="18"/>
                <w:lang w:eastAsia="ru-RU"/>
              </w:rPr>
              <w:t>доходы от перечисления части прибыли, остающейся после уплаты налогов и иных обязательных платежей государственных унитарных предприятий РД</w:t>
            </w:r>
          </w:p>
        </w:tc>
        <w:tc>
          <w:tcPr>
            <w:tcW w:w="993" w:type="dxa"/>
            <w:shd w:val="clear" w:color="auto" w:fill="FFFFFF"/>
            <w:vAlign w:val="center"/>
          </w:tcPr>
          <w:p w14:paraId="774E0019"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1 856,1</w:t>
            </w:r>
          </w:p>
        </w:tc>
        <w:tc>
          <w:tcPr>
            <w:tcW w:w="1075" w:type="dxa"/>
            <w:shd w:val="clear" w:color="auto" w:fill="FFFFFF"/>
            <w:vAlign w:val="center"/>
          </w:tcPr>
          <w:p w14:paraId="0666C4C2"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1 000,0</w:t>
            </w:r>
          </w:p>
        </w:tc>
        <w:tc>
          <w:tcPr>
            <w:tcW w:w="992" w:type="dxa"/>
            <w:shd w:val="clear" w:color="auto" w:fill="FFFFFF"/>
            <w:vAlign w:val="center"/>
          </w:tcPr>
          <w:p w14:paraId="2F96FBC0"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1 175,7</w:t>
            </w:r>
          </w:p>
        </w:tc>
        <w:tc>
          <w:tcPr>
            <w:tcW w:w="992" w:type="dxa"/>
            <w:shd w:val="clear" w:color="auto" w:fill="FFFFFF"/>
            <w:vAlign w:val="center"/>
          </w:tcPr>
          <w:p w14:paraId="4E44D435"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175,7</w:t>
            </w:r>
          </w:p>
        </w:tc>
        <w:tc>
          <w:tcPr>
            <w:tcW w:w="625" w:type="dxa"/>
            <w:shd w:val="clear" w:color="auto" w:fill="FFFFFF"/>
            <w:vAlign w:val="center"/>
          </w:tcPr>
          <w:p w14:paraId="418DDED4"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117,6</w:t>
            </w:r>
          </w:p>
        </w:tc>
        <w:tc>
          <w:tcPr>
            <w:tcW w:w="1027" w:type="dxa"/>
            <w:shd w:val="clear" w:color="auto" w:fill="FFFFFF"/>
            <w:noWrap/>
            <w:vAlign w:val="center"/>
          </w:tcPr>
          <w:p w14:paraId="7AAA423B"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   680,4</w:t>
            </w:r>
          </w:p>
        </w:tc>
        <w:tc>
          <w:tcPr>
            <w:tcW w:w="533" w:type="dxa"/>
            <w:shd w:val="clear" w:color="auto" w:fill="FFFFFF"/>
            <w:vAlign w:val="center"/>
          </w:tcPr>
          <w:p w14:paraId="70BBBBC1"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63,3</w:t>
            </w:r>
          </w:p>
        </w:tc>
      </w:tr>
      <w:tr w:rsidR="00A922B4" w:rsidRPr="00A922B4" w14:paraId="3A1600AB" w14:textId="77777777" w:rsidTr="00BF35BD">
        <w:trPr>
          <w:trHeight w:val="444"/>
        </w:trPr>
        <w:tc>
          <w:tcPr>
            <w:tcW w:w="3261" w:type="dxa"/>
            <w:shd w:val="clear" w:color="auto" w:fill="FFFFFF"/>
            <w:vAlign w:val="center"/>
          </w:tcPr>
          <w:p w14:paraId="526094BA" w14:textId="77777777" w:rsidR="00A922B4" w:rsidRPr="00A922B4" w:rsidRDefault="00A922B4" w:rsidP="00A922B4">
            <w:pPr>
              <w:spacing w:after="0" w:line="200" w:lineRule="exact"/>
              <w:ind w:left="-57" w:right="-57"/>
              <w:jc w:val="both"/>
              <w:rPr>
                <w:rFonts w:ascii="Times New Roman" w:eastAsia="Times New Roman" w:hAnsi="Times New Roman" w:cs="Times New Roman"/>
                <w:i/>
                <w:sz w:val="18"/>
                <w:szCs w:val="18"/>
                <w:lang w:eastAsia="ru-RU"/>
              </w:rPr>
            </w:pPr>
            <w:r w:rsidRPr="00A922B4">
              <w:rPr>
                <w:rFonts w:ascii="Times New Roman" w:eastAsia="Times New Roman" w:hAnsi="Times New Roman" w:cs="Times New Roman"/>
                <w:i/>
                <w:sz w:val="18"/>
                <w:szCs w:val="18"/>
                <w:lang w:eastAsia="ru-RU"/>
              </w:rPr>
              <w:t>доходы от реализации имущества, находящегося в собственности РД</w:t>
            </w:r>
          </w:p>
        </w:tc>
        <w:tc>
          <w:tcPr>
            <w:tcW w:w="993" w:type="dxa"/>
            <w:shd w:val="clear" w:color="auto" w:fill="FFFFFF"/>
            <w:vAlign w:val="center"/>
          </w:tcPr>
          <w:p w14:paraId="5E367A69"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12 295,1</w:t>
            </w:r>
          </w:p>
        </w:tc>
        <w:tc>
          <w:tcPr>
            <w:tcW w:w="1075" w:type="dxa"/>
            <w:shd w:val="clear" w:color="auto" w:fill="FFFFFF"/>
            <w:vAlign w:val="center"/>
          </w:tcPr>
          <w:p w14:paraId="6B02FBFD"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6 500,0</w:t>
            </w:r>
          </w:p>
        </w:tc>
        <w:tc>
          <w:tcPr>
            <w:tcW w:w="992" w:type="dxa"/>
            <w:shd w:val="clear" w:color="auto" w:fill="FFFFFF"/>
            <w:vAlign w:val="center"/>
          </w:tcPr>
          <w:p w14:paraId="6C89FDB0"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17 093,7</w:t>
            </w:r>
          </w:p>
        </w:tc>
        <w:tc>
          <w:tcPr>
            <w:tcW w:w="992" w:type="dxa"/>
            <w:shd w:val="clear" w:color="auto" w:fill="FFFFFF"/>
            <w:vAlign w:val="center"/>
          </w:tcPr>
          <w:p w14:paraId="04D62E9E" w14:textId="77777777" w:rsidR="00A922B4" w:rsidRPr="00A922B4" w:rsidRDefault="00A922B4" w:rsidP="00A922B4">
            <w:pPr>
              <w:spacing w:after="0" w:line="200" w:lineRule="exact"/>
              <w:ind w:left="-113" w:right="-113"/>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10 593,7</w:t>
            </w:r>
          </w:p>
        </w:tc>
        <w:tc>
          <w:tcPr>
            <w:tcW w:w="625" w:type="dxa"/>
            <w:shd w:val="clear" w:color="auto" w:fill="FFFFFF"/>
            <w:vAlign w:val="center"/>
          </w:tcPr>
          <w:p w14:paraId="27C7299C"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263,0</w:t>
            </w:r>
          </w:p>
        </w:tc>
        <w:tc>
          <w:tcPr>
            <w:tcW w:w="1027" w:type="dxa"/>
            <w:shd w:val="clear" w:color="auto" w:fill="FFFFFF"/>
            <w:noWrap/>
            <w:vAlign w:val="center"/>
          </w:tcPr>
          <w:p w14:paraId="1E9400B8"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4 798,6</w:t>
            </w:r>
          </w:p>
        </w:tc>
        <w:tc>
          <w:tcPr>
            <w:tcW w:w="533" w:type="dxa"/>
            <w:shd w:val="clear" w:color="auto" w:fill="FFFFFF"/>
            <w:vAlign w:val="center"/>
          </w:tcPr>
          <w:p w14:paraId="2EEC4B6A" w14:textId="77777777" w:rsidR="00A922B4" w:rsidRPr="00A922B4" w:rsidRDefault="00A922B4" w:rsidP="00A922B4">
            <w:pPr>
              <w:spacing w:after="0" w:line="200" w:lineRule="exact"/>
              <w:ind w:left="-57" w:right="-57"/>
              <w:jc w:val="center"/>
              <w:rPr>
                <w:rFonts w:ascii="Times New Roman" w:eastAsia="Times New Roman" w:hAnsi="Times New Roman" w:cs="Times New Roman"/>
                <w:sz w:val="18"/>
                <w:szCs w:val="18"/>
                <w:lang w:eastAsia="ru-RU"/>
              </w:rPr>
            </w:pPr>
            <w:r w:rsidRPr="00A922B4">
              <w:rPr>
                <w:rFonts w:ascii="Times New Roman" w:eastAsia="Times New Roman" w:hAnsi="Times New Roman" w:cs="Times New Roman"/>
                <w:sz w:val="18"/>
                <w:szCs w:val="18"/>
                <w:lang w:eastAsia="ru-RU"/>
              </w:rPr>
              <w:t>139,0</w:t>
            </w:r>
          </w:p>
        </w:tc>
      </w:tr>
      <w:tr w:rsidR="00A922B4" w:rsidRPr="00A922B4" w14:paraId="2A9F9CE3" w14:textId="77777777" w:rsidTr="00BF35BD">
        <w:trPr>
          <w:trHeight w:val="510"/>
        </w:trPr>
        <w:tc>
          <w:tcPr>
            <w:tcW w:w="3261" w:type="dxa"/>
            <w:shd w:val="clear" w:color="auto" w:fill="FFFFFF"/>
            <w:vAlign w:val="center"/>
          </w:tcPr>
          <w:p w14:paraId="79246DD2" w14:textId="0769D9AC" w:rsidR="00A922B4" w:rsidRPr="00D1390B" w:rsidRDefault="00D1390B" w:rsidP="00A922B4">
            <w:pPr>
              <w:spacing w:after="0" w:line="200" w:lineRule="exact"/>
              <w:ind w:left="-57" w:right="-57"/>
              <w:jc w:val="both"/>
              <w:rPr>
                <w:rFonts w:ascii="Times New Roman" w:eastAsia="Times New Roman" w:hAnsi="Times New Roman" w:cs="Times New Roman"/>
                <w:i/>
                <w:iCs/>
                <w:sz w:val="20"/>
                <w:szCs w:val="20"/>
                <w:lang w:eastAsia="ru-RU"/>
              </w:rPr>
            </w:pPr>
            <w:r w:rsidRPr="00D1390B">
              <w:rPr>
                <w:rFonts w:ascii="Times New Roman" w:eastAsia="Times New Roman" w:hAnsi="Times New Roman" w:cs="Times New Roman"/>
                <w:i/>
                <w:iCs/>
                <w:sz w:val="20"/>
                <w:szCs w:val="20"/>
                <w:lang w:eastAsia="ru-RU"/>
              </w:rPr>
              <w:t>п</w:t>
            </w:r>
            <w:r w:rsidR="00896D5A" w:rsidRPr="00D1390B">
              <w:rPr>
                <w:rFonts w:ascii="Times New Roman" w:eastAsia="Times New Roman" w:hAnsi="Times New Roman" w:cs="Times New Roman"/>
                <w:i/>
                <w:iCs/>
                <w:sz w:val="20"/>
                <w:szCs w:val="20"/>
                <w:lang w:eastAsia="ru-RU"/>
              </w:rPr>
              <w:t xml:space="preserve">рочие доходы от </w:t>
            </w:r>
            <w:r w:rsidRPr="00D1390B">
              <w:rPr>
                <w:rFonts w:ascii="Times New Roman" w:eastAsia="Times New Roman" w:hAnsi="Times New Roman" w:cs="Times New Roman"/>
                <w:i/>
                <w:iCs/>
                <w:sz w:val="20"/>
                <w:szCs w:val="20"/>
                <w:lang w:eastAsia="ru-RU"/>
              </w:rPr>
              <w:t>использования</w:t>
            </w:r>
            <w:r w:rsidR="00896D5A" w:rsidRPr="00D1390B">
              <w:rPr>
                <w:rFonts w:ascii="Times New Roman" w:eastAsia="Times New Roman" w:hAnsi="Times New Roman" w:cs="Times New Roman"/>
                <w:i/>
                <w:iCs/>
                <w:sz w:val="20"/>
                <w:szCs w:val="20"/>
                <w:lang w:eastAsia="ru-RU"/>
              </w:rPr>
              <w:t xml:space="preserve"> имущества</w:t>
            </w:r>
          </w:p>
        </w:tc>
        <w:tc>
          <w:tcPr>
            <w:tcW w:w="993" w:type="dxa"/>
            <w:shd w:val="clear" w:color="auto" w:fill="FFFFFF"/>
            <w:vAlign w:val="center"/>
          </w:tcPr>
          <w:p w14:paraId="0595F8FE" w14:textId="77777777" w:rsidR="00A922B4" w:rsidRPr="00D1390B" w:rsidRDefault="00A922B4" w:rsidP="00A922B4">
            <w:pPr>
              <w:spacing w:after="0" w:line="200" w:lineRule="exact"/>
              <w:ind w:left="-57" w:right="-57"/>
              <w:jc w:val="center"/>
              <w:rPr>
                <w:rFonts w:ascii="Times New Roman" w:eastAsia="Times New Roman" w:hAnsi="Times New Roman" w:cs="Times New Roman"/>
                <w:i/>
                <w:iCs/>
                <w:sz w:val="18"/>
                <w:szCs w:val="18"/>
                <w:lang w:eastAsia="ru-RU"/>
              </w:rPr>
            </w:pPr>
          </w:p>
        </w:tc>
        <w:tc>
          <w:tcPr>
            <w:tcW w:w="1075" w:type="dxa"/>
            <w:shd w:val="clear" w:color="auto" w:fill="FFFFFF"/>
            <w:vAlign w:val="center"/>
          </w:tcPr>
          <w:p w14:paraId="657DEABC" w14:textId="77777777" w:rsidR="00A922B4" w:rsidRPr="00D1390B" w:rsidRDefault="00A922B4" w:rsidP="00A922B4">
            <w:pPr>
              <w:spacing w:after="0" w:line="200" w:lineRule="exact"/>
              <w:ind w:left="-113" w:right="-113"/>
              <w:jc w:val="center"/>
              <w:rPr>
                <w:rFonts w:ascii="Times New Roman" w:eastAsia="Times New Roman" w:hAnsi="Times New Roman" w:cs="Times New Roman"/>
                <w:i/>
                <w:iCs/>
                <w:sz w:val="18"/>
                <w:szCs w:val="18"/>
                <w:lang w:eastAsia="ru-RU"/>
              </w:rPr>
            </w:pPr>
          </w:p>
        </w:tc>
        <w:tc>
          <w:tcPr>
            <w:tcW w:w="992" w:type="dxa"/>
            <w:shd w:val="clear" w:color="auto" w:fill="FFFFFF"/>
            <w:vAlign w:val="center"/>
          </w:tcPr>
          <w:p w14:paraId="2AA30C8F" w14:textId="77777777" w:rsidR="00A922B4" w:rsidRPr="00D1390B" w:rsidRDefault="00A922B4" w:rsidP="00A922B4">
            <w:pPr>
              <w:spacing w:after="0" w:line="200" w:lineRule="exact"/>
              <w:ind w:left="-113" w:right="-113"/>
              <w:jc w:val="center"/>
              <w:rPr>
                <w:rFonts w:ascii="Times New Roman" w:eastAsia="Times New Roman" w:hAnsi="Times New Roman" w:cs="Times New Roman"/>
                <w:i/>
                <w:iCs/>
                <w:sz w:val="18"/>
                <w:szCs w:val="18"/>
                <w:lang w:eastAsia="ru-RU"/>
              </w:rPr>
            </w:pPr>
            <w:r w:rsidRPr="00D1390B">
              <w:rPr>
                <w:rFonts w:ascii="Times New Roman" w:eastAsia="Times New Roman" w:hAnsi="Times New Roman" w:cs="Times New Roman"/>
                <w:i/>
                <w:iCs/>
                <w:sz w:val="18"/>
                <w:szCs w:val="18"/>
                <w:lang w:eastAsia="ru-RU"/>
              </w:rPr>
              <w:t>160,7</w:t>
            </w:r>
          </w:p>
        </w:tc>
        <w:tc>
          <w:tcPr>
            <w:tcW w:w="992" w:type="dxa"/>
            <w:shd w:val="clear" w:color="auto" w:fill="FFFFFF"/>
            <w:vAlign w:val="center"/>
          </w:tcPr>
          <w:p w14:paraId="4C2590C2" w14:textId="77777777" w:rsidR="00A922B4" w:rsidRPr="00D1390B" w:rsidRDefault="00A922B4" w:rsidP="00A922B4">
            <w:pPr>
              <w:spacing w:after="0" w:line="200" w:lineRule="exact"/>
              <w:ind w:left="-113" w:right="-113"/>
              <w:jc w:val="center"/>
              <w:rPr>
                <w:rFonts w:ascii="Times New Roman" w:eastAsia="Times New Roman" w:hAnsi="Times New Roman" w:cs="Times New Roman"/>
                <w:i/>
                <w:iCs/>
                <w:sz w:val="18"/>
                <w:szCs w:val="18"/>
                <w:lang w:eastAsia="ru-RU"/>
              </w:rPr>
            </w:pPr>
          </w:p>
        </w:tc>
        <w:tc>
          <w:tcPr>
            <w:tcW w:w="625" w:type="dxa"/>
            <w:shd w:val="clear" w:color="auto" w:fill="FFFFFF"/>
            <w:vAlign w:val="center"/>
          </w:tcPr>
          <w:p w14:paraId="582F2EE7" w14:textId="77777777" w:rsidR="00A922B4" w:rsidRPr="00D1390B" w:rsidRDefault="00A922B4" w:rsidP="00A922B4">
            <w:pPr>
              <w:spacing w:after="0" w:line="200" w:lineRule="exact"/>
              <w:ind w:left="-57" w:right="-57"/>
              <w:jc w:val="center"/>
              <w:rPr>
                <w:rFonts w:ascii="Times New Roman" w:eastAsia="Times New Roman" w:hAnsi="Times New Roman" w:cs="Times New Roman"/>
                <w:i/>
                <w:iCs/>
                <w:sz w:val="18"/>
                <w:szCs w:val="18"/>
                <w:lang w:eastAsia="ru-RU"/>
              </w:rPr>
            </w:pPr>
          </w:p>
        </w:tc>
        <w:tc>
          <w:tcPr>
            <w:tcW w:w="1027" w:type="dxa"/>
            <w:shd w:val="clear" w:color="auto" w:fill="FFFFFF"/>
            <w:noWrap/>
            <w:vAlign w:val="center"/>
          </w:tcPr>
          <w:p w14:paraId="25273840" w14:textId="77777777" w:rsidR="00A922B4" w:rsidRPr="00D1390B" w:rsidRDefault="00A922B4" w:rsidP="00A922B4">
            <w:pPr>
              <w:spacing w:after="0" w:line="200" w:lineRule="exact"/>
              <w:ind w:left="-57" w:right="-57"/>
              <w:jc w:val="center"/>
              <w:rPr>
                <w:rFonts w:ascii="Times New Roman" w:eastAsia="Times New Roman" w:hAnsi="Times New Roman" w:cs="Times New Roman"/>
                <w:i/>
                <w:iCs/>
                <w:sz w:val="18"/>
                <w:szCs w:val="18"/>
                <w:lang w:eastAsia="ru-RU"/>
              </w:rPr>
            </w:pPr>
          </w:p>
        </w:tc>
        <w:tc>
          <w:tcPr>
            <w:tcW w:w="533" w:type="dxa"/>
            <w:shd w:val="clear" w:color="auto" w:fill="FFFFFF"/>
            <w:vAlign w:val="center"/>
          </w:tcPr>
          <w:p w14:paraId="6CA5AB0A" w14:textId="77777777" w:rsidR="00A922B4" w:rsidRPr="00D1390B" w:rsidRDefault="00A922B4" w:rsidP="00A922B4">
            <w:pPr>
              <w:spacing w:after="0" w:line="200" w:lineRule="exact"/>
              <w:ind w:left="-57" w:right="-57"/>
              <w:jc w:val="center"/>
              <w:rPr>
                <w:rFonts w:ascii="Times New Roman" w:eastAsia="Times New Roman" w:hAnsi="Times New Roman" w:cs="Times New Roman"/>
                <w:i/>
                <w:iCs/>
                <w:sz w:val="18"/>
                <w:szCs w:val="18"/>
                <w:lang w:eastAsia="ru-RU"/>
              </w:rPr>
            </w:pPr>
          </w:p>
        </w:tc>
      </w:tr>
      <w:tr w:rsidR="00D1390B" w:rsidRPr="00A922B4" w14:paraId="779782B3" w14:textId="77777777" w:rsidTr="005623B7">
        <w:trPr>
          <w:trHeight w:val="510"/>
        </w:trPr>
        <w:tc>
          <w:tcPr>
            <w:tcW w:w="3261" w:type="dxa"/>
            <w:shd w:val="clear" w:color="auto" w:fill="FFFFFF"/>
          </w:tcPr>
          <w:p w14:paraId="2E4D4083" w14:textId="2BE06AEF" w:rsidR="00D1390B" w:rsidRPr="00D1390B" w:rsidRDefault="00D1390B" w:rsidP="00D1390B">
            <w:pPr>
              <w:spacing w:after="0" w:line="200" w:lineRule="exact"/>
              <w:ind w:left="-57" w:right="-57"/>
              <w:jc w:val="both"/>
              <w:rPr>
                <w:rFonts w:ascii="Times New Roman" w:eastAsia="Times New Roman" w:hAnsi="Times New Roman" w:cs="Times New Roman"/>
                <w:sz w:val="20"/>
                <w:szCs w:val="20"/>
                <w:lang w:eastAsia="ru-RU"/>
              </w:rPr>
            </w:pPr>
            <w:r w:rsidRPr="00D1390B">
              <w:rPr>
                <w:rFonts w:ascii="Times New Roman" w:eastAsia="Times New Roman" w:hAnsi="Times New Roman" w:cs="Times New Roman"/>
                <w:sz w:val="20"/>
                <w:szCs w:val="20"/>
                <w:lang w:eastAsia="ru-RU"/>
              </w:rPr>
              <w:lastRenderedPageBreak/>
              <w:t>Проценты, полученные от предоставления бюджетных кредитов внутри страны за счет средств бюджетов субъектов РФ</w:t>
            </w:r>
          </w:p>
        </w:tc>
        <w:tc>
          <w:tcPr>
            <w:tcW w:w="993" w:type="dxa"/>
            <w:shd w:val="clear" w:color="auto" w:fill="FFFFFF"/>
            <w:vAlign w:val="center"/>
          </w:tcPr>
          <w:p w14:paraId="64B0A7DF" w14:textId="2DD5CA4F"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xml:space="preserve"> 2 455,7   </w:t>
            </w:r>
          </w:p>
        </w:tc>
        <w:tc>
          <w:tcPr>
            <w:tcW w:w="1075" w:type="dxa"/>
            <w:shd w:val="clear" w:color="auto" w:fill="FFFFFF"/>
            <w:vAlign w:val="center"/>
          </w:tcPr>
          <w:p w14:paraId="6824FE62" w14:textId="7DBEFAA2"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2 268,90</w:t>
            </w:r>
          </w:p>
        </w:tc>
        <w:tc>
          <w:tcPr>
            <w:tcW w:w="992" w:type="dxa"/>
            <w:shd w:val="clear" w:color="auto" w:fill="FFFFFF"/>
            <w:vAlign w:val="center"/>
          </w:tcPr>
          <w:p w14:paraId="6E3FF6C7" w14:textId="22A21310"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2 362,40</w:t>
            </w:r>
          </w:p>
        </w:tc>
        <w:tc>
          <w:tcPr>
            <w:tcW w:w="992" w:type="dxa"/>
            <w:shd w:val="clear" w:color="auto" w:fill="FFFFFF"/>
            <w:vAlign w:val="center"/>
          </w:tcPr>
          <w:p w14:paraId="26EB0FD4" w14:textId="3EC20A2E"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xml:space="preserve"> 93,5   </w:t>
            </w:r>
          </w:p>
        </w:tc>
        <w:tc>
          <w:tcPr>
            <w:tcW w:w="625" w:type="dxa"/>
            <w:shd w:val="clear" w:color="auto" w:fill="FFFFFF"/>
            <w:vAlign w:val="center"/>
          </w:tcPr>
          <w:p w14:paraId="22CB0246" w14:textId="350D577C"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xml:space="preserve"> 104,1   </w:t>
            </w:r>
          </w:p>
        </w:tc>
        <w:tc>
          <w:tcPr>
            <w:tcW w:w="1027" w:type="dxa"/>
            <w:shd w:val="clear" w:color="auto" w:fill="FFFFFF"/>
            <w:noWrap/>
            <w:vAlign w:val="center"/>
          </w:tcPr>
          <w:p w14:paraId="6122EB21" w14:textId="5BE2028B"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xml:space="preserve">-93,3   </w:t>
            </w:r>
          </w:p>
        </w:tc>
        <w:tc>
          <w:tcPr>
            <w:tcW w:w="533" w:type="dxa"/>
            <w:shd w:val="clear" w:color="auto" w:fill="FFFFFF"/>
            <w:vAlign w:val="center"/>
          </w:tcPr>
          <w:p w14:paraId="13A33791" w14:textId="088867D0"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xml:space="preserve"> 96,2   </w:t>
            </w:r>
          </w:p>
        </w:tc>
      </w:tr>
      <w:tr w:rsidR="00D1390B" w:rsidRPr="00A922B4" w14:paraId="521A149B" w14:textId="77777777" w:rsidTr="00BF35BD">
        <w:trPr>
          <w:trHeight w:val="510"/>
        </w:trPr>
        <w:tc>
          <w:tcPr>
            <w:tcW w:w="3261" w:type="dxa"/>
            <w:shd w:val="clear" w:color="auto" w:fill="FFFFFF"/>
            <w:vAlign w:val="center"/>
          </w:tcPr>
          <w:p w14:paraId="48528CDA" w14:textId="782DF214" w:rsidR="00D1390B" w:rsidRPr="00D1390B" w:rsidRDefault="00D1390B" w:rsidP="00D1390B">
            <w:pPr>
              <w:spacing w:after="0" w:line="200" w:lineRule="exact"/>
              <w:ind w:left="-57" w:right="-57"/>
              <w:jc w:val="both"/>
              <w:rPr>
                <w:rFonts w:ascii="Times New Roman" w:eastAsia="Times New Roman" w:hAnsi="Times New Roman" w:cs="Times New Roman"/>
                <w:sz w:val="20"/>
                <w:szCs w:val="20"/>
                <w:lang w:eastAsia="ru-RU"/>
              </w:rPr>
            </w:pPr>
            <w:r w:rsidRPr="00D1390B">
              <w:rPr>
                <w:rFonts w:ascii="Times New Roman" w:eastAsia="Times New Roman" w:hAnsi="Times New Roman" w:cs="Times New Roman"/>
                <w:sz w:val="20"/>
                <w:szCs w:val="20"/>
                <w:lang w:eastAsia="ru-RU"/>
              </w:rPr>
              <w:t>Доходы от операций по управлению остатками средств на едином казначейском счете, зачисляемые в бюджеты бюджетной системы Российской Федерации</w:t>
            </w:r>
          </w:p>
        </w:tc>
        <w:tc>
          <w:tcPr>
            <w:tcW w:w="993" w:type="dxa"/>
            <w:shd w:val="clear" w:color="auto" w:fill="FFFFFF"/>
            <w:vAlign w:val="center"/>
          </w:tcPr>
          <w:p w14:paraId="21F25F9D" w14:textId="04E70BF8"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p>
        </w:tc>
        <w:tc>
          <w:tcPr>
            <w:tcW w:w="1075" w:type="dxa"/>
            <w:shd w:val="clear" w:color="auto" w:fill="FFFFFF"/>
            <w:vAlign w:val="center"/>
          </w:tcPr>
          <w:p w14:paraId="6A4ACA65" w14:textId="15ACD983"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544 385,90</w:t>
            </w:r>
          </w:p>
        </w:tc>
        <w:tc>
          <w:tcPr>
            <w:tcW w:w="992" w:type="dxa"/>
            <w:shd w:val="clear" w:color="auto" w:fill="FFFFFF"/>
            <w:vAlign w:val="center"/>
          </w:tcPr>
          <w:p w14:paraId="52438604" w14:textId="23212DF7"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1 112 220,9</w:t>
            </w:r>
          </w:p>
        </w:tc>
        <w:tc>
          <w:tcPr>
            <w:tcW w:w="992" w:type="dxa"/>
            <w:shd w:val="clear" w:color="auto" w:fill="FFFFFF"/>
            <w:vAlign w:val="center"/>
          </w:tcPr>
          <w:p w14:paraId="037934ED" w14:textId="73CCDDDC"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p>
        </w:tc>
        <w:tc>
          <w:tcPr>
            <w:tcW w:w="625" w:type="dxa"/>
            <w:shd w:val="clear" w:color="auto" w:fill="FFFFFF"/>
            <w:vAlign w:val="center"/>
          </w:tcPr>
          <w:p w14:paraId="5BF02A08" w14:textId="47BB3429"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p>
        </w:tc>
        <w:tc>
          <w:tcPr>
            <w:tcW w:w="1027" w:type="dxa"/>
            <w:shd w:val="clear" w:color="auto" w:fill="FFFFFF"/>
            <w:noWrap/>
            <w:vAlign w:val="center"/>
          </w:tcPr>
          <w:p w14:paraId="27896F1E" w14:textId="4A1CA38D"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p>
        </w:tc>
        <w:tc>
          <w:tcPr>
            <w:tcW w:w="533" w:type="dxa"/>
            <w:shd w:val="clear" w:color="auto" w:fill="FFFFFF"/>
            <w:vAlign w:val="center"/>
          </w:tcPr>
          <w:p w14:paraId="5E788F30" w14:textId="47A61912"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p>
        </w:tc>
      </w:tr>
      <w:tr w:rsidR="00D1390B" w:rsidRPr="00A922B4" w14:paraId="7A600832" w14:textId="77777777" w:rsidTr="00BF35BD">
        <w:trPr>
          <w:trHeight w:val="510"/>
        </w:trPr>
        <w:tc>
          <w:tcPr>
            <w:tcW w:w="3261" w:type="dxa"/>
            <w:shd w:val="clear" w:color="auto" w:fill="FFFFFF"/>
            <w:vAlign w:val="center"/>
          </w:tcPr>
          <w:p w14:paraId="4D9554ED" w14:textId="3CF26E53" w:rsidR="00D1390B" w:rsidRPr="00D1390B" w:rsidRDefault="00D1390B" w:rsidP="00D1390B">
            <w:pPr>
              <w:spacing w:after="0" w:line="200" w:lineRule="exact"/>
              <w:ind w:left="-57" w:right="-57"/>
              <w:jc w:val="both"/>
              <w:rPr>
                <w:rFonts w:ascii="Times New Roman" w:eastAsia="Times New Roman" w:hAnsi="Times New Roman" w:cs="Times New Roman"/>
                <w:sz w:val="20"/>
                <w:szCs w:val="20"/>
                <w:lang w:eastAsia="ru-RU"/>
              </w:rPr>
            </w:pPr>
            <w:r w:rsidRPr="00D1390B">
              <w:rPr>
                <w:rFonts w:ascii="Times New Roman" w:eastAsia="Times New Roman" w:hAnsi="Times New Roman" w:cs="Times New Roman"/>
                <w:sz w:val="20"/>
                <w:szCs w:val="20"/>
                <w:lang w:eastAsia="ru-RU"/>
              </w:rPr>
              <w:t>Платежи при пользовании природными ресурсами</w:t>
            </w:r>
          </w:p>
        </w:tc>
        <w:tc>
          <w:tcPr>
            <w:tcW w:w="993" w:type="dxa"/>
            <w:shd w:val="clear" w:color="auto" w:fill="FFFFFF"/>
            <w:vAlign w:val="center"/>
          </w:tcPr>
          <w:p w14:paraId="74E7E109" w14:textId="3B7F4D67"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9 793,30</w:t>
            </w:r>
          </w:p>
        </w:tc>
        <w:tc>
          <w:tcPr>
            <w:tcW w:w="1075" w:type="dxa"/>
            <w:shd w:val="clear" w:color="auto" w:fill="FFFFFF"/>
            <w:vAlign w:val="center"/>
          </w:tcPr>
          <w:p w14:paraId="7EB10768" w14:textId="1DC94DCC"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7 939,2</w:t>
            </w:r>
          </w:p>
        </w:tc>
        <w:tc>
          <w:tcPr>
            <w:tcW w:w="992" w:type="dxa"/>
            <w:shd w:val="clear" w:color="auto" w:fill="FFFFFF"/>
            <w:vAlign w:val="center"/>
          </w:tcPr>
          <w:p w14:paraId="68762BC5" w14:textId="4EBA5BBB"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7 134,3</w:t>
            </w:r>
          </w:p>
        </w:tc>
        <w:tc>
          <w:tcPr>
            <w:tcW w:w="992" w:type="dxa"/>
            <w:shd w:val="clear" w:color="auto" w:fill="FFFFFF"/>
            <w:vAlign w:val="center"/>
          </w:tcPr>
          <w:p w14:paraId="187A22AC" w14:textId="5E5DFFDB"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804,9</w:t>
            </w:r>
          </w:p>
        </w:tc>
        <w:tc>
          <w:tcPr>
            <w:tcW w:w="625" w:type="dxa"/>
            <w:shd w:val="clear" w:color="auto" w:fill="FFFFFF"/>
            <w:vAlign w:val="center"/>
          </w:tcPr>
          <w:p w14:paraId="2090EEDD" w14:textId="572D561D"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89,9</w:t>
            </w:r>
          </w:p>
        </w:tc>
        <w:tc>
          <w:tcPr>
            <w:tcW w:w="1027" w:type="dxa"/>
            <w:shd w:val="clear" w:color="auto" w:fill="FFFFFF"/>
            <w:noWrap/>
            <w:vAlign w:val="center"/>
          </w:tcPr>
          <w:p w14:paraId="7328479C" w14:textId="014D8369"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- 2 659,0</w:t>
            </w:r>
          </w:p>
        </w:tc>
        <w:tc>
          <w:tcPr>
            <w:tcW w:w="533" w:type="dxa"/>
            <w:shd w:val="clear" w:color="auto" w:fill="FFFFFF"/>
            <w:vAlign w:val="center"/>
          </w:tcPr>
          <w:p w14:paraId="6B5015C5" w14:textId="15B703B3"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72,8</w:t>
            </w:r>
          </w:p>
        </w:tc>
      </w:tr>
      <w:tr w:rsidR="00D1390B" w:rsidRPr="00A922B4" w14:paraId="6F38716E" w14:textId="77777777" w:rsidTr="00BF35BD">
        <w:trPr>
          <w:trHeight w:val="428"/>
        </w:trPr>
        <w:tc>
          <w:tcPr>
            <w:tcW w:w="3261" w:type="dxa"/>
            <w:shd w:val="clear" w:color="auto" w:fill="FFFFFF"/>
            <w:vAlign w:val="center"/>
          </w:tcPr>
          <w:p w14:paraId="51275A14" w14:textId="0C30698C" w:rsidR="00D1390B" w:rsidRPr="00D1390B" w:rsidRDefault="00D1390B" w:rsidP="00D1390B">
            <w:pPr>
              <w:spacing w:after="0" w:line="200" w:lineRule="exact"/>
              <w:ind w:left="-57" w:right="-57"/>
              <w:jc w:val="both"/>
              <w:rPr>
                <w:rFonts w:ascii="Times New Roman" w:eastAsia="Times New Roman" w:hAnsi="Times New Roman" w:cs="Times New Roman"/>
                <w:sz w:val="20"/>
                <w:szCs w:val="20"/>
                <w:lang w:eastAsia="ru-RU"/>
              </w:rPr>
            </w:pPr>
            <w:r w:rsidRPr="00D1390B">
              <w:rPr>
                <w:rFonts w:ascii="Times New Roman" w:eastAsia="Times New Roman" w:hAnsi="Times New Roman" w:cs="Times New Roman"/>
                <w:sz w:val="20"/>
                <w:szCs w:val="20"/>
                <w:lang w:eastAsia="ru-RU"/>
              </w:rPr>
              <w:t xml:space="preserve">Доходы от платных </w:t>
            </w:r>
            <w:bookmarkStart w:id="17" w:name="_Hlk6931396"/>
            <w:r w:rsidRPr="00D1390B">
              <w:rPr>
                <w:rFonts w:ascii="Times New Roman" w:eastAsia="Times New Roman" w:hAnsi="Times New Roman" w:cs="Times New Roman"/>
                <w:sz w:val="20"/>
                <w:szCs w:val="20"/>
                <w:lang w:eastAsia="ru-RU"/>
              </w:rPr>
              <w:t>услуг (работ) и компенсации затрат государства</w:t>
            </w:r>
            <w:bookmarkEnd w:id="17"/>
          </w:p>
        </w:tc>
        <w:tc>
          <w:tcPr>
            <w:tcW w:w="993" w:type="dxa"/>
            <w:shd w:val="clear" w:color="auto" w:fill="FFFFFF"/>
            <w:vAlign w:val="center"/>
          </w:tcPr>
          <w:p w14:paraId="6DB78B1A" w14:textId="157FFDC6"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52 855,9</w:t>
            </w:r>
          </w:p>
        </w:tc>
        <w:tc>
          <w:tcPr>
            <w:tcW w:w="1075" w:type="dxa"/>
            <w:shd w:val="clear" w:color="auto" w:fill="FFFFFF"/>
            <w:vAlign w:val="center"/>
          </w:tcPr>
          <w:p w14:paraId="35605C7B" w14:textId="6A375F8E"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130 050,3</w:t>
            </w:r>
          </w:p>
        </w:tc>
        <w:tc>
          <w:tcPr>
            <w:tcW w:w="992" w:type="dxa"/>
            <w:shd w:val="clear" w:color="auto" w:fill="FFFFFF"/>
            <w:vAlign w:val="center"/>
          </w:tcPr>
          <w:p w14:paraId="4CC8B439" w14:textId="6959C77D"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93 300,0</w:t>
            </w:r>
          </w:p>
        </w:tc>
        <w:tc>
          <w:tcPr>
            <w:tcW w:w="992" w:type="dxa"/>
            <w:shd w:val="clear" w:color="auto" w:fill="FFFFFF"/>
            <w:vAlign w:val="center"/>
          </w:tcPr>
          <w:p w14:paraId="4AB6CADE" w14:textId="3446FEBF"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36 750,3</w:t>
            </w:r>
          </w:p>
        </w:tc>
        <w:tc>
          <w:tcPr>
            <w:tcW w:w="625" w:type="dxa"/>
            <w:shd w:val="clear" w:color="auto" w:fill="FFFFFF"/>
            <w:vAlign w:val="center"/>
          </w:tcPr>
          <w:p w14:paraId="61919085" w14:textId="22A7B44A"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71,7</w:t>
            </w:r>
          </w:p>
        </w:tc>
        <w:tc>
          <w:tcPr>
            <w:tcW w:w="1027" w:type="dxa"/>
            <w:shd w:val="clear" w:color="auto" w:fill="FFFFFF"/>
            <w:noWrap/>
            <w:vAlign w:val="center"/>
          </w:tcPr>
          <w:p w14:paraId="28623168" w14:textId="16BC38A0"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40 444,1</w:t>
            </w:r>
          </w:p>
        </w:tc>
        <w:tc>
          <w:tcPr>
            <w:tcW w:w="533" w:type="dxa"/>
            <w:shd w:val="clear" w:color="auto" w:fill="FFFFFF"/>
            <w:vAlign w:val="center"/>
          </w:tcPr>
          <w:p w14:paraId="5A0E3C9E" w14:textId="4DD51F60"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176,5</w:t>
            </w:r>
          </w:p>
        </w:tc>
      </w:tr>
      <w:tr w:rsidR="00D1390B" w:rsidRPr="00A922B4" w14:paraId="427CC1FA" w14:textId="77777777" w:rsidTr="00BF35BD">
        <w:trPr>
          <w:trHeight w:val="194"/>
        </w:trPr>
        <w:tc>
          <w:tcPr>
            <w:tcW w:w="3261" w:type="dxa"/>
            <w:shd w:val="clear" w:color="auto" w:fill="FFFFFF"/>
            <w:vAlign w:val="center"/>
          </w:tcPr>
          <w:p w14:paraId="636488B6" w14:textId="04218A22" w:rsidR="00D1390B" w:rsidRPr="00D1390B" w:rsidRDefault="00D1390B" w:rsidP="00D1390B">
            <w:pPr>
              <w:spacing w:after="0" w:line="200" w:lineRule="exact"/>
              <w:ind w:left="-57" w:right="-57"/>
              <w:jc w:val="both"/>
              <w:rPr>
                <w:rFonts w:ascii="Times New Roman" w:eastAsia="Times New Roman" w:hAnsi="Times New Roman" w:cs="Times New Roman"/>
                <w:sz w:val="20"/>
                <w:szCs w:val="20"/>
                <w:lang w:eastAsia="ru-RU"/>
              </w:rPr>
            </w:pPr>
            <w:r w:rsidRPr="00D1390B">
              <w:rPr>
                <w:rFonts w:ascii="Times New Roman" w:eastAsia="Times New Roman" w:hAnsi="Times New Roman" w:cs="Times New Roman"/>
                <w:sz w:val="20"/>
                <w:szCs w:val="20"/>
                <w:lang w:eastAsia="ru-RU"/>
              </w:rPr>
              <w:t>Административные платежи и сборы</w:t>
            </w:r>
          </w:p>
        </w:tc>
        <w:tc>
          <w:tcPr>
            <w:tcW w:w="993" w:type="dxa"/>
            <w:shd w:val="clear" w:color="auto" w:fill="FFFFFF"/>
            <w:vAlign w:val="center"/>
          </w:tcPr>
          <w:p w14:paraId="22DDA2C8" w14:textId="15BCEF2E"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668,0</w:t>
            </w:r>
          </w:p>
        </w:tc>
        <w:tc>
          <w:tcPr>
            <w:tcW w:w="1075" w:type="dxa"/>
            <w:shd w:val="clear" w:color="auto" w:fill="FFFFFF"/>
            <w:vAlign w:val="center"/>
          </w:tcPr>
          <w:p w14:paraId="2BBAA561" w14:textId="0C306D5D"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687,3</w:t>
            </w:r>
          </w:p>
        </w:tc>
        <w:tc>
          <w:tcPr>
            <w:tcW w:w="992" w:type="dxa"/>
            <w:shd w:val="clear" w:color="auto" w:fill="FFFFFF"/>
            <w:vAlign w:val="center"/>
          </w:tcPr>
          <w:p w14:paraId="32674218" w14:textId="38E03E5C"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240,0</w:t>
            </w:r>
          </w:p>
        </w:tc>
        <w:tc>
          <w:tcPr>
            <w:tcW w:w="992" w:type="dxa"/>
            <w:shd w:val="clear" w:color="auto" w:fill="FFFFFF"/>
            <w:vAlign w:val="center"/>
          </w:tcPr>
          <w:p w14:paraId="3E5F73FA" w14:textId="0DC52465"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447,3</w:t>
            </w:r>
          </w:p>
        </w:tc>
        <w:tc>
          <w:tcPr>
            <w:tcW w:w="625" w:type="dxa"/>
            <w:shd w:val="clear" w:color="auto" w:fill="FFFFFF"/>
            <w:vAlign w:val="center"/>
          </w:tcPr>
          <w:p w14:paraId="6EF10ED1" w14:textId="5F11E96B"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34,9</w:t>
            </w:r>
          </w:p>
        </w:tc>
        <w:tc>
          <w:tcPr>
            <w:tcW w:w="1027" w:type="dxa"/>
            <w:shd w:val="clear" w:color="auto" w:fill="FFFFFF"/>
            <w:noWrap/>
            <w:vAlign w:val="center"/>
          </w:tcPr>
          <w:p w14:paraId="30D24F54" w14:textId="4D348696"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  428,0</w:t>
            </w:r>
          </w:p>
        </w:tc>
        <w:tc>
          <w:tcPr>
            <w:tcW w:w="533" w:type="dxa"/>
            <w:shd w:val="clear" w:color="auto" w:fill="FFFFFF"/>
            <w:vAlign w:val="center"/>
          </w:tcPr>
          <w:p w14:paraId="0F3A1678" w14:textId="731C04BA"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35,9</w:t>
            </w:r>
          </w:p>
        </w:tc>
      </w:tr>
      <w:tr w:rsidR="00D1390B" w:rsidRPr="00A922B4" w14:paraId="7F935F1A" w14:textId="77777777" w:rsidTr="00BF35BD">
        <w:trPr>
          <w:trHeight w:val="308"/>
        </w:trPr>
        <w:tc>
          <w:tcPr>
            <w:tcW w:w="3261" w:type="dxa"/>
            <w:shd w:val="clear" w:color="auto" w:fill="FFFFFF"/>
            <w:vAlign w:val="center"/>
          </w:tcPr>
          <w:p w14:paraId="472A5921" w14:textId="14EE446A" w:rsidR="00D1390B" w:rsidRPr="00D1390B" w:rsidRDefault="00D1390B" w:rsidP="00D1390B">
            <w:pPr>
              <w:spacing w:after="0" w:line="200" w:lineRule="exact"/>
              <w:ind w:left="-57" w:right="-57"/>
              <w:jc w:val="both"/>
              <w:rPr>
                <w:rFonts w:ascii="Times New Roman" w:eastAsia="Times New Roman" w:hAnsi="Times New Roman" w:cs="Times New Roman"/>
                <w:sz w:val="20"/>
                <w:szCs w:val="20"/>
                <w:lang w:eastAsia="ru-RU"/>
              </w:rPr>
            </w:pPr>
            <w:r w:rsidRPr="00D1390B">
              <w:rPr>
                <w:rFonts w:ascii="Times New Roman" w:eastAsia="Times New Roman" w:hAnsi="Times New Roman" w:cs="Times New Roman"/>
                <w:sz w:val="20"/>
                <w:szCs w:val="20"/>
                <w:lang w:eastAsia="ru-RU"/>
              </w:rPr>
              <w:t>Штрафы, санкции, возмещение ущерба</w:t>
            </w:r>
          </w:p>
        </w:tc>
        <w:tc>
          <w:tcPr>
            <w:tcW w:w="993" w:type="dxa"/>
            <w:shd w:val="clear" w:color="auto" w:fill="FFFFFF"/>
            <w:vAlign w:val="center"/>
          </w:tcPr>
          <w:p w14:paraId="3EAA2181" w14:textId="13C35F44"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845 045,4</w:t>
            </w:r>
          </w:p>
        </w:tc>
        <w:tc>
          <w:tcPr>
            <w:tcW w:w="1075" w:type="dxa"/>
            <w:shd w:val="clear" w:color="auto" w:fill="FFFFFF"/>
            <w:vAlign w:val="center"/>
          </w:tcPr>
          <w:p w14:paraId="1FD41587" w14:textId="492A757D"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1 009 733,7</w:t>
            </w:r>
          </w:p>
        </w:tc>
        <w:tc>
          <w:tcPr>
            <w:tcW w:w="992" w:type="dxa"/>
            <w:shd w:val="clear" w:color="auto" w:fill="FFFFFF"/>
            <w:vAlign w:val="center"/>
          </w:tcPr>
          <w:p w14:paraId="264A9058" w14:textId="7CEA28AE"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1 336 213,8</w:t>
            </w:r>
          </w:p>
        </w:tc>
        <w:tc>
          <w:tcPr>
            <w:tcW w:w="992" w:type="dxa"/>
            <w:shd w:val="clear" w:color="auto" w:fill="FFFFFF"/>
            <w:vAlign w:val="center"/>
          </w:tcPr>
          <w:p w14:paraId="15905192" w14:textId="3E27871C"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326 480,1</w:t>
            </w:r>
          </w:p>
        </w:tc>
        <w:tc>
          <w:tcPr>
            <w:tcW w:w="625" w:type="dxa"/>
            <w:shd w:val="clear" w:color="auto" w:fill="FFFFFF"/>
            <w:vAlign w:val="center"/>
          </w:tcPr>
          <w:p w14:paraId="5C95FA18" w14:textId="0D77063B"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132,3</w:t>
            </w:r>
          </w:p>
        </w:tc>
        <w:tc>
          <w:tcPr>
            <w:tcW w:w="1027" w:type="dxa"/>
            <w:shd w:val="clear" w:color="auto" w:fill="FFFFFF"/>
            <w:noWrap/>
            <w:vAlign w:val="center"/>
          </w:tcPr>
          <w:p w14:paraId="00A8636F" w14:textId="2A36BCBB"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491 168,4</w:t>
            </w:r>
          </w:p>
        </w:tc>
        <w:tc>
          <w:tcPr>
            <w:tcW w:w="533" w:type="dxa"/>
            <w:shd w:val="clear" w:color="auto" w:fill="FFFFFF"/>
            <w:vAlign w:val="center"/>
          </w:tcPr>
          <w:p w14:paraId="56FB3E56" w14:textId="10F32DB9"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158,1</w:t>
            </w:r>
          </w:p>
        </w:tc>
      </w:tr>
      <w:tr w:rsidR="00D1390B" w:rsidRPr="00A922B4" w14:paraId="43A72807" w14:textId="77777777" w:rsidTr="00BF35BD">
        <w:trPr>
          <w:trHeight w:val="315"/>
        </w:trPr>
        <w:tc>
          <w:tcPr>
            <w:tcW w:w="3261" w:type="dxa"/>
            <w:shd w:val="clear" w:color="auto" w:fill="FFFFFF"/>
            <w:vAlign w:val="center"/>
          </w:tcPr>
          <w:p w14:paraId="53B46965" w14:textId="5C2DD93D" w:rsidR="00D1390B" w:rsidRPr="00D1390B" w:rsidRDefault="00D1390B" w:rsidP="00D1390B">
            <w:pPr>
              <w:spacing w:after="0" w:line="200" w:lineRule="exact"/>
              <w:ind w:left="-57" w:right="-57"/>
              <w:jc w:val="both"/>
              <w:rPr>
                <w:rFonts w:ascii="Times New Roman" w:eastAsia="Times New Roman" w:hAnsi="Times New Roman" w:cs="Times New Roman"/>
                <w:sz w:val="20"/>
                <w:szCs w:val="20"/>
                <w:lang w:eastAsia="ru-RU"/>
              </w:rPr>
            </w:pPr>
            <w:bookmarkStart w:id="18" w:name="_Hlk6931491"/>
            <w:r w:rsidRPr="00D1390B">
              <w:rPr>
                <w:rFonts w:ascii="Times New Roman" w:eastAsia="Times New Roman" w:hAnsi="Times New Roman" w:cs="Times New Roman"/>
                <w:sz w:val="20"/>
                <w:szCs w:val="20"/>
                <w:lang w:eastAsia="ru-RU"/>
              </w:rPr>
              <w:t xml:space="preserve">Прочие </w:t>
            </w:r>
            <w:bookmarkEnd w:id="18"/>
            <w:r w:rsidRPr="00D1390B">
              <w:rPr>
                <w:rFonts w:ascii="Times New Roman" w:eastAsia="Times New Roman" w:hAnsi="Times New Roman" w:cs="Times New Roman"/>
                <w:sz w:val="20"/>
                <w:szCs w:val="20"/>
                <w:lang w:eastAsia="ru-RU"/>
              </w:rPr>
              <w:t>неналоговые доходы</w:t>
            </w:r>
          </w:p>
        </w:tc>
        <w:tc>
          <w:tcPr>
            <w:tcW w:w="993" w:type="dxa"/>
            <w:shd w:val="clear" w:color="auto" w:fill="FFFFFF"/>
            <w:vAlign w:val="center"/>
          </w:tcPr>
          <w:p w14:paraId="4B3C38C2" w14:textId="65F3DA7D"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21 247,4</w:t>
            </w:r>
          </w:p>
        </w:tc>
        <w:tc>
          <w:tcPr>
            <w:tcW w:w="1075" w:type="dxa"/>
            <w:shd w:val="clear" w:color="auto" w:fill="FFFFFF"/>
            <w:vAlign w:val="center"/>
          </w:tcPr>
          <w:p w14:paraId="605A47FC" w14:textId="5711EBBD"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22 255,4</w:t>
            </w:r>
          </w:p>
        </w:tc>
        <w:tc>
          <w:tcPr>
            <w:tcW w:w="992" w:type="dxa"/>
            <w:shd w:val="clear" w:color="auto" w:fill="FFFFFF"/>
            <w:vAlign w:val="center"/>
          </w:tcPr>
          <w:p w14:paraId="028882C4" w14:textId="658D94F0"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33 471,6</w:t>
            </w:r>
          </w:p>
        </w:tc>
        <w:tc>
          <w:tcPr>
            <w:tcW w:w="992" w:type="dxa"/>
            <w:shd w:val="clear" w:color="auto" w:fill="FFFFFF"/>
            <w:vAlign w:val="center"/>
          </w:tcPr>
          <w:p w14:paraId="4A0D421D" w14:textId="0397AEE1"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11 216,2</w:t>
            </w:r>
          </w:p>
        </w:tc>
        <w:tc>
          <w:tcPr>
            <w:tcW w:w="625" w:type="dxa"/>
            <w:shd w:val="clear" w:color="auto" w:fill="FFFFFF"/>
            <w:vAlign w:val="center"/>
          </w:tcPr>
          <w:p w14:paraId="79AE331E" w14:textId="6D1CB298"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150,4</w:t>
            </w:r>
          </w:p>
        </w:tc>
        <w:tc>
          <w:tcPr>
            <w:tcW w:w="1027" w:type="dxa"/>
            <w:shd w:val="clear" w:color="auto" w:fill="FFFFFF"/>
            <w:noWrap/>
            <w:vAlign w:val="center"/>
          </w:tcPr>
          <w:p w14:paraId="2AEBFBEA" w14:textId="00FC6EA7"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12 224,2</w:t>
            </w:r>
          </w:p>
        </w:tc>
        <w:tc>
          <w:tcPr>
            <w:tcW w:w="533" w:type="dxa"/>
            <w:shd w:val="clear" w:color="auto" w:fill="FFFFFF"/>
            <w:vAlign w:val="center"/>
          </w:tcPr>
          <w:p w14:paraId="3A2BF6C8" w14:textId="6F2DB2D7"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sz w:val="18"/>
                <w:szCs w:val="18"/>
                <w:lang w:eastAsia="ru-RU"/>
              </w:rPr>
              <w:t>157,5</w:t>
            </w:r>
          </w:p>
        </w:tc>
      </w:tr>
      <w:tr w:rsidR="00D1390B" w:rsidRPr="00A922B4" w14:paraId="633C291D" w14:textId="77777777" w:rsidTr="00BF35BD">
        <w:trPr>
          <w:trHeight w:val="270"/>
        </w:trPr>
        <w:tc>
          <w:tcPr>
            <w:tcW w:w="3261" w:type="dxa"/>
            <w:shd w:val="clear" w:color="auto" w:fill="FFFFFF"/>
            <w:vAlign w:val="center"/>
          </w:tcPr>
          <w:p w14:paraId="7EB7786B" w14:textId="4732C875" w:rsidR="00D1390B" w:rsidRPr="00D1390B" w:rsidRDefault="00D1390B" w:rsidP="00D1390B">
            <w:pPr>
              <w:spacing w:after="0" w:line="200" w:lineRule="exact"/>
              <w:ind w:left="-57" w:right="-57"/>
              <w:jc w:val="both"/>
              <w:rPr>
                <w:rFonts w:ascii="Times New Roman" w:eastAsia="Times New Roman" w:hAnsi="Times New Roman" w:cs="Times New Roman"/>
                <w:b/>
                <w:bCs/>
                <w:sz w:val="20"/>
                <w:szCs w:val="20"/>
                <w:lang w:eastAsia="ru-RU"/>
              </w:rPr>
            </w:pPr>
            <w:r w:rsidRPr="00D1390B">
              <w:rPr>
                <w:rFonts w:ascii="Times New Roman" w:eastAsia="Times New Roman" w:hAnsi="Times New Roman" w:cs="Times New Roman"/>
                <w:b/>
                <w:bCs/>
                <w:sz w:val="20"/>
                <w:szCs w:val="20"/>
                <w:lang w:eastAsia="ru-RU"/>
              </w:rPr>
              <w:t>ИТОГО</w:t>
            </w:r>
          </w:p>
        </w:tc>
        <w:tc>
          <w:tcPr>
            <w:tcW w:w="993" w:type="dxa"/>
            <w:shd w:val="clear" w:color="auto" w:fill="FFFFFF"/>
            <w:vAlign w:val="center"/>
          </w:tcPr>
          <w:p w14:paraId="5F93A5F1" w14:textId="02411A88" w:rsidR="00D1390B" w:rsidRPr="00D1390B" w:rsidRDefault="00D1390B" w:rsidP="00D1390B">
            <w:pPr>
              <w:spacing w:after="0" w:line="200" w:lineRule="exact"/>
              <w:ind w:left="-57" w:right="-57" w:hanging="54"/>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b/>
                <w:sz w:val="18"/>
                <w:szCs w:val="18"/>
                <w:lang w:eastAsia="ru-RU"/>
              </w:rPr>
              <w:t xml:space="preserve"> 1 058 091,6   </w:t>
            </w:r>
          </w:p>
        </w:tc>
        <w:tc>
          <w:tcPr>
            <w:tcW w:w="1075" w:type="dxa"/>
            <w:shd w:val="clear" w:color="auto" w:fill="FFFFFF"/>
            <w:vAlign w:val="center"/>
          </w:tcPr>
          <w:p w14:paraId="3E51FF2B" w14:textId="16A387B6"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b/>
                <w:sz w:val="18"/>
                <w:szCs w:val="18"/>
                <w:lang w:eastAsia="ru-RU"/>
              </w:rPr>
              <w:t xml:space="preserve"> 2 242 820,7   </w:t>
            </w:r>
          </w:p>
        </w:tc>
        <w:tc>
          <w:tcPr>
            <w:tcW w:w="992" w:type="dxa"/>
            <w:shd w:val="clear" w:color="auto" w:fill="FFFFFF"/>
            <w:vAlign w:val="center"/>
          </w:tcPr>
          <w:p w14:paraId="6AB6EEAF" w14:textId="1A99FC5B"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b/>
                <w:sz w:val="18"/>
                <w:szCs w:val="18"/>
                <w:lang w:eastAsia="ru-RU"/>
              </w:rPr>
              <w:t xml:space="preserve"> 2 768 722,6   </w:t>
            </w:r>
          </w:p>
        </w:tc>
        <w:tc>
          <w:tcPr>
            <w:tcW w:w="992" w:type="dxa"/>
            <w:shd w:val="clear" w:color="auto" w:fill="FFFFFF"/>
            <w:vAlign w:val="center"/>
          </w:tcPr>
          <w:p w14:paraId="06EF9628" w14:textId="2072F21F" w:rsidR="00D1390B" w:rsidRPr="00D1390B" w:rsidRDefault="00D1390B" w:rsidP="00D1390B">
            <w:pPr>
              <w:spacing w:after="0" w:line="200" w:lineRule="exact"/>
              <w:ind w:left="-113" w:right="-113"/>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b/>
                <w:sz w:val="18"/>
                <w:szCs w:val="18"/>
                <w:lang w:eastAsia="ru-RU"/>
              </w:rPr>
              <w:t xml:space="preserve"> 525 901,9   </w:t>
            </w:r>
          </w:p>
        </w:tc>
        <w:tc>
          <w:tcPr>
            <w:tcW w:w="625" w:type="dxa"/>
            <w:shd w:val="clear" w:color="auto" w:fill="FFFFFF"/>
            <w:vAlign w:val="center"/>
          </w:tcPr>
          <w:p w14:paraId="30602332" w14:textId="74BF588A"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b/>
                <w:sz w:val="18"/>
                <w:szCs w:val="18"/>
                <w:lang w:eastAsia="ru-RU"/>
              </w:rPr>
              <w:t xml:space="preserve"> 123,4   </w:t>
            </w:r>
          </w:p>
        </w:tc>
        <w:tc>
          <w:tcPr>
            <w:tcW w:w="1027" w:type="dxa"/>
            <w:shd w:val="clear" w:color="auto" w:fill="FFFFFF"/>
            <w:vAlign w:val="center"/>
          </w:tcPr>
          <w:p w14:paraId="73330483" w14:textId="6BB498B2"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b/>
                <w:sz w:val="18"/>
                <w:szCs w:val="18"/>
                <w:lang w:eastAsia="ru-RU"/>
              </w:rPr>
              <w:t xml:space="preserve"> 1 710 631,0   </w:t>
            </w:r>
          </w:p>
        </w:tc>
        <w:tc>
          <w:tcPr>
            <w:tcW w:w="533" w:type="dxa"/>
            <w:shd w:val="clear" w:color="auto" w:fill="FFFFFF"/>
            <w:vAlign w:val="center"/>
          </w:tcPr>
          <w:p w14:paraId="0740FD25" w14:textId="0A52DA88" w:rsidR="00D1390B" w:rsidRPr="00D1390B" w:rsidRDefault="00D1390B" w:rsidP="00D1390B">
            <w:pPr>
              <w:spacing w:after="0" w:line="200" w:lineRule="exact"/>
              <w:ind w:left="-57" w:right="-57"/>
              <w:jc w:val="center"/>
              <w:rPr>
                <w:rFonts w:ascii="Times New Roman" w:eastAsia="Times New Roman" w:hAnsi="Times New Roman" w:cs="Times New Roman"/>
                <w:sz w:val="18"/>
                <w:szCs w:val="18"/>
                <w:lang w:eastAsia="ru-RU"/>
              </w:rPr>
            </w:pPr>
            <w:r w:rsidRPr="00D1390B">
              <w:rPr>
                <w:rFonts w:ascii="Times New Roman" w:eastAsia="Times New Roman" w:hAnsi="Times New Roman" w:cs="Times New Roman"/>
                <w:b/>
                <w:sz w:val="18"/>
                <w:szCs w:val="18"/>
                <w:lang w:eastAsia="ru-RU"/>
              </w:rPr>
              <w:t xml:space="preserve">261,7   </w:t>
            </w:r>
          </w:p>
        </w:tc>
      </w:tr>
    </w:tbl>
    <w:p w14:paraId="160231FA" w14:textId="77777777" w:rsidR="00A922B4" w:rsidRPr="00A922B4" w:rsidRDefault="00A922B4" w:rsidP="00A922B4">
      <w:pPr>
        <w:widowControl w:val="0"/>
        <w:tabs>
          <w:tab w:val="left" w:pos="3030"/>
        </w:tabs>
        <w:autoSpaceDE w:val="0"/>
        <w:autoSpaceDN w:val="0"/>
        <w:adjustRightInd w:val="0"/>
        <w:spacing w:after="0" w:line="200" w:lineRule="exact"/>
        <w:ind w:firstLine="709"/>
        <w:rPr>
          <w:rFonts w:ascii="Times New Roman" w:eastAsia="Calibri" w:hAnsi="Times New Roman" w:cs="Times New Roman"/>
          <w:b/>
          <w:sz w:val="24"/>
          <w:szCs w:val="24"/>
          <w:highlight w:val="yellow"/>
          <w:lang w:eastAsia="ru-RU"/>
        </w:rPr>
      </w:pPr>
    </w:p>
    <w:p w14:paraId="6D4401A2" w14:textId="77777777" w:rsidR="00A922B4" w:rsidRPr="00A922B4" w:rsidRDefault="00A922B4" w:rsidP="00A922B4">
      <w:pPr>
        <w:widowControl w:val="0"/>
        <w:tabs>
          <w:tab w:val="left" w:pos="3030"/>
        </w:tabs>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xml:space="preserve">Установленные задания по неналоговым доходам в 2021 году не выполнены по 5 доходным источникам, в том числе по: </w:t>
      </w:r>
    </w:p>
    <w:p w14:paraId="64FF9E6F" w14:textId="77777777" w:rsidR="00A922B4" w:rsidRPr="00A922B4" w:rsidRDefault="00A922B4" w:rsidP="00A922B4">
      <w:pPr>
        <w:widowControl w:val="0"/>
        <w:tabs>
          <w:tab w:val="left" w:pos="3030"/>
        </w:tabs>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получаемым в виде арендной платы за земельные участки – на 7 766,9 тыс. рублей, или на 8,6 % (план – 90 000,0 тыс. рублей, факт – 82 233,1 тыс. рублей);</w:t>
      </w:r>
    </w:p>
    <w:p w14:paraId="3D6DE875" w14:textId="77777777" w:rsidR="00A922B4" w:rsidRPr="00A922B4" w:rsidRDefault="00A922B4" w:rsidP="00A922B4">
      <w:pPr>
        <w:widowControl w:val="0"/>
        <w:tabs>
          <w:tab w:val="left" w:pos="3030"/>
        </w:tabs>
        <w:autoSpaceDE w:val="0"/>
        <w:autoSpaceDN w:val="0"/>
        <w:adjustRightInd w:val="0"/>
        <w:spacing w:after="0" w:line="240" w:lineRule="auto"/>
        <w:ind w:firstLine="851"/>
        <w:jc w:val="both"/>
        <w:rPr>
          <w:rFonts w:ascii="Times New Roman" w:eastAsia="Calibri" w:hAnsi="Times New Roman" w:cs="Times New Roman"/>
          <w:sz w:val="28"/>
          <w:szCs w:val="28"/>
          <w:highlight w:val="yellow"/>
          <w:lang w:eastAsia="ru-RU"/>
        </w:rPr>
      </w:pPr>
      <w:r w:rsidRPr="00A922B4">
        <w:rPr>
          <w:rFonts w:ascii="Times New Roman" w:eastAsia="Calibri" w:hAnsi="Times New Roman" w:cs="Times New Roman"/>
          <w:sz w:val="28"/>
          <w:szCs w:val="28"/>
          <w:lang w:eastAsia="ru-RU"/>
        </w:rPr>
        <w:t>- доходам от аренды объектов нежилого фонда – на 350 146,2 тыс. рублей, или меньше в 5,9 раза меньше утвержденных назначений (план – 422 000,0 тыс. рублей, факт – 71 853,8 тыс. рублей);</w:t>
      </w:r>
    </w:p>
    <w:p w14:paraId="3C7BAC11"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платежам при пользовании природными ресурсами – на 804,9 тыс. рублей, или на 10,1 % (план – 7 939,2 тыс. рублей, факт – 7 134,3 тыс. рублей);</w:t>
      </w:r>
    </w:p>
    <w:p w14:paraId="6F84E0AA"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доходам от платных услуг (работ) и компенсации затрат государства – на 36 750,3 тыс. рублей, или на 28,3 % (план – 130 050,3 тыс. рублей, факт – </w:t>
      </w:r>
      <w:r w:rsidRPr="00A922B4">
        <w:rPr>
          <w:rFonts w:ascii="Times New Roman" w:eastAsia="Times New Roman" w:hAnsi="Times New Roman" w:cs="Times New Roman"/>
          <w:sz w:val="28"/>
          <w:szCs w:val="28"/>
          <w:lang w:eastAsia="ru-RU"/>
        </w:rPr>
        <w:br/>
        <w:t>93 300,0 тыс. рублей);</w:t>
      </w:r>
    </w:p>
    <w:p w14:paraId="57ABC774" w14:textId="77777777" w:rsidR="00A922B4" w:rsidRPr="00A922B4" w:rsidRDefault="00A922B4" w:rsidP="00A922B4">
      <w:pPr>
        <w:widowControl w:val="0"/>
        <w:tabs>
          <w:tab w:val="left" w:pos="3030"/>
        </w:tabs>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w:t>
      </w:r>
      <w:r w:rsidRPr="00A922B4">
        <w:rPr>
          <w:rFonts w:ascii="Times New Roman" w:eastAsia="Calibri" w:hAnsi="Times New Roman" w:cs="Times New Roman"/>
          <w:sz w:val="20"/>
          <w:szCs w:val="20"/>
          <w:lang w:eastAsia="ru-RU"/>
        </w:rPr>
        <w:t xml:space="preserve"> </w:t>
      </w:r>
      <w:r w:rsidRPr="00A922B4">
        <w:rPr>
          <w:rFonts w:ascii="Times New Roman" w:eastAsia="Calibri" w:hAnsi="Times New Roman" w:cs="Times New Roman"/>
          <w:sz w:val="28"/>
          <w:szCs w:val="28"/>
          <w:lang w:eastAsia="ru-RU"/>
        </w:rPr>
        <w:t>административным платежам и сборам – на 447,3 тыс. рублей, или в 2,9 раза меньше утвержденных назначений (план – 687,3 тыс. рублей, факт – 240,0 тыс. рублей).</w:t>
      </w:r>
    </w:p>
    <w:p w14:paraId="740F83FB"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При этом, по 6 доходным источникам выполнение составило более 100 %, в том числе по:</w:t>
      </w:r>
    </w:p>
    <w:p w14:paraId="12472208"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доходам в виде дивидендов по акциям, принадлежащим Республике Дагестан – на 5 262,6 тыс. рублей, или 1,9 раза больше утвержденных назначений (план – 6 000,0 тыс. рублей, факт – 11 262,6 тыс. рублей);</w:t>
      </w:r>
    </w:p>
    <w:p w14:paraId="4DF14B79" w14:textId="34E5FB58" w:rsidR="00A922B4" w:rsidRPr="00A922B4" w:rsidRDefault="00A922B4" w:rsidP="00A922B4">
      <w:pPr>
        <w:widowControl w:val="0"/>
        <w:tabs>
          <w:tab w:val="left" w:pos="3030"/>
        </w:tabs>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xml:space="preserve">- доходы от перечисления части прибыли государственных унитарных предприятий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Calibri" w:hAnsi="Times New Roman" w:cs="Times New Roman"/>
          <w:sz w:val="28"/>
          <w:szCs w:val="28"/>
          <w:lang w:eastAsia="ru-RU"/>
        </w:rPr>
        <w:t xml:space="preserve"> – на 175,7 тыс. рублей, или на 17,6 % (план – 1 000,0 тыс. рублей, факт – 1 175,7 тыс. рублей);</w:t>
      </w:r>
    </w:p>
    <w:p w14:paraId="3CE92E22" w14:textId="77777777" w:rsidR="00A922B4" w:rsidRPr="00A922B4" w:rsidRDefault="00A922B4" w:rsidP="00A922B4">
      <w:pPr>
        <w:widowControl w:val="0"/>
        <w:tabs>
          <w:tab w:val="left" w:pos="3030"/>
        </w:tabs>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A922B4">
        <w:rPr>
          <w:rFonts w:ascii="Times New Roman" w:eastAsia="Calibri" w:hAnsi="Times New Roman" w:cs="Times New Roman"/>
          <w:sz w:val="28"/>
          <w:szCs w:val="28"/>
          <w:lang w:eastAsia="ru-RU"/>
        </w:rPr>
        <w:t>- доходам от реализации государственного имущества (в том числе от продажи земельных участков) – на 10 593,7 тыс. рублей, или в 2,6 раза больше утвержденных назначений (план – 6 500,0 тыс. рублей, факт – 17 093,7 тыс. рублей);</w:t>
      </w:r>
    </w:p>
    <w:p w14:paraId="589BABA3" w14:textId="65689671"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bookmarkStart w:id="19" w:name="_Hlk7448136"/>
      <w:r w:rsidRPr="00A922B4">
        <w:rPr>
          <w:rFonts w:ascii="Times New Roman" w:eastAsia="Times New Roman" w:hAnsi="Times New Roman" w:cs="Times New Roman"/>
          <w:sz w:val="28"/>
          <w:szCs w:val="28"/>
          <w:lang w:eastAsia="ru-RU"/>
        </w:rPr>
        <w:lastRenderedPageBreak/>
        <w:t xml:space="preserve">- процентам, полученным от предоставления бюджетных кредитов внутри страны за счет средств республиканского бюджета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w:t>
      </w:r>
      <w:bookmarkEnd w:id="19"/>
      <w:r w:rsidRPr="00A922B4">
        <w:rPr>
          <w:rFonts w:ascii="Times New Roman" w:eastAsia="Times New Roman" w:hAnsi="Times New Roman" w:cs="Times New Roman"/>
          <w:sz w:val="28"/>
          <w:szCs w:val="28"/>
          <w:lang w:eastAsia="ru-RU"/>
        </w:rPr>
        <w:t>– на 93,5 тыс. рублей, или на 4,1 % (план – 2 268,9 тыс. рублей, факт – 2 362,4 тыс. рублей);</w:t>
      </w:r>
    </w:p>
    <w:p w14:paraId="67146B86"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штрафам, санкциям, возмещению ущерба – на 326 480,1 тыс. рублей0, или в 1,3 раза больше</w:t>
      </w:r>
      <w:r w:rsidRPr="00A922B4">
        <w:rPr>
          <w:rFonts w:ascii="Times New Roman" w:eastAsia="Times New Roman" w:hAnsi="Times New Roman" w:cs="Times New Roman"/>
          <w:sz w:val="24"/>
          <w:szCs w:val="24"/>
          <w:lang w:eastAsia="ru-RU"/>
        </w:rPr>
        <w:t xml:space="preserve"> </w:t>
      </w:r>
      <w:r w:rsidRPr="00A922B4">
        <w:rPr>
          <w:rFonts w:ascii="Times New Roman" w:eastAsia="Times New Roman" w:hAnsi="Times New Roman" w:cs="Times New Roman"/>
          <w:sz w:val="28"/>
          <w:szCs w:val="28"/>
          <w:lang w:eastAsia="ru-RU"/>
        </w:rPr>
        <w:t>утвержденных назначений (план – 1 009 733,7 тыс. рублей, факт – 1 336 213,8 тыс. рублей);</w:t>
      </w:r>
    </w:p>
    <w:p w14:paraId="156DCF52"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прочим неналоговым доходам – 11 216,2 тыс. рублей, или в 1,5 раза больше утвержденных назначений (план – 22 255,4 тыс. рублей, факт – 33 471,6 тыс. рублей).</w:t>
      </w:r>
    </w:p>
    <w:p w14:paraId="30B735E3" w14:textId="3C4B114F" w:rsidR="00A922B4" w:rsidRDefault="00A922B4" w:rsidP="00A922B4">
      <w:pPr>
        <w:spacing w:after="0" w:line="240" w:lineRule="auto"/>
        <w:ind w:firstLine="851"/>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Следует отметить, что перевыполнение утвержденных назначений по доходам в виде дивидендов по акциям и доходам в виде перечислений части прибыли государственных унитарных предприятий связано с тем, что Минимуществом РД допущено искажение бюджетного учета, выразившееся в необоснованном отражении отдельных доходов на не соответствующие коды бюджетной классификации. </w:t>
      </w:r>
    </w:p>
    <w:p w14:paraId="26E3D945" w14:textId="0E12F02E"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0794CC76" w14:textId="727483BC"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7AEEBE53" w14:textId="3408803F"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452CC1BC" w14:textId="611122C2"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696F6808" w14:textId="71F6E8E6"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2851B246" w14:textId="6130DE80"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2AD4C1BF" w14:textId="3F198FC8"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52ADCBDD" w14:textId="7072BFD0"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7D35894B" w14:textId="09E0F078"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1575E691" w14:textId="671AFA47"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11005913" w14:textId="5565FB3A"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4463CB4B" w14:textId="437AD350"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5A098073" w14:textId="39919432"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20EF0288" w14:textId="0C40D002"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2D78A3D6" w14:textId="08320AAF"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02D0890F" w14:textId="1526C1BE"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0AE35FD5" w14:textId="4FE035A3"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67767E16" w14:textId="47D003F5"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1234B269" w14:textId="0AAD28E9"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3007200D" w14:textId="1C656F69"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7A6FDD11" w14:textId="3080D1C8"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58FCC231" w14:textId="73B2B826"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2A4F8EA7" w14:textId="49207874"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7DB9E788" w14:textId="5FF4541A"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3B4B417D" w14:textId="511C1C4B"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3E7658D1" w14:textId="5D3A0F28"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17646B71" w14:textId="027A95D6"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33D2E6AB" w14:textId="3CE8033E" w:rsidR="00BF35BD" w:rsidRDefault="00BF35BD" w:rsidP="00A922B4">
      <w:pPr>
        <w:spacing w:after="0" w:line="240" w:lineRule="auto"/>
        <w:ind w:firstLine="851"/>
        <w:jc w:val="both"/>
        <w:rPr>
          <w:rFonts w:ascii="Times New Roman" w:eastAsia="Times New Roman" w:hAnsi="Times New Roman" w:cs="Times New Roman"/>
          <w:sz w:val="28"/>
          <w:szCs w:val="28"/>
          <w:lang w:eastAsia="ru-RU"/>
        </w:rPr>
      </w:pPr>
    </w:p>
    <w:p w14:paraId="2A8689DA" w14:textId="69AFA480" w:rsidR="00BF35BD" w:rsidRDefault="00BF35BD" w:rsidP="00A60AEE">
      <w:pPr>
        <w:spacing w:after="0" w:line="240" w:lineRule="auto"/>
        <w:ind w:firstLine="851"/>
        <w:jc w:val="both"/>
        <w:rPr>
          <w:rFonts w:ascii="Times New Roman" w:eastAsia="Times New Roman" w:hAnsi="Times New Roman" w:cs="Times New Roman"/>
          <w:b/>
          <w:bCs/>
          <w:color w:val="002060"/>
          <w:sz w:val="28"/>
          <w:szCs w:val="28"/>
          <w:lang w:eastAsia="ru-RU"/>
        </w:rPr>
      </w:pPr>
      <w:r w:rsidRPr="00BF35BD">
        <w:rPr>
          <w:rFonts w:ascii="Times New Roman" w:eastAsia="Times New Roman" w:hAnsi="Times New Roman" w:cs="Times New Roman"/>
          <w:b/>
          <w:bCs/>
          <w:color w:val="002060"/>
          <w:sz w:val="28"/>
          <w:szCs w:val="28"/>
          <w:lang w:eastAsia="ru-RU"/>
        </w:rPr>
        <w:lastRenderedPageBreak/>
        <w:t>4.1.2. Анализ испол</w:t>
      </w:r>
      <w:r w:rsidR="005B21C7">
        <w:rPr>
          <w:rFonts w:ascii="Times New Roman" w:eastAsia="Times New Roman" w:hAnsi="Times New Roman" w:cs="Times New Roman"/>
          <w:b/>
          <w:bCs/>
          <w:color w:val="002060"/>
          <w:sz w:val="28"/>
          <w:szCs w:val="28"/>
          <w:lang w:eastAsia="ru-RU"/>
        </w:rPr>
        <w:t xml:space="preserve">нения </w:t>
      </w:r>
      <w:r w:rsidRPr="00BF35BD">
        <w:rPr>
          <w:rFonts w:ascii="Times New Roman" w:eastAsia="Times New Roman" w:hAnsi="Times New Roman" w:cs="Times New Roman"/>
          <w:b/>
          <w:bCs/>
          <w:color w:val="002060"/>
          <w:sz w:val="28"/>
          <w:szCs w:val="28"/>
          <w:lang w:eastAsia="ru-RU"/>
        </w:rPr>
        <w:t>доходов от использования государственного имущества Республики Дагестан</w:t>
      </w:r>
    </w:p>
    <w:p w14:paraId="1246B020" w14:textId="77777777" w:rsidR="005B21C7" w:rsidRPr="00BF35BD" w:rsidRDefault="005B21C7" w:rsidP="00A60AEE">
      <w:pPr>
        <w:tabs>
          <w:tab w:val="left" w:pos="8222"/>
        </w:tabs>
        <w:spacing w:after="0" w:line="240" w:lineRule="auto"/>
        <w:ind w:firstLine="851"/>
        <w:jc w:val="both"/>
        <w:rPr>
          <w:rFonts w:ascii="Times New Roman" w:eastAsia="Times New Roman" w:hAnsi="Times New Roman" w:cs="Times New Roman"/>
          <w:b/>
          <w:bCs/>
          <w:color w:val="002060"/>
          <w:sz w:val="28"/>
          <w:szCs w:val="28"/>
          <w:lang w:eastAsia="ru-RU"/>
        </w:rPr>
      </w:pPr>
    </w:p>
    <w:p w14:paraId="7F9B08AC" w14:textId="1C0D9E2A" w:rsidR="00A922B4" w:rsidRPr="00A922B4" w:rsidRDefault="00A922B4" w:rsidP="00A60AEE">
      <w:pPr>
        <w:spacing w:after="0" w:line="240" w:lineRule="auto"/>
        <w:ind w:firstLine="851"/>
        <w:jc w:val="both"/>
        <w:rPr>
          <w:rFonts w:ascii="Times New Roman" w:eastAsia="Times New Roman" w:hAnsi="Times New Roman" w:cs="Times New Roman"/>
          <w:bCs/>
          <w:sz w:val="28"/>
          <w:szCs w:val="28"/>
          <w:lang w:eastAsia="ar-SA"/>
        </w:rPr>
      </w:pPr>
      <w:r w:rsidRPr="00A922B4">
        <w:rPr>
          <w:rFonts w:ascii="Times New Roman" w:eastAsia="Times New Roman" w:hAnsi="Times New Roman" w:cs="Times New Roman"/>
          <w:bCs/>
          <w:sz w:val="28"/>
          <w:szCs w:val="28"/>
          <w:lang w:eastAsia="ar-SA"/>
        </w:rPr>
        <w:t>В рамках внешней проверки</w:t>
      </w:r>
      <w:r w:rsidRPr="00A922B4">
        <w:rPr>
          <w:rFonts w:ascii="Times New Roman" w:eastAsia="Times New Roman" w:hAnsi="Times New Roman" w:cs="Times New Roman"/>
          <w:bCs/>
          <w:sz w:val="28"/>
          <w:szCs w:val="28"/>
          <w:lang w:eastAsia="ru-RU"/>
        </w:rPr>
        <w:t xml:space="preserve"> </w:t>
      </w:r>
      <w:r w:rsidRPr="00A922B4">
        <w:rPr>
          <w:rFonts w:ascii="Times New Roman" w:eastAsia="Times New Roman" w:hAnsi="Times New Roman" w:cs="Times New Roman"/>
          <w:bCs/>
          <w:sz w:val="28"/>
          <w:szCs w:val="28"/>
          <w:lang w:eastAsia="ar-SA"/>
        </w:rPr>
        <w:t>годового отчета об исполнении республиканского бюджета Республики Дагестан была проведена проверка поступления неналоговых доходов от использования государственной собственности Республики Дагестан за 2021 год, которая установила следующее.</w:t>
      </w:r>
    </w:p>
    <w:p w14:paraId="79A8AC10" w14:textId="257D3199" w:rsidR="00A922B4" w:rsidRPr="00A922B4" w:rsidRDefault="00A922B4" w:rsidP="00A60AEE">
      <w:pPr>
        <w:spacing w:after="0" w:line="240" w:lineRule="auto"/>
        <w:ind w:firstLine="851"/>
        <w:jc w:val="both"/>
        <w:rPr>
          <w:rFonts w:ascii="Times New Roman" w:eastAsia="Times New Roman" w:hAnsi="Times New Roman" w:cs="Times New Roman"/>
          <w:sz w:val="28"/>
          <w:szCs w:val="28"/>
          <w:lang w:eastAsia="ru-RU"/>
        </w:rPr>
      </w:pPr>
      <w:bookmarkStart w:id="20" w:name="_Hlk42700334"/>
      <w:r w:rsidRPr="00FD2249">
        <w:rPr>
          <w:rFonts w:ascii="Times New Roman" w:eastAsia="Times New Roman" w:hAnsi="Times New Roman" w:cs="Times New Roman"/>
          <w:b/>
          <w:bCs/>
          <w:color w:val="002060"/>
          <w:sz w:val="28"/>
          <w:szCs w:val="28"/>
          <w:lang w:eastAsia="ru-RU"/>
        </w:rPr>
        <w:t>1)</w:t>
      </w:r>
      <w:r w:rsidRPr="00FD2249">
        <w:rPr>
          <w:rFonts w:ascii="Times New Roman" w:eastAsia="Times New Roman" w:hAnsi="Times New Roman" w:cs="Times New Roman"/>
          <w:bCs/>
          <w:color w:val="002060"/>
          <w:sz w:val="28"/>
          <w:szCs w:val="28"/>
          <w:lang w:eastAsia="ru-RU"/>
        </w:rPr>
        <w:t xml:space="preserve"> </w:t>
      </w:r>
      <w:r w:rsidRPr="00A922B4">
        <w:rPr>
          <w:rFonts w:ascii="Times New Roman" w:eastAsia="Times New Roman" w:hAnsi="Times New Roman" w:cs="Times New Roman"/>
          <w:bCs/>
          <w:sz w:val="28"/>
          <w:szCs w:val="28"/>
          <w:lang w:eastAsia="ru-RU"/>
        </w:rPr>
        <w:t xml:space="preserve">На </w:t>
      </w:r>
      <w:bookmarkStart w:id="21" w:name="_Hlk73093534"/>
      <w:r w:rsidRPr="00A922B4">
        <w:rPr>
          <w:rFonts w:ascii="Times New Roman" w:eastAsia="Times New Roman" w:hAnsi="Times New Roman" w:cs="Times New Roman"/>
          <w:sz w:val="28"/>
          <w:szCs w:val="28"/>
          <w:lang w:eastAsia="ru-RU"/>
        </w:rPr>
        <w:t xml:space="preserve">1 января 2022 года в информационную систему «БАРС-Реестр» Минимуществом РД внесены сведения по 450 645 объектам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в том числе:</w:t>
      </w:r>
    </w:p>
    <w:p w14:paraId="56DDCC22"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недвижимое имущество (здания, строения, сооружения, объекты незавершенного строительства) – 9 079 объектов; </w:t>
      </w:r>
    </w:p>
    <w:p w14:paraId="15ED2AF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земельные участки – 5 133 участков;</w:t>
      </w:r>
    </w:p>
    <w:p w14:paraId="46960DD0"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движимое имущество – 436 433 единиц; </w:t>
      </w:r>
    </w:p>
    <w:p w14:paraId="059CB45D" w14:textId="4ECB15D6"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акции в количестве 90 290 472 (пакеты акций в уставном капитале </w:t>
      </w:r>
      <w:r w:rsidR="006B71E3">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54 акционерных обществ).</w:t>
      </w:r>
    </w:p>
    <w:p w14:paraId="67C0186B" w14:textId="43E4820E"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Реестр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также внесены сведения по 913 юридическим лицам – правообладателям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в том числе 794 государственных учреждений, 39 унитарных предприятия, 6 казенных предприятий и 74 хозяйственных обществ (ОАО – 63, ООО – 11) с долей государства в уставном капитале.</w:t>
      </w:r>
    </w:p>
    <w:p w14:paraId="4F75A965" w14:textId="533E9C39"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составе казны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учтено недвижимое имущество в количестве 28 396 единиц, в том числе:</w:t>
      </w:r>
    </w:p>
    <w:p w14:paraId="6FF07070" w14:textId="1BF7A58E"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- 519 объектов недвижимого имущества (здания, сооружения) площадью 266,5 тыс. кв. м, балансовой стоимостью 9 314 386,5 тыс. рублей, из них: </w:t>
      </w:r>
      <w:r w:rsidR="006B71E3">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4 воздушных судна (3 самолета и 1 вертолет) балансовой стоимостью 242 940,6 тыс. рублей; 36 объекта незавершенного строительства, из которых на 31 объектов отсутствуют сведения о площади. Кроме того, на самолеты и на 4 объекта незавершенного строительства отсутствуют основания возникновения права собственности;</w:t>
      </w:r>
    </w:p>
    <w:p w14:paraId="7616765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- 2 997 земельных участков, общей площадью 18 097 634,2 тыс. кв. м, кадастровой стоимостью 15 333 628,1 тыс. рублей; </w:t>
      </w:r>
    </w:p>
    <w:p w14:paraId="56C6D8F9"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- 24 880 объектов движимого имущества балансовой стоимостью 922 937,6 тыс. рублей (в том числе объекты, стоимость которых не превышает 50,0 тыс. рублей). </w:t>
      </w:r>
    </w:p>
    <w:p w14:paraId="257E9B8E" w14:textId="1B55370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2)</w:t>
      </w:r>
      <w:r w:rsidRPr="00FD2249">
        <w:rPr>
          <w:rFonts w:ascii="Times New Roman" w:eastAsia="Times New Roman" w:hAnsi="Times New Roman" w:cs="Times New Roman"/>
          <w:color w:val="002060"/>
          <w:sz w:val="28"/>
          <w:szCs w:val="28"/>
          <w:lang w:eastAsia="ru-RU"/>
        </w:rPr>
        <w:t xml:space="preserve"> </w:t>
      </w:r>
      <w:r w:rsidRPr="00A922B4">
        <w:rPr>
          <w:rFonts w:ascii="Times New Roman" w:eastAsia="Times New Roman" w:hAnsi="Times New Roman" w:cs="Times New Roman"/>
          <w:sz w:val="28"/>
          <w:szCs w:val="28"/>
          <w:lang w:eastAsia="ru-RU"/>
        </w:rPr>
        <w:t xml:space="preserve">Законом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«О республиканском бюджете Республики Дагестан на 2021 год и плановый период 2022 и 2023 годов» поступление неналоговых доходов на 2021 год, администрируемых Министерством земельных и имущественных отношений Республики Дагестан (далее – Минимущество РД), утверждены в сумме 525 500,0 тыс. рублей. </w:t>
      </w:r>
    </w:p>
    <w:p w14:paraId="05225AED"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При этом, поступление по доходам в виде дивидендов по акциям определено ниже, чем их фактические поступления за 2020 год (факт за 2020 год – 15 386,3 тыс. рублей, прогноз на 2021 год – 6 000,0 тыс. рублей).</w:t>
      </w:r>
    </w:p>
    <w:p w14:paraId="1206DC64" w14:textId="66DDC922" w:rsidR="00A922B4" w:rsidRPr="00A922B4" w:rsidRDefault="00A922B4" w:rsidP="006B71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2021 году в республиканский бюджет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поступило доходов от использования государственного имущества в сумме 185 237,1 тыс. рублей, или 35,2 % от утвержденных назначений (525 500,0 тыс. рублей).</w:t>
      </w:r>
    </w:p>
    <w:p w14:paraId="2C4194D6"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По отношению к уровню 2020 года поступления уменьшились только по одному доходному источнику (доходов в виде дивидендов по акциям на 5 067,8 тыс. рублей).</w:t>
      </w:r>
    </w:p>
    <w:p w14:paraId="6AF7AB88"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Утвержденные назначения на 2021 год не выполнены по двум доходным источникам на 357 913,2 тыс. рублей (из которых 352 566,8 тыс. рублей, доходы от сдачи в аренду объектов газораспределительных сетей).</w:t>
      </w:r>
    </w:p>
    <w:p w14:paraId="3A7C7FC9" w14:textId="2D754E70"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3)</w:t>
      </w:r>
      <w:r w:rsidRPr="00A922B4">
        <w:rPr>
          <w:rFonts w:ascii="Times New Roman" w:eastAsia="Times New Roman" w:hAnsi="Times New Roman" w:cs="Times New Roman"/>
          <w:sz w:val="28"/>
          <w:szCs w:val="28"/>
          <w:lang w:eastAsia="ru-RU"/>
        </w:rPr>
        <w:t xml:space="preserve"> В нарушение статьи 160.1 Бюджетного кодекса Р</w:t>
      </w:r>
      <w:r w:rsidR="00B45176">
        <w:rPr>
          <w:rFonts w:ascii="Times New Roman" w:eastAsia="Times New Roman" w:hAnsi="Times New Roman" w:cs="Times New Roman"/>
          <w:sz w:val="28"/>
          <w:szCs w:val="28"/>
          <w:lang w:eastAsia="ru-RU"/>
        </w:rPr>
        <w:t>оссийской Федерации</w:t>
      </w:r>
      <w:r w:rsidRPr="00A922B4">
        <w:rPr>
          <w:rFonts w:ascii="Times New Roman" w:eastAsia="Times New Roman" w:hAnsi="Times New Roman" w:cs="Times New Roman"/>
          <w:sz w:val="28"/>
          <w:szCs w:val="28"/>
          <w:lang w:eastAsia="ru-RU"/>
        </w:rPr>
        <w:t xml:space="preserve"> и пункта 6 статьи 13 Закона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от 3 декабря 2004 года № 34 «Об управлении государственной собственностью Республики Дагестан», Минимуществом РД не на должном уровне проводилась работа по администрированию доходов от управления и распоряжения государственным имуществом Республики Дагестан в части осуществления контроля за начислением, учетом, правильностью исчисления, полнотой и своевременностью осуществления платежей. </w:t>
      </w:r>
    </w:p>
    <w:p w14:paraId="553F13C4" w14:textId="507AA09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Проверка показала, что объемы фактических поступлений, указанные в расчетах с контрагентами, не соответствуют поступлениям неналоговых доходов, администрируемых Минимуществом РД, отраженным в отчете Министерства финансов Республики Дагестан об исполнении республиканского бюджета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за 2021 год.</w:t>
      </w:r>
    </w:p>
    <w:p w14:paraId="6FE6268F"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Анализ оборотно-сальдовых ведомостей в разрезе видов доходов показал, что в расчетах ведомостей не в полном объеме отражены начисления платежей, в результате чего поступившая сумма доходов (без начислений) привела к образованию несанкционированной кредиторской задолженности (переплате). В частности:</w:t>
      </w:r>
    </w:p>
    <w:p w14:paraId="6B622C6A"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в расчетах с контрагентами по аренде объектов нежилого фонда отражены сведения 5-ти контрагентов по аренде земельных участков;</w:t>
      </w:r>
    </w:p>
    <w:p w14:paraId="304ED113"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в расчетах с контрагентами по доходам от прибыли государственных унитарных предприятий отражены сведения по дивидендам 18 акционерных обществ;</w:t>
      </w:r>
    </w:p>
    <w:p w14:paraId="5AB79566"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в расчетах с контрагентами по доходам в виде дивидендов по акциям акционерных обществ отражены сведения по доходам от прибыли 7-ми государственных унитарных предприятий.</w:t>
      </w:r>
    </w:p>
    <w:p w14:paraId="4FEB5F8B"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в расчетах с контрагентами отражены суммы без наименований контрагентов с отметкой «до выяснения».</w:t>
      </w:r>
    </w:p>
    <w:p w14:paraId="13BD2A25"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По отдельным контрагентам суммы о начислении, оплате и задолженности по неналоговым доходам, отраженные в оборотно-сальдовой ведомости, не соответствуют фактическим данным при их сличении с актами-сверок и договорами.</w:t>
      </w:r>
    </w:p>
    <w:p w14:paraId="5B068E54"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lastRenderedPageBreak/>
        <w:t>4)</w:t>
      </w:r>
      <w:r w:rsidRPr="00FD2249">
        <w:rPr>
          <w:rFonts w:ascii="Times New Roman" w:eastAsia="Times New Roman" w:hAnsi="Times New Roman" w:cs="Times New Roman"/>
          <w:color w:val="002060"/>
          <w:sz w:val="28"/>
          <w:szCs w:val="28"/>
          <w:lang w:eastAsia="ru-RU"/>
        </w:rPr>
        <w:t xml:space="preserve"> </w:t>
      </w:r>
      <w:r w:rsidRPr="00A922B4">
        <w:rPr>
          <w:rFonts w:ascii="Times New Roman" w:eastAsia="Times New Roman" w:hAnsi="Times New Roman" w:cs="Times New Roman"/>
          <w:sz w:val="28"/>
          <w:szCs w:val="28"/>
          <w:lang w:eastAsia="ru-RU"/>
        </w:rPr>
        <w:t xml:space="preserve">На 1 января 2022 года Минимуществом РД заключено 77 договоров о предоставлении в аренду объектов государственного </w:t>
      </w:r>
      <w:r w:rsidRPr="00A922B4">
        <w:rPr>
          <w:rFonts w:ascii="Times New Roman" w:eastAsia="Times New Roman" w:hAnsi="Times New Roman" w:cs="Times New Roman"/>
          <w:b/>
          <w:sz w:val="28"/>
          <w:szCs w:val="28"/>
          <w:lang w:eastAsia="ru-RU"/>
        </w:rPr>
        <w:t xml:space="preserve">нежилого фонда </w:t>
      </w:r>
      <w:r w:rsidRPr="00A922B4">
        <w:rPr>
          <w:rFonts w:ascii="Times New Roman" w:eastAsia="Times New Roman" w:hAnsi="Times New Roman" w:cs="Times New Roman"/>
          <w:sz w:val="28"/>
          <w:szCs w:val="28"/>
          <w:lang w:eastAsia="ru-RU"/>
        </w:rPr>
        <w:t>Республики Дагестан, общей площадью 47 900,3 кв. м.</w:t>
      </w:r>
    </w:p>
    <w:p w14:paraId="258F11E5" w14:textId="77777777" w:rsidR="00A922B4" w:rsidRPr="00A922B4" w:rsidRDefault="00A922B4" w:rsidP="006B71E3">
      <w:pPr>
        <w:tabs>
          <w:tab w:val="left" w:pos="255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2021 году расторгнуты 19 договоров аренды объектов нежилого фонда общей площадью 14 072,1 кв. м, из которых имущество по 2 договорам площадью 1 629,4 кв. м не возвращено собственнику.</w:t>
      </w:r>
    </w:p>
    <w:p w14:paraId="7CAE4ED0" w14:textId="77777777" w:rsidR="00A922B4" w:rsidRPr="00A922B4" w:rsidRDefault="00A922B4" w:rsidP="006B71E3">
      <w:pPr>
        <w:tabs>
          <w:tab w:val="left" w:pos="255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Не принимаются меры по своевременному перезаключению договоров аренды, по которым истекли сроки действия (за 2021 год – 7 договоров).</w:t>
      </w:r>
    </w:p>
    <w:p w14:paraId="46126C7C"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Не ведется учет договоров аренды нежилых помещений, предоставленных в аренду в бизнес-инкубаторах, а также в объектах, закрепленных за Постоянным представительством Республики Дагестан при Президенте Российской Федерации, при этом фактическая оплата отражается в оборотно-кассовой ведомости. За большинством арендаторов числится задолженность, не погашенная с 2015-2017 годов. </w:t>
      </w:r>
    </w:p>
    <w:p w14:paraId="4BD8B2AE"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Не проводится работа по анализу и пересмотру размеров арендной платы. При этом, согласно договору размер арендной платы может быть пересмотрен досрочно по требованию арендатора в случаях изменения цен и тарифов, экономических условий. В случае проведении указанной работы сумма арендной платы в текущем году может увеличится на 1 718,4 тыс. рублей.</w:t>
      </w:r>
    </w:p>
    <w:p w14:paraId="534B8AB0"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bCs/>
          <w:sz w:val="28"/>
          <w:szCs w:val="28"/>
          <w:lang w:eastAsia="ru-RU"/>
        </w:rPr>
      </w:pPr>
      <w:r w:rsidRPr="00A922B4">
        <w:rPr>
          <w:rFonts w:ascii="Times New Roman" w:eastAsia="Times New Roman" w:hAnsi="Times New Roman" w:cs="Times New Roman"/>
          <w:sz w:val="28"/>
          <w:szCs w:val="28"/>
          <w:lang w:eastAsia="ru-RU"/>
        </w:rPr>
        <w:t xml:space="preserve">Анализ стоимости 1 кв. м арендной платы в месяц на нежилые помещения, предоставленные в аренду под офисы, кафе, столовые, находящиеся центральных районах (престижных районах) города Махачкалы, показал, что оценка размера арендной платы низкая (от </w:t>
      </w:r>
      <w:r w:rsidRPr="00A922B4">
        <w:rPr>
          <w:rFonts w:ascii="Times New Roman" w:eastAsia="Times New Roman" w:hAnsi="Times New Roman" w:cs="Times New Roman"/>
          <w:bCs/>
          <w:sz w:val="28"/>
          <w:szCs w:val="28"/>
          <w:lang w:eastAsia="ru-RU"/>
        </w:rPr>
        <w:t>161,9 рублей – пр. Гамидова, дом № 14 до 208 рублей – ул. Даниялова, дом № 18)</w:t>
      </w:r>
      <w:r w:rsidRPr="00A922B4">
        <w:rPr>
          <w:rFonts w:ascii="Times New Roman" w:eastAsia="Times New Roman" w:hAnsi="Times New Roman" w:cs="Times New Roman"/>
          <w:sz w:val="28"/>
          <w:szCs w:val="28"/>
          <w:lang w:eastAsia="ru-RU"/>
        </w:rPr>
        <w:t xml:space="preserve">. Тогда как </w:t>
      </w:r>
      <w:r w:rsidRPr="00A922B4">
        <w:rPr>
          <w:rFonts w:ascii="Times New Roman" w:eastAsia="Times New Roman" w:hAnsi="Times New Roman" w:cs="Times New Roman"/>
          <w:bCs/>
          <w:sz w:val="28"/>
          <w:szCs w:val="28"/>
          <w:lang w:eastAsia="ru-RU"/>
        </w:rPr>
        <w:t xml:space="preserve">оценка арендной платы, определенная в отношении нежилых помещений, расположенных в других районах города Махачкалы, выше (от 237 рублей – ул. Гаджиева, дом № 160 до 382,5 рублей – ул. Ляхова, дом № 47). </w:t>
      </w:r>
    </w:p>
    <w:p w14:paraId="141454BC"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Анализ оборотно-сальдовой ведомости по платежам за нежилые помещения показал следующее:</w:t>
      </w:r>
    </w:p>
    <w:p w14:paraId="6B037F1E"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в ведомости содержатся сведения по 448 контрагентам, из которых по действующим договорам – только 73 контрагента, или 16,3 %. По остальным 375 контрагентам отражены сведения по: арендаторам земельных участков – 5 контрагентов; арендаторам помещений у балансодержателей (бизнес-инкубаторы, Постпредство Республики Дагестан при Президенте Российской Федерации и др.) – 29 контрагентов, к и арендаторам, за которыми числится задолженность прошлых лет – 341 контрагент;</w:t>
      </w:r>
    </w:p>
    <w:p w14:paraId="0030A567" w14:textId="77777777" w:rsidR="00A922B4" w:rsidRPr="00A922B4" w:rsidRDefault="00A922B4" w:rsidP="006B71E3">
      <w:pPr>
        <w:tabs>
          <w:tab w:val="left" w:pos="255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по 19 контрагентам (нежилого фонда) сумма начисленных платежей за 2021 год на 1 238,5 тыс. рублей ниже, чем определено в договорах аренды;</w:t>
      </w:r>
    </w:p>
    <w:p w14:paraId="65460B80" w14:textId="77777777" w:rsidR="00A922B4" w:rsidRPr="00A922B4" w:rsidRDefault="00A922B4" w:rsidP="006B71E3">
      <w:pPr>
        <w:tabs>
          <w:tab w:val="left" w:pos="255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отсутствуют сведения на арендатора Багаутдинова М.А., которому по договору от 12 января 2015 года № 12 переданы в аренду нежилые помещения площадью 2 442,5 кв. м, расположенные в с. Башлыкент Каякентского района;</w:t>
      </w:r>
    </w:p>
    <w:p w14:paraId="4B341859" w14:textId="77777777" w:rsidR="00A922B4" w:rsidRPr="00A922B4" w:rsidRDefault="00A922B4" w:rsidP="006B71E3">
      <w:pPr>
        <w:tabs>
          <w:tab w:val="left" w:pos="255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за 2021 год не произведено начисление арендной платы ИП Гасанову М.Г.-Г. в сумме 580,6 тыс. рублей (договор от 27 апреля 2015 года № 41).</w:t>
      </w:r>
    </w:p>
    <w:p w14:paraId="2896F74F"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За 2021 год по договорам аренды начислено 41 180,1 тыс. рублей, при этом арендаторами фактически и оплачено 71 853,8 тыс. рублей, или больше на 30 673,7 тыс. рублей.</w:t>
      </w:r>
    </w:p>
    <w:p w14:paraId="429A5788"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На 1 января 2022 года, с учетом претензионной работы и решений арбитражных судов, задолженность за аренду объектов нежилого фонда, составляет 327 831,9 рублей, из которых 195 078,0 млн рублей – задолженность за ООО «Газпром газораспределение Дагестан».</w:t>
      </w:r>
    </w:p>
    <w:p w14:paraId="361CE156" w14:textId="4FF8DDFE"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Задолженность аренду объектов государственного нежилого фонда</w:t>
      </w:r>
      <w:r w:rsidRPr="00A922B4">
        <w:rPr>
          <w:rFonts w:ascii="Times New Roman" w:eastAsia="Times New Roman" w:hAnsi="Times New Roman" w:cs="Times New Roman"/>
          <w:b/>
          <w:sz w:val="28"/>
          <w:szCs w:val="28"/>
          <w:lang w:eastAsia="ru-RU"/>
        </w:rPr>
        <w:t xml:space="preserve"> </w:t>
      </w:r>
      <w:r w:rsidRPr="00A922B4">
        <w:rPr>
          <w:rFonts w:ascii="Times New Roman" w:eastAsia="Times New Roman" w:hAnsi="Times New Roman" w:cs="Times New Roman"/>
          <w:sz w:val="28"/>
          <w:szCs w:val="28"/>
          <w:lang w:eastAsia="ru-RU"/>
        </w:rPr>
        <w:t xml:space="preserve">числится за 292 арендаторами, из которых наиболее крупная задолженность (более 300 тыс. рублей) числится за 50 арендаторами, из них более чем 1 млн рублей – за 14 арендаторами (в том числе: </w:t>
      </w:r>
      <w:r w:rsidRPr="00A922B4">
        <w:rPr>
          <w:rFonts w:ascii="Times New Roman" w:eastAsia="Times New Roman" w:hAnsi="Times New Roman" w:cs="Times New Roman"/>
          <w:bCs/>
          <w:sz w:val="28"/>
          <w:szCs w:val="28"/>
          <w:lang w:eastAsia="ru-RU"/>
        </w:rPr>
        <w:t>195 078,0</w:t>
      </w:r>
      <w:r w:rsidRPr="00A922B4">
        <w:rPr>
          <w:rFonts w:ascii="Times New Roman" w:eastAsia="Times New Roman" w:hAnsi="Times New Roman" w:cs="Times New Roman"/>
          <w:sz w:val="28"/>
          <w:szCs w:val="28"/>
          <w:lang w:eastAsia="ru-RU"/>
        </w:rPr>
        <w:t xml:space="preserve"> тыс. рублей  – за ООО «Газпром газораспределение Дагестан», 59 012,5 тыс. рублей – за ООО «Агро-Инвест», 24 114,0 тыс. рублей – за АО «Авиакомпания «KazAirTrans»,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16 461,9 тыс. рублей – за ООО «Абам» и др.).</w:t>
      </w:r>
    </w:p>
    <w:p w14:paraId="0CFD6D6C" w14:textId="196947A5"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За 2021 год в адрес арендаторов объектов нежилого фонда направлены 9 претензий и 13 исков в суды о взыскании задолженности в сумме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29 495,4 тыс. рублей, из которых приняты только 8 положительных судебных решений на сумму 925,7 тыс. рублей.</w:t>
      </w:r>
    </w:p>
    <w:p w14:paraId="715B7F27" w14:textId="54072AE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Согласно условиям договоров аренды (подпункт 4.2.1) за несвоевременное внесение арендной платы начисляется пеня в размере 0,1 % за каждый день просрочки. Однако, начисление пени используется только при составлении исковых заявлений в Арбитражный суд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w:t>
      </w:r>
    </w:p>
    <w:p w14:paraId="5E2A00D7" w14:textId="23717998"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Применение указанной меры приведет не только обеспечению своевременной уплаты арендных платежей, но также к увеличению доходов республиканского бюджета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ежегодно более чем на 36,0 млн. рублей (без учета задолженности за аренду объектов газовых сетей).</w:t>
      </w:r>
    </w:p>
    <w:p w14:paraId="0C6F13BF"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При этом следует отметить, что в информационной системе «Барс-договора» предусмотрена возможность расчета </w:t>
      </w:r>
      <w:r w:rsidRPr="00A922B4">
        <w:rPr>
          <w:rFonts w:ascii="Times New Roman" w:eastAsia="Times New Roman" w:hAnsi="Times New Roman" w:cs="Times New Roman"/>
          <w:sz w:val="28"/>
          <w:szCs w:val="28"/>
          <w:shd w:val="clear" w:color="auto" w:fill="FBFBFB"/>
          <w:lang w:eastAsia="ru-RU"/>
        </w:rPr>
        <w:t xml:space="preserve">и </w:t>
      </w:r>
      <w:r w:rsidRPr="00A922B4">
        <w:rPr>
          <w:rFonts w:ascii="Times New Roman" w:eastAsia="Times New Roman" w:hAnsi="Times New Roman" w:cs="Times New Roman"/>
          <w:sz w:val="28"/>
          <w:szCs w:val="28"/>
          <w:lang w:eastAsia="ru-RU"/>
        </w:rPr>
        <w:t xml:space="preserve">начисления пеней за несвоевременное внесение платежей. </w:t>
      </w:r>
    </w:p>
    <w:p w14:paraId="1C553F7C"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результате несвоевременного принятия претензионных мер по взысканию задолженности на 1 января 2022 года за 23 ликвидированными контрагентами числится непогашенная задолженность в сумме 4 210,4 тыс. рублей.</w:t>
      </w:r>
    </w:p>
    <w:p w14:paraId="0D713B43" w14:textId="210BDDDE"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ходе контрольного мероприятия выявлен ряд нарушений и недостатков, свидетельствующие о неэффективном использовании объектов нежилого фонда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w:t>
      </w:r>
    </w:p>
    <w:p w14:paraId="4BFB2A31" w14:textId="76EE4DC5"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Неэффективно используются объекты недвижимого имущества, находящиеся в казне Республики Дагестан. Так, на 1 января 2022 года, из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 xml:space="preserve">519 объектов имущества общей площадью 266,5 тыс. кв. м, в аренду предоставлены только 72 объекта общей площадью 62,0 тыс. кв. м, что составляет 13,9 % от общего количества объектов и 23,4 % от общей площади. </w:t>
      </w:r>
    </w:p>
    <w:p w14:paraId="7D8E841F"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bCs/>
          <w:sz w:val="28"/>
          <w:szCs w:val="28"/>
          <w:lang w:eastAsia="ru-RU"/>
        </w:rPr>
      </w:pPr>
      <w:r w:rsidRPr="00A922B4">
        <w:rPr>
          <w:rFonts w:ascii="Times New Roman" w:eastAsia="Times New Roman" w:hAnsi="Times New Roman" w:cs="Times New Roman"/>
          <w:bCs/>
          <w:sz w:val="28"/>
          <w:szCs w:val="28"/>
          <w:lang w:eastAsia="ru-RU"/>
        </w:rPr>
        <w:t xml:space="preserve">В ходе проверки проведено визуальное обследование 19 объектов нежилого фонда </w:t>
      </w:r>
      <w:r w:rsidRPr="00A922B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bCs/>
          <w:sz w:val="28"/>
          <w:szCs w:val="28"/>
          <w:lang w:eastAsia="ru-RU"/>
        </w:rPr>
        <w:t xml:space="preserve">, по результатам которого выявлены ряд нарушений и недостатков, свидетельствующие о неэффективном </w:t>
      </w:r>
      <w:r w:rsidRPr="00A922B4">
        <w:rPr>
          <w:rFonts w:ascii="Times New Roman" w:eastAsia="Times New Roman" w:hAnsi="Times New Roman" w:cs="Times New Roman"/>
          <w:bCs/>
          <w:sz w:val="28"/>
          <w:szCs w:val="28"/>
          <w:lang w:eastAsia="ru-RU"/>
        </w:rPr>
        <w:lastRenderedPageBreak/>
        <w:t xml:space="preserve">использовании государственного имущества </w:t>
      </w:r>
      <w:r w:rsidRPr="00A922B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bCs/>
          <w:sz w:val="28"/>
          <w:szCs w:val="28"/>
          <w:lang w:eastAsia="ru-RU"/>
        </w:rPr>
        <w:t>, в частности:</w:t>
      </w:r>
    </w:p>
    <w:p w14:paraId="5F6F8FCC"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отдельные административные здания, нежилые помещения на протяжении ряда лет не используются (объекты, расположенные в </w:t>
      </w:r>
      <w:r w:rsidRPr="00A922B4">
        <w:rPr>
          <w:rFonts w:ascii="Times New Roman" w:eastAsia="Times New Roman" w:hAnsi="Times New Roman" w:cs="Times New Roman"/>
          <w:sz w:val="28"/>
          <w:szCs w:val="28"/>
          <w:lang w:eastAsia="ru-RU"/>
        </w:rPr>
        <w:br/>
        <w:t xml:space="preserve">г. Махачкала по адресу: ул. Даниялова,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26 – 432,9 кв. м; ул. Даниялова, </w:t>
      </w:r>
      <w:r w:rsidRPr="00A922B4">
        <w:rPr>
          <w:rFonts w:ascii="Times New Roman" w:eastAsia="Times New Roman" w:hAnsi="Times New Roman" w:cs="Times New Roman"/>
          <w:bCs/>
          <w:sz w:val="28"/>
          <w:szCs w:val="28"/>
          <w:lang w:eastAsia="ru-RU"/>
        </w:rPr>
        <w:t xml:space="preserve">дом </w:t>
      </w:r>
      <w:r w:rsidRPr="00A922B4">
        <w:rPr>
          <w:rFonts w:ascii="Times New Roman" w:eastAsia="Times New Roman" w:hAnsi="Times New Roman" w:cs="Times New Roman"/>
          <w:sz w:val="28"/>
          <w:szCs w:val="28"/>
          <w:lang w:eastAsia="ru-RU"/>
        </w:rPr>
        <w:t>№ 23 – 673,9 кв. м; ул. Пушкина, дом № 6 – 802,3 кв. м);</w:t>
      </w:r>
    </w:p>
    <w:p w14:paraId="55EC6CBC"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объект нежилого фонда, расположенный по адресу: г. Махачкала, </w:t>
      </w:r>
      <w:r w:rsidRPr="00A922B4">
        <w:rPr>
          <w:rFonts w:ascii="Times New Roman" w:eastAsia="Times New Roman" w:hAnsi="Times New Roman" w:cs="Times New Roman"/>
          <w:sz w:val="28"/>
          <w:szCs w:val="28"/>
          <w:lang w:eastAsia="ru-RU"/>
        </w:rPr>
        <w:br/>
        <w:t xml:space="preserve">ул. Ярагского,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98 (литера «А» и «Ж»), общей площадью 426,1 кв. м, переданные в аренду ООО «Фортуна-Альфа» для использования под уставную деятельность, которые фактически используются под кафе и коммерческий офис. Задолженность за арендатором составляет 1 360,1 тыс. рублей;</w:t>
      </w:r>
    </w:p>
    <w:p w14:paraId="6A144A27"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объект нежилого фонда, расположенный по адресу: г. Махачкала, ул. пр. Шамиля,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56, площадью 58,7 кв. м (ГБОУ СПО РД «Дагестанский базовый медицинский колледж им. Р.П. Аскерханова»), переданный в аренду ИП Сурхаевой С.М. для использования под предпринимательскую деятельность, фактически используется под буфет, при этом арендатором не вносится арендная плата;</w:t>
      </w:r>
    </w:p>
    <w:p w14:paraId="276D9C8D"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нежилое помещение общей площадью 24 кв. м (г. Махачкала, </w:t>
      </w:r>
      <w:r w:rsidRPr="00A922B4">
        <w:rPr>
          <w:rFonts w:ascii="Times New Roman" w:eastAsia="Times New Roman" w:hAnsi="Times New Roman" w:cs="Times New Roman"/>
          <w:sz w:val="28"/>
          <w:szCs w:val="28"/>
          <w:lang w:eastAsia="ru-RU"/>
        </w:rPr>
        <w:br/>
        <w:t xml:space="preserve">ул. Даниялова,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23), переданный в аренду под офисное помещение фактически используется под магазин по продаже телефонных аксессуаров «RU.STORE». Имеется решение суда о расторжении договора и возврате объекта. Однако задолженность не погашена, и арендатор продолжает пользоваться помещением;</w:t>
      </w:r>
    </w:p>
    <w:p w14:paraId="331B93A8"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до настоящего времени не завершены судебные разбирательства по незаконному использованию помещений гостиницы «Дагестан» филиалом ФГБОУ ВПО «Ростовский государственный экономический университет (РИНХ)»;</w:t>
      </w:r>
    </w:p>
    <w:p w14:paraId="43FC63FB"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из 14 объектов имущества (г. Махачкала, ул. Г. Цадасы,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51), переданных в безвозмездное пользование Образовательному учреждению высшего образования «Дагестанский гуманитарный институт», фактически используется только один объект – учебный корпус. Остальные помещения находятся полуразрушенном состоянии, не пригодны для использования;</w:t>
      </w:r>
    </w:p>
    <w:p w14:paraId="449466C1"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объект нежилого фонда, расположенный по адресу: г. Хасавюрт, Батаюртовское шоссе,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28, площадью 15 289,1 кв. м, на которое отсутствует обременение, незаконно используется сторонними лицами; </w:t>
      </w:r>
    </w:p>
    <w:p w14:paraId="0C36DA66"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объект нежилого фонда, расположенный по адресу: с. Гоцатль, площадью 1 850,8 кв. м с земельным участком площадью 21 164,8 кв. м, на которое отсутствует обременение, фактически используется неизвестными лицами под производство консервной продукции;</w:t>
      </w:r>
    </w:p>
    <w:p w14:paraId="2F653E31"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-нежилое помещение площадью 448 кв. м (г. Махачкала, </w:t>
      </w:r>
      <w:r w:rsidRPr="00A922B4">
        <w:rPr>
          <w:rFonts w:ascii="Times New Roman" w:eastAsia="Times New Roman" w:hAnsi="Times New Roman" w:cs="Times New Roman"/>
          <w:sz w:val="28"/>
          <w:szCs w:val="28"/>
          <w:lang w:eastAsia="ru-RU"/>
        </w:rPr>
        <w:br/>
        <w:t xml:space="preserve">ул. М. Гаджиева,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160), переданное в аренду ООО «Аминат-С» частично (80 кв. м) без согласия собственника сдается в субаренду третьим лицам (в помещении расположена аптека), оставшаяся часть помещения (более 350 кв. м) арендатором не используется; </w:t>
      </w:r>
    </w:p>
    <w:p w14:paraId="5A0FAE0C"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 xml:space="preserve">- объект нежилого фонда, расположенный по адресу: г. Махачкала, </w:t>
      </w:r>
      <w:r w:rsidRPr="00A922B4">
        <w:rPr>
          <w:rFonts w:ascii="Times New Roman" w:eastAsia="Times New Roman" w:hAnsi="Times New Roman" w:cs="Times New Roman"/>
          <w:sz w:val="28"/>
          <w:szCs w:val="28"/>
          <w:lang w:eastAsia="ru-RU"/>
        </w:rPr>
        <w:br/>
        <w:t xml:space="preserve">ул. М. Гаджиева,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160, площадью 448 кв. м, переданный в аренду </w:t>
      </w:r>
      <w:r w:rsidRPr="00A922B4">
        <w:rPr>
          <w:rFonts w:ascii="Times New Roman" w:eastAsia="Times New Roman" w:hAnsi="Times New Roman" w:cs="Times New Roman"/>
          <w:sz w:val="28"/>
          <w:szCs w:val="28"/>
          <w:lang w:eastAsia="ru-RU"/>
        </w:rPr>
        <w:br/>
        <w:t xml:space="preserve">ООО «Аминат-С» для использования под производство и реализацию товаров народного потребления, фактически часть помещения без соответствующего согласия собственника передано в субаренду третьим лицам (помещение используется под аптеку), другая часть помещения (более 350 кв. м) не используется; </w:t>
      </w:r>
    </w:p>
    <w:p w14:paraId="2694F0CE" w14:textId="539BC924"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здание пекарни площадью 442,7 кв. м (г. Махачкала, ул. Шамиля, </w:t>
      </w:r>
      <w:r w:rsidRPr="00A922B4">
        <w:rPr>
          <w:rFonts w:ascii="Times New Roman" w:eastAsia="Times New Roman" w:hAnsi="Times New Roman" w:cs="Times New Roman"/>
          <w:bCs/>
          <w:sz w:val="28"/>
          <w:szCs w:val="28"/>
          <w:lang w:eastAsia="ru-RU"/>
        </w:rPr>
        <w:t>дом</w:t>
      </w:r>
      <w:r w:rsidR="005B21C7" w:rsidRPr="006B71E3">
        <w:rPr>
          <w:rFonts w:ascii="Times New Roman" w:eastAsia="Times New Roman" w:hAnsi="Times New Roman" w:cs="Times New Roman"/>
          <w:bCs/>
          <w:sz w:val="28"/>
          <w:szCs w:val="28"/>
          <w:lang w:eastAsia="ru-RU"/>
        </w:rPr>
        <w:t xml:space="preserve"> </w:t>
      </w:r>
      <w:r w:rsidRPr="00A922B4">
        <w:rPr>
          <w:rFonts w:ascii="Times New Roman" w:eastAsia="Times New Roman" w:hAnsi="Times New Roman" w:cs="Times New Roman"/>
          <w:sz w:val="28"/>
          <w:szCs w:val="28"/>
          <w:lang w:eastAsia="ru-RU"/>
        </w:rPr>
        <w:t xml:space="preserve">№ 95), переданный в аренду ООО «Золотая НИВА» для использования в производственных целях, фактически используется под коммерческие цели (аптека, фруктовый магазин, магазин розничной продажи мясной продукции и др.); </w:t>
      </w:r>
    </w:p>
    <w:p w14:paraId="3AE6DEA3"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железнодорожная ветка протяженностью 450,0 погонных метров (Карабудахкентский район, сел. Манас), переданная в аренду Амиралиеву И.К., фактически не используется и находится в заброшенном состоянии и непригодном для использования;</w:t>
      </w:r>
    </w:p>
    <w:p w14:paraId="45F7D7D9"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объекты недвижимого имущества, расположенные в г. Дагестанские Огни, пр. Сталина, </w:t>
      </w:r>
      <w:r w:rsidRPr="00A922B4">
        <w:rPr>
          <w:rFonts w:ascii="Times New Roman" w:eastAsia="Times New Roman" w:hAnsi="Times New Roman" w:cs="Times New Roman"/>
          <w:bCs/>
          <w:sz w:val="28"/>
          <w:szCs w:val="28"/>
          <w:lang w:eastAsia="ru-RU"/>
        </w:rPr>
        <w:t>дом</w:t>
      </w:r>
      <w:r w:rsidRPr="00A922B4">
        <w:rPr>
          <w:rFonts w:ascii="Times New Roman" w:eastAsia="Times New Roman" w:hAnsi="Times New Roman" w:cs="Times New Roman"/>
          <w:sz w:val="28"/>
          <w:szCs w:val="28"/>
          <w:lang w:eastAsia="ru-RU"/>
        </w:rPr>
        <w:t xml:space="preserve"> № 73, на которые отсутствует обременение, находятся в крайне неудовлетворительном состоянии, заброшены, разрушаются и непригодны для использования;</w:t>
      </w:r>
    </w:p>
    <w:p w14:paraId="5020885B" w14:textId="2F2A6DB0"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объект нежилого фонда, расположенный по адресу: г. Махачкала,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ул. Абубакарова, дом № 73, площадью 40,8 кв. м, незаконно используется третьими лицами под ресторан «на Лермонтова».</w:t>
      </w:r>
    </w:p>
    <w:p w14:paraId="0B1BF3D0" w14:textId="77777777" w:rsidR="00A922B4" w:rsidRPr="00A922B4" w:rsidRDefault="00A922B4" w:rsidP="006B71E3">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5)</w:t>
      </w:r>
      <w:r w:rsidRPr="00A922B4">
        <w:rPr>
          <w:rFonts w:ascii="Times New Roman" w:eastAsia="Times New Roman" w:hAnsi="Times New Roman" w:cs="Times New Roman"/>
          <w:sz w:val="28"/>
          <w:szCs w:val="28"/>
          <w:lang w:eastAsia="ru-RU"/>
        </w:rPr>
        <w:t xml:space="preserve"> В Реестре государственного имущества Республики Дагестан значатся одно воздушное судно типа ТУ-154М с бортовым номером RА-85828 и два воздушных судна ТУ-134Б с бортовыми номерами RА-65569, RА-65579, балансовой стоимостью 319 322,0 тыс. рублей).</w:t>
      </w:r>
    </w:p>
    <w:p w14:paraId="4A65237E" w14:textId="48368D0D"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2021 году два воздушных судна ТУ-154М с бортовыми номерами RА-85756, RА-85840 исключены из реестра гражданских воздушных судов (материалы направлены в Росавиацию). Распоряжением Правительства Р</w:t>
      </w:r>
      <w:r w:rsidR="00D14C7B">
        <w:rPr>
          <w:rFonts w:ascii="Times New Roman" w:eastAsia="Times New Roman" w:hAnsi="Times New Roman" w:cs="Times New Roman"/>
          <w:sz w:val="28"/>
          <w:szCs w:val="28"/>
          <w:lang w:eastAsia="ru-RU"/>
        </w:rPr>
        <w:t xml:space="preserve">еспублики </w:t>
      </w:r>
      <w:r w:rsidRPr="00A922B4">
        <w:rPr>
          <w:rFonts w:ascii="Times New Roman" w:eastAsia="Times New Roman" w:hAnsi="Times New Roman" w:cs="Times New Roman"/>
          <w:sz w:val="28"/>
          <w:szCs w:val="28"/>
          <w:lang w:eastAsia="ru-RU"/>
        </w:rPr>
        <w:t>Д</w:t>
      </w:r>
      <w:r w:rsidR="00D14C7B">
        <w:rPr>
          <w:rFonts w:ascii="Times New Roman" w:eastAsia="Times New Roman" w:hAnsi="Times New Roman" w:cs="Times New Roman"/>
          <w:sz w:val="28"/>
          <w:szCs w:val="28"/>
          <w:lang w:eastAsia="ru-RU"/>
        </w:rPr>
        <w:t>агестан</w:t>
      </w:r>
      <w:r w:rsidRPr="00A922B4">
        <w:rPr>
          <w:rFonts w:ascii="Times New Roman" w:eastAsia="Times New Roman" w:hAnsi="Times New Roman" w:cs="Times New Roman"/>
          <w:sz w:val="28"/>
          <w:szCs w:val="28"/>
          <w:lang w:eastAsia="ru-RU"/>
        </w:rPr>
        <w:t xml:space="preserve"> от 13 декабря 2021 г. № 452-р воздушные суда переданы МО «город Дербент».</w:t>
      </w:r>
    </w:p>
    <w:p w14:paraId="250F63B4" w14:textId="6FCDF4ED"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Распоряжением Правительства Республики Дагестан от 18 января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 xml:space="preserve">2016 года фюзеляж воздушного судна ТУ-134Б с бортовым номером RА-65579, установлен на постамент в аэропорту г. Махачкалы и закреплен на праве безвозмездного пользования за АО «Международный аэропорт «Махачкала».  </w:t>
      </w:r>
    </w:p>
    <w:p w14:paraId="5A70BC71" w14:textId="77777777"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Воздушное судно ТУ-134Б с бортовым номером RА-65569, в связи неоплатой арендатором выполненных работ по программе продления ресурса и календарного срока службы находится в аэропорту </w:t>
      </w:r>
      <w:r w:rsidRPr="00A922B4">
        <w:rPr>
          <w:rFonts w:ascii="Times New Roman" w:eastAsia="Times New Roman" w:hAnsi="Times New Roman" w:cs="Times New Roman"/>
          <w:sz w:val="28"/>
          <w:szCs w:val="28"/>
          <w:lang w:eastAsia="ru-RU"/>
        </w:rPr>
        <w:br/>
        <w:t>г. Минеральные Воды с 2011 года по настоящее время в неисправном состоянии.</w:t>
      </w:r>
    </w:p>
    <w:p w14:paraId="31FA22E7" w14:textId="66672AC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Воздушное судно ТУ-154М с бортовым номером RА-85828, которое было предоставлено в аренду АО «Авиакомпания «KazAirTrans» (договор от </w:t>
      </w:r>
      <w:r w:rsidRPr="00A922B4">
        <w:rPr>
          <w:rFonts w:ascii="Times New Roman" w:eastAsia="Times New Roman" w:hAnsi="Times New Roman" w:cs="Times New Roman"/>
          <w:sz w:val="28"/>
          <w:szCs w:val="28"/>
          <w:lang w:eastAsia="ru-RU"/>
        </w:rPr>
        <w:lastRenderedPageBreak/>
        <w:t xml:space="preserve">15 ноября 2012 года № 1), по акту Комиссии Минимущества РД по проведению фактической инвентаризации объектов недвижимого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(2018 год) воздушное судно находится в аэропорту г. Бишкек Республика Киргизия в технически неисправном состоянии. По состоянию на 1 января 2022 года задолженность по судебным решениям за АО «Авиакомпания «KazAirTrans» составляет 24 694,0 тыс. рублей (кроме того, пеня – 689,7 тыс. рублей). </w:t>
      </w:r>
    </w:p>
    <w:p w14:paraId="6419C850" w14:textId="77777777"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6)</w:t>
      </w:r>
      <w:r w:rsidRPr="00FD2249">
        <w:rPr>
          <w:rFonts w:ascii="Times New Roman" w:eastAsia="Times New Roman" w:hAnsi="Times New Roman" w:cs="Times New Roman"/>
          <w:color w:val="002060"/>
          <w:sz w:val="28"/>
          <w:szCs w:val="28"/>
          <w:lang w:eastAsia="ru-RU"/>
        </w:rPr>
        <w:t xml:space="preserve">  </w:t>
      </w:r>
      <w:r w:rsidRPr="00A922B4">
        <w:rPr>
          <w:rFonts w:ascii="Times New Roman" w:eastAsia="Times New Roman" w:hAnsi="Times New Roman" w:cs="Times New Roman"/>
          <w:sz w:val="28"/>
          <w:szCs w:val="28"/>
          <w:lang w:eastAsia="ru-RU"/>
        </w:rPr>
        <w:t xml:space="preserve">На 1 января 2021 года в Реестре государственного имущества Республики Дагестан учтено 829 объектов газораспределительной системы общей протяженностью 7 717,4 км. </w:t>
      </w:r>
    </w:p>
    <w:p w14:paraId="4C26A171" w14:textId="4B3A13B2"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договору аренды от 22 июля 2014 года № 4 газопроводы протяженностью 6 398,03 км были переданы в аренду ООО «Газпром газораспределение Дагестан», с годовой арендной платой в сумме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 xml:space="preserve">312 942,3 тыс. рублей. В связи с тем, что срок действия договора истек, и договор не пролонгирован, начисление арендных платежей с 2017 года производилось по их фактическому использованию на основании судебных решений (исполнительных листов, направляемых в Управление Федеральной службы судебных приставов по Республики Дагестан). </w:t>
      </w:r>
    </w:p>
    <w:p w14:paraId="010C59FA" w14:textId="730E4A65"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решениям Арбитражного суда Республики Дагестан от 14 июля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 xml:space="preserve">2020 года № А15-4849/2019, от 4 июня 2020 года № А15-530/2019, от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 xml:space="preserve">28 сентября 2020 года № А15-448/2020 и от 30 сентября 2020 года № А15-6232/2019 удовлетворены исковые требования на общую сумму 683 272,0 тыс. рублей. </w:t>
      </w:r>
    </w:p>
    <w:p w14:paraId="51E46AD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отношении взыскания остальной суммы задолженности за аренду газовых сетей постановлением Арбитражного суда кассационной инстанции от 24 июня 2021 года отменены ранее принятые решения Арбитражного суда Республики Дагестан в связи с тем, что договор аренды объектов газораспределения от 22 июля 2014 года № 4 является не действующим.</w:t>
      </w:r>
    </w:p>
    <w:p w14:paraId="42E39B97" w14:textId="06490559"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С учетом ранее внесенной оплаты, остаток задолженности по исполнительным производствам на 1 января 2022 года составляет 195,1 млн рублей. В целях реструктуризации указанной задолженности заключены </w:t>
      </w:r>
      <w:r w:rsidR="00D14C7B">
        <w:rPr>
          <w:rFonts w:ascii="Times New Roman" w:eastAsia="Times New Roman" w:hAnsi="Times New Roman" w:cs="Times New Roman"/>
          <w:sz w:val="28"/>
          <w:szCs w:val="28"/>
          <w:lang w:eastAsia="ru-RU"/>
        </w:rPr>
        <w:br/>
      </w:r>
      <w:r w:rsidRPr="00A922B4">
        <w:rPr>
          <w:rFonts w:ascii="Times New Roman" w:eastAsia="Times New Roman" w:hAnsi="Times New Roman" w:cs="Times New Roman"/>
          <w:sz w:val="28"/>
          <w:szCs w:val="28"/>
          <w:lang w:eastAsia="ru-RU"/>
        </w:rPr>
        <w:t>4 мировых соглашений от 17 января 2022 года.</w:t>
      </w:r>
    </w:p>
    <w:p w14:paraId="30D4BADC"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декабре 2021 года с ООО «Газпром газораспределение Дагестан» заключен договор (от 8 декабря 2021 года № 10/06-33/21-526) о передаче в аренду объектов газораспределительных сетей протяженностью 4 629,3 км, сроком на 11 месяцев с арендной платой 127 926,2 тыс. рублей. </w:t>
      </w:r>
    </w:p>
    <w:p w14:paraId="6C115CF1" w14:textId="77777777" w:rsidR="00A922B4" w:rsidRPr="00FD2249"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7)</w:t>
      </w:r>
      <w:r w:rsidRPr="00A922B4">
        <w:rPr>
          <w:rFonts w:ascii="Times New Roman" w:eastAsia="Times New Roman" w:hAnsi="Times New Roman" w:cs="Times New Roman"/>
          <w:sz w:val="28"/>
          <w:szCs w:val="28"/>
          <w:lang w:eastAsia="ru-RU"/>
        </w:rPr>
        <w:t xml:space="preserve"> Анализ соблюдения законодательства в части целевого и эффективного использования земельных ресурсов и обеспечения полноты поступления в республиканский бюджет Республики Дагестан доходов от </w:t>
      </w:r>
      <w:r w:rsidRPr="00FD2249">
        <w:rPr>
          <w:rFonts w:ascii="Times New Roman" w:eastAsia="Times New Roman" w:hAnsi="Times New Roman" w:cs="Times New Roman"/>
          <w:sz w:val="28"/>
          <w:szCs w:val="28"/>
          <w:lang w:eastAsia="ru-RU"/>
        </w:rPr>
        <w:t>использования земельных участков показал следующее.</w:t>
      </w:r>
    </w:p>
    <w:p w14:paraId="71276D4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sz w:val="28"/>
          <w:szCs w:val="28"/>
          <w:lang w:eastAsia="ru-RU"/>
        </w:rPr>
        <w:t>На 1 января 2022 года общее количество</w:t>
      </w:r>
      <w:r w:rsidRPr="00A922B4">
        <w:rPr>
          <w:rFonts w:ascii="Times New Roman" w:eastAsia="Times New Roman" w:hAnsi="Times New Roman" w:cs="Times New Roman"/>
          <w:sz w:val="28"/>
          <w:szCs w:val="28"/>
          <w:lang w:eastAsia="ru-RU"/>
        </w:rPr>
        <w:t xml:space="preserve"> земельных участков, включенное в Реестр государственной имущества Республики Дагестан, составляет 5 133 земельных участков общей площадью 1 858,2 тыс. га, в том числе: </w:t>
      </w:r>
    </w:p>
    <w:p w14:paraId="10983402"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 xml:space="preserve">- земли сельскохозяйственного назначения – 1843,1 тыс. га (из них земли отгонного животноводства – 1 666,7 тыс. га, из них скотопрогоны – 126,3 тыс. га); </w:t>
      </w:r>
    </w:p>
    <w:p w14:paraId="3A0FE3E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земли населенных пунктов (поселений) – 5,5 тыс. га; земли промышленности– 3,6 тыс. га; земли особо охраняемых территорий – 2,5 тыс. га;</w:t>
      </w:r>
    </w:p>
    <w:p w14:paraId="0EA6F115"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земли лесного фонда – 0,02 тыс. га; </w:t>
      </w:r>
    </w:p>
    <w:p w14:paraId="357B7624"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земли запаса – 1,14 ты. га; </w:t>
      </w:r>
    </w:p>
    <w:p w14:paraId="5C700FCE"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земли, категория на которые не установлена – 1,4 тыс. га.</w:t>
      </w:r>
    </w:p>
    <w:p w14:paraId="521B2BAD" w14:textId="36AC198F"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Проверка показала, что в Реестр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не внесены сведения по 17 земельным участкам площадью 17 га.</w:t>
      </w:r>
    </w:p>
    <w:p w14:paraId="77675D84" w14:textId="2D8A1C6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Государственная регистрация права собственности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осуществлена на 5 089 земельных участка, или 99,1 % от общего количества (5 133).</w:t>
      </w:r>
    </w:p>
    <w:p w14:paraId="537B90B4" w14:textId="438E73CE" w:rsidR="00A922B4" w:rsidRPr="00A922B4" w:rsidRDefault="00A922B4" w:rsidP="006B71E3">
      <w:pPr>
        <w:spacing w:after="0" w:line="240" w:lineRule="auto"/>
        <w:ind w:firstLine="709"/>
        <w:jc w:val="both"/>
        <w:rPr>
          <w:rFonts w:ascii="Times New Roman" w:eastAsia="Calibri" w:hAnsi="Times New Roman" w:cs="Times New Roman"/>
          <w:sz w:val="28"/>
          <w:szCs w:val="28"/>
        </w:rPr>
      </w:pPr>
      <w:r w:rsidRPr="00A922B4">
        <w:rPr>
          <w:rFonts w:ascii="Times New Roman" w:eastAsia="Calibri" w:hAnsi="Times New Roman" w:cs="Times New Roman"/>
          <w:sz w:val="28"/>
          <w:szCs w:val="28"/>
        </w:rPr>
        <w:t xml:space="preserve">В 2021 году ГБУ РД «Дагтехкадастр» проведена инвентаризация </w:t>
      </w:r>
      <w:r w:rsidR="00D14C7B">
        <w:rPr>
          <w:rFonts w:ascii="Times New Roman" w:eastAsia="Calibri" w:hAnsi="Times New Roman" w:cs="Times New Roman"/>
          <w:sz w:val="28"/>
          <w:szCs w:val="28"/>
        </w:rPr>
        <w:br/>
      </w:r>
      <w:r w:rsidRPr="00A922B4">
        <w:rPr>
          <w:rFonts w:ascii="Times New Roman" w:eastAsia="Calibri" w:hAnsi="Times New Roman" w:cs="Times New Roman"/>
          <w:sz w:val="28"/>
          <w:szCs w:val="28"/>
        </w:rPr>
        <w:t xml:space="preserve">4 000 земельных участков, находящихся в государственной собственности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Calibri" w:hAnsi="Times New Roman" w:cs="Times New Roman"/>
          <w:sz w:val="28"/>
          <w:szCs w:val="28"/>
        </w:rPr>
        <w:t xml:space="preserve">. </w:t>
      </w:r>
    </w:p>
    <w:p w14:paraId="466B3E0E" w14:textId="77777777" w:rsidR="00A922B4" w:rsidRPr="00A922B4" w:rsidRDefault="00A922B4" w:rsidP="006B71E3">
      <w:pPr>
        <w:spacing w:after="0" w:line="240" w:lineRule="auto"/>
        <w:ind w:firstLine="709"/>
        <w:jc w:val="both"/>
        <w:rPr>
          <w:rFonts w:ascii="Times New Roman" w:eastAsia="Calibri" w:hAnsi="Times New Roman" w:cs="Times New Roman"/>
          <w:sz w:val="28"/>
          <w:szCs w:val="28"/>
        </w:rPr>
      </w:pPr>
      <w:r w:rsidRPr="00A922B4">
        <w:rPr>
          <w:rFonts w:ascii="Times New Roman" w:eastAsia="Calibri" w:hAnsi="Times New Roman" w:cs="Times New Roman"/>
          <w:sz w:val="28"/>
          <w:szCs w:val="28"/>
        </w:rPr>
        <w:t>В ходе проведения инвентаризации составлены акты фактических осмотров земельных участков и расположенных на них объектов и построек, в отношении которых проведена инвентаризация с фотофиксацией.</w:t>
      </w:r>
    </w:p>
    <w:p w14:paraId="1B3871CF" w14:textId="77777777" w:rsidR="00A922B4" w:rsidRPr="00A922B4" w:rsidRDefault="00A922B4" w:rsidP="006B71E3">
      <w:pPr>
        <w:spacing w:after="0" w:line="240" w:lineRule="auto"/>
        <w:ind w:firstLine="709"/>
        <w:jc w:val="both"/>
        <w:rPr>
          <w:rFonts w:ascii="Times New Roman" w:eastAsia="Calibri" w:hAnsi="Times New Roman" w:cs="Times New Roman"/>
          <w:sz w:val="28"/>
          <w:szCs w:val="28"/>
        </w:rPr>
      </w:pPr>
      <w:r w:rsidRPr="00A922B4">
        <w:rPr>
          <w:rFonts w:ascii="Times New Roman" w:eastAsia="Calibri" w:hAnsi="Times New Roman" w:cs="Times New Roman"/>
          <w:sz w:val="28"/>
          <w:szCs w:val="28"/>
        </w:rPr>
        <w:t xml:space="preserve">В рамках проведенной инвентаризации установлены факты нецелевого использования земель сельскохозяйственного назначения, а также разделения земельных участков на несколько вновь образованных земельных участков, в результате чего их количество составляет более 7 000 земельных участков (вместо учтенных в реестре 5 133 земельных участка). </w:t>
      </w:r>
    </w:p>
    <w:p w14:paraId="5F72DA0E" w14:textId="77777777" w:rsidR="00A922B4" w:rsidRPr="00A922B4" w:rsidRDefault="00A922B4" w:rsidP="006B71E3">
      <w:pPr>
        <w:spacing w:after="0" w:line="240" w:lineRule="auto"/>
        <w:ind w:firstLine="709"/>
        <w:jc w:val="both"/>
        <w:rPr>
          <w:rFonts w:ascii="Times New Roman" w:eastAsia="Calibri" w:hAnsi="Times New Roman" w:cs="Times New Roman"/>
          <w:sz w:val="28"/>
          <w:szCs w:val="28"/>
        </w:rPr>
      </w:pPr>
      <w:r w:rsidRPr="00A922B4">
        <w:rPr>
          <w:rFonts w:ascii="Times New Roman" w:eastAsia="Calibri" w:hAnsi="Times New Roman" w:cs="Times New Roman"/>
          <w:sz w:val="28"/>
          <w:szCs w:val="28"/>
        </w:rPr>
        <w:t>Выявленные по результатам инвентаризации вновь образованные земельные участки в Реестр государственного имущества не включены. Данная работа планируется в 2022 году.</w:t>
      </w:r>
    </w:p>
    <w:p w14:paraId="54242C58" w14:textId="040B85C0" w:rsidR="00A922B4" w:rsidRPr="00A922B4" w:rsidRDefault="00A922B4" w:rsidP="006B71E3">
      <w:pPr>
        <w:spacing w:after="0" w:line="240" w:lineRule="auto"/>
        <w:ind w:firstLine="709"/>
        <w:jc w:val="both"/>
        <w:rPr>
          <w:rFonts w:ascii="Times New Roman" w:eastAsia="Times New Roman" w:hAnsi="Times New Roman" w:cs="Times New Roman"/>
          <w:i/>
          <w:sz w:val="28"/>
          <w:szCs w:val="28"/>
          <w:lang w:eastAsia="ru-RU"/>
        </w:rPr>
      </w:pPr>
      <w:r w:rsidRPr="00A922B4">
        <w:rPr>
          <w:rFonts w:ascii="Times New Roman" w:eastAsia="Times New Roman" w:hAnsi="Times New Roman" w:cs="Times New Roman"/>
          <w:sz w:val="28"/>
          <w:szCs w:val="28"/>
          <w:lang w:eastAsia="ru-RU"/>
        </w:rPr>
        <w:t>В нарушение пункта 1 статьи 26 Земельного кодекса Российской Федерации на более 40 % долгосрочных договоров аренды земельных участков (заключенных на срок свыше 1 года), находящихся в Реестре государственного имущества Р</w:t>
      </w:r>
      <w:r w:rsidR="00D14C7B">
        <w:rPr>
          <w:rFonts w:ascii="Times New Roman" w:eastAsia="Times New Roman" w:hAnsi="Times New Roman" w:cs="Times New Roman"/>
          <w:sz w:val="28"/>
          <w:szCs w:val="28"/>
          <w:lang w:eastAsia="ru-RU"/>
        </w:rPr>
        <w:t xml:space="preserve">еспублики </w:t>
      </w:r>
      <w:r w:rsidRPr="00A922B4">
        <w:rPr>
          <w:rFonts w:ascii="Times New Roman" w:eastAsia="Times New Roman" w:hAnsi="Times New Roman" w:cs="Times New Roman"/>
          <w:sz w:val="28"/>
          <w:szCs w:val="28"/>
          <w:lang w:eastAsia="ru-RU"/>
        </w:rPr>
        <w:t>Д</w:t>
      </w:r>
      <w:r w:rsidR="00D14C7B">
        <w:rPr>
          <w:rFonts w:ascii="Times New Roman" w:eastAsia="Times New Roman" w:hAnsi="Times New Roman" w:cs="Times New Roman"/>
          <w:sz w:val="28"/>
          <w:szCs w:val="28"/>
          <w:lang w:eastAsia="ru-RU"/>
        </w:rPr>
        <w:t>агестан</w:t>
      </w:r>
      <w:r w:rsidRPr="00A922B4">
        <w:rPr>
          <w:rFonts w:ascii="Times New Roman" w:eastAsia="Times New Roman" w:hAnsi="Times New Roman" w:cs="Times New Roman"/>
          <w:sz w:val="28"/>
          <w:szCs w:val="28"/>
          <w:lang w:eastAsia="ru-RU"/>
        </w:rPr>
        <w:t>, не проведена обязательная государственная регистрация.</w:t>
      </w:r>
    </w:p>
    <w:p w14:paraId="0AC5FCF8"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По состоянию на 1 января 2022 года заключено 1 550 договоров аренды земельных участков, в том числе в 2021 году заключены 14 договоров.</w:t>
      </w:r>
    </w:p>
    <w:p w14:paraId="68867721"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адрес 881 арендаторов направлены уведомления (в том числе в 2021 году – 144) об изменении размера арендной платы с учетом результатов кадастровой стоимости. При этом, в нарушение статьей 190 и 192 Гражданского кодекса Российской Федерации, пунктов 3.4 и 3.5 договоров аренды в адрес 669 арендаторов (43 %) уведомления об изменении размера арендной платы не направлены.</w:t>
      </w:r>
    </w:p>
    <w:p w14:paraId="0995204E"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За 2021 год начислено платежей за аренду земельных участков в сумме 62 729,9 тыс. рублей. При этом арендаторами фактически уплачено 82 233,1 </w:t>
      </w:r>
      <w:r w:rsidRPr="00A922B4">
        <w:rPr>
          <w:rFonts w:ascii="Times New Roman" w:eastAsia="Times New Roman" w:hAnsi="Times New Roman" w:cs="Times New Roman"/>
          <w:sz w:val="28"/>
          <w:szCs w:val="28"/>
          <w:lang w:eastAsia="ru-RU"/>
        </w:rPr>
        <w:lastRenderedPageBreak/>
        <w:t>тыс. рублей, или 131 %, с учетом частичного погашения задолженности.</w:t>
      </w:r>
    </w:p>
    <w:p w14:paraId="390518B8"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состоянию на 1 января 2022 года задолженность по платежам за аренду земельных участков составляет 221 648,6 тыс. рублей. </w:t>
      </w:r>
    </w:p>
    <w:p w14:paraId="13921028"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Проверка показала, что в результате невыполнения Минимуществом РД </w:t>
      </w:r>
      <w:r w:rsidRPr="00A922B4">
        <w:rPr>
          <w:rFonts w:ascii="Times New Roman" w:eastAsia="Times New Roman" w:hAnsi="Times New Roman" w:cs="Times New Roman"/>
          <w:bCs/>
          <w:sz w:val="28"/>
          <w:szCs w:val="28"/>
          <w:lang w:eastAsia="ru-RU"/>
        </w:rPr>
        <w:t>полномочий главного администратора доходов (</w:t>
      </w:r>
      <w:r w:rsidRPr="00A922B4">
        <w:rPr>
          <w:rFonts w:ascii="Times New Roman" w:eastAsia="Times New Roman" w:hAnsi="Times New Roman" w:cs="Times New Roman"/>
          <w:sz w:val="28"/>
          <w:szCs w:val="28"/>
          <w:lang w:eastAsia="ru-RU"/>
        </w:rPr>
        <w:t>статья 160.1 Бюджетного кодекса Российской Федерации</w:t>
      </w:r>
      <w:r w:rsidRPr="00A922B4">
        <w:rPr>
          <w:rFonts w:ascii="Times New Roman" w:eastAsia="Times New Roman" w:hAnsi="Times New Roman" w:cs="Times New Roman"/>
          <w:bCs/>
          <w:sz w:val="28"/>
          <w:szCs w:val="28"/>
          <w:lang w:eastAsia="ru-RU"/>
        </w:rPr>
        <w:t xml:space="preserve">) в части осуществления начисления платежей в 2021 году, на 1 января 2022 года </w:t>
      </w:r>
      <w:r w:rsidRPr="00A922B4">
        <w:rPr>
          <w:rFonts w:ascii="Times New Roman" w:eastAsia="Times New Roman" w:hAnsi="Times New Roman" w:cs="Times New Roman"/>
          <w:sz w:val="28"/>
          <w:szCs w:val="28"/>
          <w:lang w:eastAsia="ru-RU"/>
        </w:rPr>
        <w:t>образовалась несанкционированная кредиторская задолженность из-за переплаты платежей за аренду земельных участков в сумме 60 998,0 ты. рублей.</w:t>
      </w:r>
    </w:p>
    <w:p w14:paraId="658282AE"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нарушение статьи 160.1 Бюджетного кодекса Российской Федерации, статьи 13 Федеральный закон от 6 декабря 2011 года № 402-ФЗ </w:t>
      </w:r>
      <w:r w:rsidRPr="00A922B4">
        <w:rPr>
          <w:rFonts w:ascii="Times New Roman" w:eastAsia="Times New Roman" w:hAnsi="Times New Roman" w:cs="Times New Roman"/>
          <w:sz w:val="28"/>
          <w:szCs w:val="28"/>
          <w:lang w:eastAsia="ru-RU"/>
        </w:rPr>
        <w:br/>
        <w:t>«О бухгалтерском учете» переплата на начало и конец 2021 года образована в основном в результате невыполнения Минимуществом РД начислений арендных платежей по первичным данным бухгалтерского учета, а также наличия невыясненных платежей от третьих лиц, не являющихся стороной договора (либо являющиеся субарендаторами по договору без согласия собственника).</w:t>
      </w:r>
    </w:p>
    <w:p w14:paraId="5ADC373C" w14:textId="77777777" w:rsidR="00A922B4" w:rsidRPr="00FD2249"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sz w:val="28"/>
          <w:szCs w:val="28"/>
          <w:lang w:eastAsia="ru-RU"/>
        </w:rPr>
        <w:t xml:space="preserve">Задолженность по платежам за аренду земельных участков числится за </w:t>
      </w:r>
      <w:r w:rsidRPr="00FD2249">
        <w:rPr>
          <w:rFonts w:ascii="Times New Roman" w:eastAsia="Times New Roman" w:hAnsi="Times New Roman" w:cs="Times New Roman"/>
          <w:sz w:val="28"/>
          <w:szCs w:val="28"/>
          <w:lang w:eastAsia="ru-RU"/>
        </w:rPr>
        <w:br/>
        <w:t>1 259 арендаторами, из них наибольшие суммы задолженности числятся за:</w:t>
      </w:r>
    </w:p>
    <w:p w14:paraId="4D3FD376" w14:textId="77777777" w:rsidR="00A922B4" w:rsidRPr="00FD2249"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sz w:val="28"/>
          <w:szCs w:val="28"/>
          <w:lang w:eastAsia="ru-RU"/>
        </w:rPr>
        <w:t>- 74 арендаторами – от 200,0 тыс. рублей до 500,0 тыс. рублей;</w:t>
      </w:r>
    </w:p>
    <w:p w14:paraId="24A02777" w14:textId="77777777" w:rsidR="00A922B4" w:rsidRPr="00FD2249"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sz w:val="28"/>
          <w:szCs w:val="28"/>
          <w:lang w:eastAsia="ru-RU"/>
        </w:rPr>
        <w:t>- 32 арендаторами – от 500,0 тыс. рублей до 1 000,0 тыс. рублей;</w:t>
      </w:r>
    </w:p>
    <w:p w14:paraId="2F16D2A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sz w:val="28"/>
          <w:szCs w:val="28"/>
          <w:lang w:eastAsia="ru-RU"/>
        </w:rPr>
        <w:t>- 10 арендаторами – свыше 1 000,0 тыс. рублей.</w:t>
      </w:r>
    </w:p>
    <w:p w14:paraId="199C2304" w14:textId="77EFFA59" w:rsidR="00A922B4" w:rsidRPr="00A922B4" w:rsidRDefault="00A922B4" w:rsidP="006B71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bCs/>
          <w:sz w:val="28"/>
          <w:szCs w:val="28"/>
          <w:lang w:eastAsia="ru-RU"/>
        </w:rPr>
        <w:t xml:space="preserve">Минимуществом РД, в целях погашения задолженности в 2021 году направлены 132 иска о взыскании 252 113,8 тыс. рублей (с учетом пеней, штрафов) и 36 претензии на общую сумму 74 596,1 тыс. рублей и изъятию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bCs/>
          <w:sz w:val="28"/>
          <w:szCs w:val="28"/>
          <w:lang w:eastAsia="ru-RU"/>
        </w:rPr>
        <w:t xml:space="preserve"> (земельных участков) у пользователей, не уплачивающих своевременно арендные платежи.</w:t>
      </w:r>
      <w:r w:rsidRPr="00A922B4">
        <w:rPr>
          <w:rFonts w:ascii="Times New Roman" w:eastAsia="Times New Roman" w:hAnsi="Times New Roman" w:cs="Times New Roman"/>
          <w:sz w:val="28"/>
          <w:szCs w:val="28"/>
          <w:lang w:eastAsia="ru-RU"/>
        </w:rPr>
        <w:t xml:space="preserve"> Из них судебными органами решение о взыскании задолженности принято только по 5 искам на сумму 5 411,2 тыс. рублей, или 2 % от общего объема задолженности.</w:t>
      </w:r>
    </w:p>
    <w:p w14:paraId="15F81BD5" w14:textId="77777777" w:rsidR="00A922B4" w:rsidRPr="00A922B4" w:rsidRDefault="00A922B4" w:rsidP="006B71E3">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A922B4">
        <w:rPr>
          <w:rFonts w:ascii="Times New Roman" w:eastAsia="Times New Roman" w:hAnsi="Times New Roman" w:cs="Times New Roman"/>
          <w:sz w:val="28"/>
          <w:szCs w:val="28"/>
          <w:lang w:eastAsia="ru-RU"/>
        </w:rPr>
        <w:t>При этом, Минимущество РД не владеет сведениями по оплате исполнительных листов, не ведется работа по сверке их исполнения со службой судебных приставов.</w:t>
      </w:r>
    </w:p>
    <w:p w14:paraId="6A5089E0" w14:textId="77777777" w:rsidR="00A922B4" w:rsidRPr="00A922B4" w:rsidRDefault="00A922B4" w:rsidP="006B71E3">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sidRPr="00A922B4">
        <w:rPr>
          <w:rFonts w:ascii="Times New Roman" w:eastAsia="Times New Roman" w:hAnsi="Times New Roman" w:cs="Times New Roman"/>
          <w:bCs/>
          <w:color w:val="000000"/>
          <w:sz w:val="28"/>
          <w:szCs w:val="28"/>
          <w:lang w:eastAsia="ru-RU"/>
        </w:rPr>
        <w:t>Проведенный анализ показал, что в большинстве случаях исковые требования Минимущества РД не удовлетворены, в связи с фактической оплатой арендаторов, оплата которых производились иными лицами не являющихся сторонами договора и отражалась в регистрах бухгалтерского учета как невыясненные платежи.</w:t>
      </w:r>
    </w:p>
    <w:p w14:paraId="2EC64BDD" w14:textId="77777777" w:rsidR="00A922B4" w:rsidRPr="00A922B4" w:rsidRDefault="00A922B4" w:rsidP="00A60AE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bCs/>
          <w:iCs/>
          <w:sz w:val="28"/>
          <w:szCs w:val="28"/>
          <w:lang w:eastAsia="ru-RU"/>
        </w:rPr>
        <w:t xml:space="preserve">Следует также отметить, что </w:t>
      </w:r>
      <w:r w:rsidRPr="00A922B4">
        <w:rPr>
          <w:rFonts w:ascii="Times New Roman" w:eastAsia="Times New Roman" w:hAnsi="Times New Roman" w:cs="Times New Roman"/>
          <w:iCs/>
          <w:sz w:val="28"/>
          <w:szCs w:val="28"/>
          <w:lang w:eastAsia="ru-RU"/>
        </w:rPr>
        <w:t>согласно условиям договоров аренды (пункт 5.2) за несвоевременное внесение</w:t>
      </w:r>
      <w:r w:rsidRPr="00A922B4">
        <w:rPr>
          <w:rFonts w:ascii="Times New Roman" w:eastAsia="Times New Roman" w:hAnsi="Times New Roman" w:cs="Times New Roman"/>
          <w:sz w:val="28"/>
          <w:szCs w:val="28"/>
          <w:lang w:eastAsia="ru-RU"/>
        </w:rPr>
        <w:t xml:space="preserve"> арендной платы предусмотрено начисление пени в размере 0,03-0,5 % за каждый день просрочки. Однако, указанная мера Минимуществом РД применяется только при составлении исковых заявлений в Арбитражный суд Республики Дагестан.</w:t>
      </w:r>
    </w:p>
    <w:p w14:paraId="08592FEF"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расчетам, произведенным на основании данных о задолженности по </w:t>
      </w:r>
      <w:r w:rsidRPr="00A922B4">
        <w:rPr>
          <w:rFonts w:ascii="Times New Roman" w:eastAsia="Times New Roman" w:hAnsi="Times New Roman" w:cs="Times New Roman"/>
          <w:sz w:val="28"/>
          <w:szCs w:val="28"/>
          <w:lang w:eastAsia="ru-RU"/>
        </w:rPr>
        <w:lastRenderedPageBreak/>
        <w:t xml:space="preserve">платежам за аренду земельных участков на 1 января 2021 года, сумма пени к начислению за 2021 год ориентировочно могла составить 148 791,9 тыс. рублей (расчет: задолженность на 1 января 2021 года – 271 766,0 тыс. рублей х 0,3 % х 365 дней х 50 %). </w:t>
      </w:r>
    </w:p>
    <w:p w14:paraId="6090A4B6" w14:textId="49F87005"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ходе проверки выявлен земельный участок, общей площадью </w:t>
      </w:r>
      <w:r w:rsidRPr="00A922B4">
        <w:rPr>
          <w:rFonts w:ascii="Times New Roman" w:eastAsia="Times New Roman" w:hAnsi="Times New Roman" w:cs="Times New Roman"/>
          <w:sz w:val="28"/>
          <w:szCs w:val="28"/>
          <w:lang w:eastAsia="ru-RU"/>
        </w:rPr>
        <w:br/>
        <w:t xml:space="preserve">105 кв. м (кадастровый номер 05:40:000041:1236), расположенный по адресу: г. Махачкала, ул. Гусаева, дом № 2, который исключен из Реестра государственного имущества Республики Дагестан на основании распоряжения Комитета по земельным и имущественным отношениям РД (Минимущество РД) от 24 октября 2016 года № 287-р. При этом, согласно выписке из ЕГРН от 22 февраля 2022 года правообладателем данного земельного участка, является Республика Дагестан. </w:t>
      </w:r>
    </w:p>
    <w:p w14:paraId="280BBF7F"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связи с чем, стоимость утери государственного имущества Республики Дагестан составляет 892,2 тыс. рублей (кадастровая стоимость согласно выписке из ЕГРН).</w:t>
      </w:r>
    </w:p>
    <w:p w14:paraId="65BE3BC2"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bCs/>
          <w:sz w:val="28"/>
          <w:szCs w:val="28"/>
          <w:lang w:eastAsia="ru-RU"/>
        </w:rPr>
        <w:t xml:space="preserve">Проверка показала, что </w:t>
      </w:r>
      <w:r w:rsidRPr="00A922B4">
        <w:rPr>
          <w:rFonts w:ascii="Times New Roman" w:eastAsia="Times New Roman" w:hAnsi="Times New Roman" w:cs="Times New Roman"/>
          <w:sz w:val="28"/>
          <w:szCs w:val="28"/>
          <w:lang w:eastAsia="ru-RU"/>
        </w:rPr>
        <w:t>на землях отгонного животноводства общей площадью 10 467 га, предоставленных в аренду различным сельскохозяйственным товаропроизводителям, без соответствующих правоустанавливающих документов образованы 199 населенных пунктов, в которых проживают 78 616 человек, в том числе на земельных участках, расположенных на территориях 12 муниципальных образований.</w:t>
      </w:r>
    </w:p>
    <w:p w14:paraId="4E076C66" w14:textId="53591843"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рамках контрольного мероприятия проведено обследование использования 30 земельных участков общей площадью 24 877 га (земли сельскохозяйственного назначения, земли отгонного животноводства», земли особо охраняемых территорий), находящихся в государственной собственности </w:t>
      </w:r>
      <w:bookmarkStart w:id="22" w:name="_Hlk104559308"/>
      <w:r w:rsidRPr="00A922B4">
        <w:rPr>
          <w:rFonts w:ascii="Times New Roman" w:eastAsia="Times New Roman" w:hAnsi="Times New Roman" w:cs="Times New Roman"/>
          <w:sz w:val="28"/>
          <w:szCs w:val="28"/>
          <w:lang w:eastAsia="ru-RU"/>
        </w:rPr>
        <w:t>Р</w:t>
      </w:r>
      <w:r w:rsidR="00D14C7B">
        <w:rPr>
          <w:rFonts w:ascii="Times New Roman" w:eastAsia="Times New Roman" w:hAnsi="Times New Roman" w:cs="Times New Roman"/>
          <w:sz w:val="28"/>
          <w:szCs w:val="28"/>
          <w:lang w:eastAsia="ru-RU"/>
        </w:rPr>
        <w:t xml:space="preserve">еспублики </w:t>
      </w:r>
      <w:r w:rsidRPr="00A922B4">
        <w:rPr>
          <w:rFonts w:ascii="Times New Roman" w:eastAsia="Times New Roman" w:hAnsi="Times New Roman" w:cs="Times New Roman"/>
          <w:sz w:val="28"/>
          <w:szCs w:val="28"/>
          <w:lang w:eastAsia="ru-RU"/>
        </w:rPr>
        <w:t>Д</w:t>
      </w:r>
      <w:r w:rsidR="00D14C7B">
        <w:rPr>
          <w:rFonts w:ascii="Times New Roman" w:eastAsia="Times New Roman" w:hAnsi="Times New Roman" w:cs="Times New Roman"/>
          <w:sz w:val="28"/>
          <w:szCs w:val="28"/>
          <w:lang w:eastAsia="ru-RU"/>
        </w:rPr>
        <w:t>агестан</w:t>
      </w:r>
      <w:r w:rsidRPr="00A922B4">
        <w:rPr>
          <w:rFonts w:ascii="Times New Roman" w:eastAsia="Times New Roman" w:hAnsi="Times New Roman" w:cs="Times New Roman"/>
          <w:sz w:val="28"/>
          <w:szCs w:val="28"/>
          <w:lang w:eastAsia="ru-RU"/>
        </w:rPr>
        <w:t xml:space="preserve"> </w:t>
      </w:r>
      <w:bookmarkEnd w:id="22"/>
      <w:r w:rsidRPr="00A922B4">
        <w:rPr>
          <w:rFonts w:ascii="Times New Roman" w:eastAsia="Times New Roman" w:hAnsi="Times New Roman" w:cs="Times New Roman"/>
          <w:sz w:val="28"/>
          <w:szCs w:val="28"/>
          <w:lang w:eastAsia="ru-RU"/>
        </w:rPr>
        <w:t xml:space="preserve">и переданных в аренду, расположенные на территории 7 муниципальных образований </w:t>
      </w:r>
      <w:r w:rsidR="00D14C7B" w:rsidRPr="00A922B4">
        <w:rPr>
          <w:rFonts w:ascii="Times New Roman" w:eastAsia="Times New Roman" w:hAnsi="Times New Roman" w:cs="Times New Roman"/>
          <w:sz w:val="28"/>
          <w:szCs w:val="28"/>
          <w:lang w:eastAsia="ru-RU"/>
        </w:rPr>
        <w:t>Р</w:t>
      </w:r>
      <w:r w:rsidR="00D14C7B">
        <w:rPr>
          <w:rFonts w:ascii="Times New Roman" w:eastAsia="Times New Roman" w:hAnsi="Times New Roman" w:cs="Times New Roman"/>
          <w:sz w:val="28"/>
          <w:szCs w:val="28"/>
          <w:lang w:eastAsia="ru-RU"/>
        </w:rPr>
        <w:t xml:space="preserve">еспублики </w:t>
      </w:r>
      <w:r w:rsidR="00D14C7B" w:rsidRPr="00A922B4">
        <w:rPr>
          <w:rFonts w:ascii="Times New Roman" w:eastAsia="Times New Roman" w:hAnsi="Times New Roman" w:cs="Times New Roman"/>
          <w:sz w:val="28"/>
          <w:szCs w:val="28"/>
          <w:lang w:eastAsia="ru-RU"/>
        </w:rPr>
        <w:t>Д</w:t>
      </w:r>
      <w:r w:rsidR="00D14C7B">
        <w:rPr>
          <w:rFonts w:ascii="Times New Roman" w:eastAsia="Times New Roman" w:hAnsi="Times New Roman" w:cs="Times New Roman"/>
          <w:sz w:val="28"/>
          <w:szCs w:val="28"/>
          <w:lang w:eastAsia="ru-RU"/>
        </w:rPr>
        <w:t>агестан</w:t>
      </w:r>
      <w:r w:rsidRPr="00A922B4">
        <w:rPr>
          <w:rFonts w:ascii="Times New Roman" w:eastAsia="Times New Roman" w:hAnsi="Times New Roman" w:cs="Times New Roman"/>
          <w:sz w:val="28"/>
          <w:szCs w:val="28"/>
          <w:lang w:eastAsia="ru-RU"/>
        </w:rPr>
        <w:t>, в ходе которого установлено следующее.</w:t>
      </w:r>
    </w:p>
    <w:p w14:paraId="0DD6669D"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Проверкой установлено, что земельные участки используются с нарушением условий договоров аренды, в том числе не по целевому назначению, </w:t>
      </w:r>
      <w:bookmarkStart w:id="23" w:name="_Hlk69376947"/>
      <w:r w:rsidRPr="00A922B4">
        <w:rPr>
          <w:rFonts w:ascii="Times New Roman" w:eastAsia="Times New Roman" w:hAnsi="Times New Roman" w:cs="Times New Roman"/>
          <w:sz w:val="28"/>
          <w:szCs w:val="28"/>
          <w:lang w:eastAsia="ru-RU"/>
        </w:rPr>
        <w:t>в частности:</w:t>
      </w:r>
    </w:p>
    <w:p w14:paraId="752B5B8A"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общей площадью 3,94 га (кадастровый номер 05:40:000005:2179, г. Махачкале, Караман-4), предоставлен в аренду Благотворительному фонду им. Степана Паламарчука для содержания и обслуживания базы отдыха, фактически расположены многочисленные частные домостроения с соответствующей инфраструктурой (газоснабжения, водоснабжения, электроснабжения и др.);</w:t>
      </w:r>
    </w:p>
    <w:p w14:paraId="1B63BA6A" w14:textId="77777777" w:rsidR="00A922B4" w:rsidRPr="00A922B4" w:rsidRDefault="00A922B4" w:rsidP="006B71E3">
      <w:pPr>
        <w:spacing w:after="0" w:line="240" w:lineRule="auto"/>
        <w:ind w:firstLine="709"/>
        <w:jc w:val="both"/>
        <w:outlineLvl w:val="0"/>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1,08 га (кадастровый номер 05:40:000060:463, г. Махачкала, ул. Крылова, дом № 3), переданном в аренду для содержания и обслуживания автотранспорта, фактически расположен объект капитального строительства, помещения которых используются третьими лицами под объекты торговли (магазин по продажи строительных материалов). Остальная часть земельного участка не используется и находится в неудовлетворительном состоянии;</w:t>
      </w:r>
    </w:p>
    <w:p w14:paraId="5BF342F5"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 xml:space="preserve">- на земельном участке площадью 3,2 га (кадастровый номер 05:40:000006:404, г. Махачкала, Караман-7), переданном в аренду </w:t>
      </w:r>
      <w:r w:rsidRPr="00A922B4">
        <w:rPr>
          <w:rFonts w:ascii="Times New Roman" w:eastAsia="Times New Roman" w:hAnsi="Times New Roman" w:cs="Times New Roman"/>
          <w:sz w:val="28"/>
          <w:szCs w:val="28"/>
          <w:lang w:eastAsia="ru-RU"/>
        </w:rPr>
        <w:br/>
        <w:t>ООО «Маяк» фактически расположены многочисленные частные домостроения (20 коттеджей) и 4-этажный комплекс с соответствующей инфраструктурой (газоснабжения, водоснабжения, электроснабжения и т.д.);</w:t>
      </w:r>
    </w:p>
    <w:p w14:paraId="1E5C91AA"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05:01:000085:4), переданном в аренду СПК «Дагестан» Лакского района для ведения отгонного животноводства, фактически расположен жилой сектор с многочисленными частными домостроениями;</w:t>
      </w:r>
    </w:p>
    <w:p w14:paraId="604CE65F"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05:01:000195:0001), переданный в аренду СПК «Каратинский» Ахвахского района для ведения отгонного животноводства, фактически расположен жилой сектор с многочисленными частными домостроениями.</w:t>
      </w:r>
    </w:p>
    <w:p w14:paraId="012EAC86"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05:01:000141:0001), переданный в аренду СПК «Колхоз 40 лет Октября» Цунтинский района для ведения отгонного животноводства, фактически расположен населенный пункт с многочисленными домостроениями с соответствующей инфраструктурой (школа, больница, коммуникации и коммерческие объекты);</w:t>
      </w:r>
    </w:p>
    <w:p w14:paraId="769D3445"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05:01:000164:0010), переданном в аренду СПК «Кулинский» Акушинского района для ведения отгонного животноводства, фактически поселок «Львовский 5» с многочисленными частными домостроениями и соответствующей инфраструктурой;</w:t>
      </w:r>
    </w:p>
    <w:p w14:paraId="07EB1FA0"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на земельном участке площадью 1 285,5 га (кадастровый номер 05:01:000164:0009, Бабаюртовский район), переданном в аренду </w:t>
      </w:r>
      <w:r w:rsidRPr="00A922B4">
        <w:rPr>
          <w:rFonts w:ascii="Times New Roman" w:eastAsia="Times New Roman" w:hAnsi="Times New Roman" w:cs="Times New Roman"/>
          <w:sz w:val="28"/>
          <w:szCs w:val="28"/>
          <w:lang w:eastAsia="ru-RU"/>
        </w:rPr>
        <w:br/>
        <w:t>СПК «Дружба» (Акушинского района) для ведения отгонного животноводства, фактически расположен поселок Львовский – 9 с частными домостроениями;</w:t>
      </w:r>
    </w:p>
    <w:p w14:paraId="6228F2FF"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1 728,7 га (кадастровый номер: 05:02:000077:0001), переданный в аренду СПК «Годоберинский» Ботлихского района для ведения отгонного животноводства, фактически расположен населенный пункт, застроенный многочисленными частными домостроениями с соответствующей инфраструктурой;</w:t>
      </w:r>
    </w:p>
    <w:p w14:paraId="57FF117A"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двух земельных участках, расположенных в Кумторкалинском районе (кадастровые номера: 05:50:000020:23, 05:50:000020:46) общей площадью 88,3 га, переданные в аренду СХПК «Агрофирма им. Даниялова» Гунибского района для отгонного животноводства фактически расположены многочисленные жилые дома, образовались поселения с соответствующей инфраструктурой;</w:t>
      </w:r>
    </w:p>
    <w:p w14:paraId="6F4E6449"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05:50:000031:29), переданном в аренду СХПК «Агрофирма Корода» Гунибского района для сельскохозяйственного использования, фактически расположен населенный пункт с многочисленными частными домостроениями;</w:t>
      </w:r>
    </w:p>
    <w:p w14:paraId="2D6A4519"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на земельном участке площадью 3 694,4 га (кадастровый номер </w:t>
      </w:r>
      <w:r w:rsidRPr="00A922B4">
        <w:rPr>
          <w:rFonts w:ascii="Times New Roman" w:eastAsia="Times New Roman" w:hAnsi="Times New Roman" w:cs="Times New Roman"/>
          <w:sz w:val="28"/>
          <w:szCs w:val="28"/>
          <w:lang w:eastAsia="ru-RU"/>
        </w:rPr>
        <w:lastRenderedPageBreak/>
        <w:t>05:50:000018:0008, Кумторкалинский район), переданном в аренду СПК «Племенной завод им. Дудар Алиевича» Хунзахского района для ведения отгонного животноводства, фактически расположен населенный пункт «Арада» с многочисленными жилыми домами и соответствующей инфраструктурой;</w:t>
      </w:r>
    </w:p>
    <w:p w14:paraId="60E99E3B"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3 680 га (кадастровый номер 05:50:000049:0026, Кумторкалинский район), переданном в аренду ГУП «Тидибский» Шамильского района для организации сельскохозяйственного производства, фактически расположены жилые дома (около 30 домовладений) и производственные объекты (сварочный цех);</w:t>
      </w:r>
    </w:p>
    <w:p w14:paraId="7D682894"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165,0 га (кадастровый номер 05:09:000023:0020, Карабудахкентский район), переданном в аренду СПК «Чох-Росо» Гунибкого района для ведения садоводства, фактически расположен поселок «Чох-Росо» Гунибского района с многочисленными частными домостроениями и используется не по целевому назначению;</w:t>
      </w:r>
    </w:p>
    <w:p w14:paraId="1FE9AC3B" w14:textId="77777777"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05:50:000117:0004), переданный в аренду СПК «Хуштада» Цумадинского района для организации сельскохозяйственного производства, фактически расположен населенный пункт, застроенный многочисленными домостроениями. Земельный участок используется не по целевому назначению;</w:t>
      </w:r>
    </w:p>
    <w:p w14:paraId="62810DA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05:05:000142:0001, Хасавюртовский район), переданном в аренду СПК «колхоз Данухский» Гумбетовского района из земель отгонного животноводства, фактически застроен многочисленными домостроениями и образован населенный пункт;</w:t>
      </w:r>
    </w:p>
    <w:p w14:paraId="0BF59EAE"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866,1 га (кадастровый номер 05:05:000066:0001, Хасавюртовский район), переданном в аренду СПК «Ингердах» Ахвахского района для ведения отгонного животноводства, фактически расположен населенный пункт (поселок «Хариб») с многочисленными частными домостроениями и используется не по целевому назначению;</w:t>
      </w:r>
    </w:p>
    <w:p w14:paraId="68D538F9"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двух земельных участках общей площадью 5 077,0 га (кадастровые номера: 05:03:000003:0687 и 05:50:000044:77, Ногайский район), переданные в аренду СПК «Урадинский» Шамильского района для ведения отгонного животноводства, фактически расположен населенный пункт с многочисленными частными домостроениями, асфальтированной дорогой и социальными объектами, и другой инфраструктурой.</w:t>
      </w:r>
    </w:p>
    <w:bookmarkEnd w:id="23"/>
    <w:p w14:paraId="56F79866"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нарушение статьи 39.11 Земельного кодекса Российской Федерации земельные участки, находящиеся в государственной собственности Республики Дагестан, используются без соответствующих правовых оснований (без заключения договора аренды), в частности:</w:t>
      </w:r>
    </w:p>
    <w:p w14:paraId="739E6921"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земельный участок, площадью 0,15 га (кадастровый номер 05:40:000016:27, г. Махачкала, Северная промзона), на который отсутствует обременение, фактически используется под автостоянку автотранспортных средств подразделением Министерства внутренних дел Российской </w:t>
      </w:r>
      <w:r w:rsidRPr="00A922B4">
        <w:rPr>
          <w:rFonts w:ascii="Times New Roman" w:eastAsia="Times New Roman" w:hAnsi="Times New Roman" w:cs="Times New Roman"/>
          <w:sz w:val="28"/>
          <w:szCs w:val="28"/>
          <w:lang w:eastAsia="ru-RU"/>
        </w:rPr>
        <w:lastRenderedPageBreak/>
        <w:t>Федерации по Республики Дагестан;</w:t>
      </w:r>
    </w:p>
    <w:p w14:paraId="1F33FC4B"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0,0503 га (кадастровый номер 05:40:000060:4583, г. Махачкала, пр. Гамидова, дом 27 а), на котором отсутствует обременение, расположен объект капитального строительства (нежилое здание), используемое третьими лицами под объекты торговли (магазин по продажи велосипедов);</w:t>
      </w:r>
    </w:p>
    <w:p w14:paraId="286292E7" w14:textId="1E2607C5"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трех земельных участках, общей площадью 15,5 га (кадастровыми номерами: 05:40:000037:0013, 05:40:000037:8106, 05:40:000037:8104,</w:t>
      </w:r>
      <w:r w:rsidRPr="00A922B4">
        <w:rPr>
          <w:rFonts w:ascii="Times New Roman" w:eastAsia="Times New Roman" w:hAnsi="Times New Roman" w:cs="Times New Roman"/>
          <w:sz w:val="28"/>
          <w:szCs w:val="28"/>
          <w:lang w:eastAsia="ru-RU"/>
        </w:rPr>
        <w:br/>
        <w:t>г. Махачкала, пр. А.</w:t>
      </w:r>
      <w:r w:rsidR="00011A35">
        <w:rPr>
          <w:rFonts w:ascii="Times New Roman" w:eastAsia="Times New Roman" w:hAnsi="Times New Roman" w:cs="Times New Roman"/>
          <w:sz w:val="28"/>
          <w:szCs w:val="28"/>
          <w:lang w:eastAsia="ru-RU"/>
        </w:rPr>
        <w:t xml:space="preserve"> </w:t>
      </w:r>
      <w:r w:rsidRPr="00A922B4">
        <w:rPr>
          <w:rFonts w:ascii="Times New Roman" w:eastAsia="Times New Roman" w:hAnsi="Times New Roman" w:cs="Times New Roman"/>
          <w:sz w:val="28"/>
          <w:szCs w:val="28"/>
          <w:lang w:eastAsia="ru-RU"/>
        </w:rPr>
        <w:t>Акушинского, дом № 109), при отсутствии правоустанавливающих документов, расположены административные здания, инженерные сооружения завода радиотоваров и многоквартирные дома, частное общеобразовательное учреждение «Средняя школа «Возрождение», а также заброшенные строения;</w:t>
      </w:r>
    </w:p>
    <w:p w14:paraId="68AA7099"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1,38 га (кадастровый номер 05:40:000006:0047, г. Махачкале, Караман-7), на котором отсутствует обременение, фактически расположен жилой квартал (14 коттеджей) с соответствующей инфраструктурой (водоснабжение, электроснабжение, спортивная площадка и т.д.);</w:t>
      </w:r>
    </w:p>
    <w:p w14:paraId="6DAE7EC3" w14:textId="1D1554EF" w:rsidR="00A922B4" w:rsidRPr="00A922B4" w:rsidRDefault="00A922B4" w:rsidP="00A60AEE">
      <w:pPr>
        <w:widowControl w:val="0"/>
        <w:tabs>
          <w:tab w:val="left" w:pos="2745"/>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(кадастровый номер 05:11:000047:0002, Буйнакский район, хозяйство «Красный Октябрь», участок Чиркейские горы), на котором отсутствует обременение, фактически расположены многочисленные дома и образовался населенный пункт «Иманалиросо</w:t>
      </w:r>
      <w:r w:rsidR="00011A35">
        <w:rPr>
          <w:rFonts w:ascii="Times New Roman" w:eastAsia="Times New Roman" w:hAnsi="Times New Roman" w:cs="Times New Roman"/>
          <w:sz w:val="28"/>
          <w:szCs w:val="28"/>
          <w:lang w:eastAsia="ru-RU"/>
        </w:rPr>
        <w:t>»</w:t>
      </w:r>
      <w:r w:rsidRPr="00A922B4">
        <w:rPr>
          <w:rFonts w:ascii="Times New Roman" w:eastAsia="Times New Roman" w:hAnsi="Times New Roman" w:cs="Times New Roman"/>
          <w:sz w:val="28"/>
          <w:szCs w:val="28"/>
          <w:lang w:eastAsia="ru-RU"/>
        </w:rPr>
        <w:t>;</w:t>
      </w:r>
    </w:p>
    <w:p w14:paraId="5A41EF3B"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на земельном участке площадью 347,1 га (кадастровый номер 05:01:000303:3, Бабаюртовский район), числящейся в казне Республики Дагестан как земли сельскохозяйственного назначения, фактически расположен населенный пункт (поселок «Камбулат»), застроенный многочисленными частными домостроениями и социальными объектами;</w:t>
      </w:r>
    </w:p>
    <w:p w14:paraId="2E8395F5" w14:textId="77777777" w:rsidR="00A922B4" w:rsidRPr="00A922B4" w:rsidRDefault="00A922B4" w:rsidP="00A60AEE">
      <w:pPr>
        <w:widowControl w:val="0"/>
        <w:tabs>
          <w:tab w:val="left" w:pos="2745"/>
        </w:tabs>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Земельный участок, общей площадью 0,0580 га (кадастровый номер 05:40:000044:1756, г. Махачкала, ул. Умаханова, дом № 14 «Ж», переданный в аренду ИП Татархановой А.Р. для размещения объектов капитального строительства спортивных клубов находящийся в Парке Ленинского комсомола г. Махачкалы, фактически по выписке из Единого государственного реестра недвижимости находится в собственности гр. Ахмедоой С.М. с 20 февраля 2019 года. В результате непринятия мер по изъятию земельного участка из чужого владения привело к утере земельного участка, находящегося в государственной собственности Республики Дагестан, стоимостью 2 488,5 тыс. рублей.</w:t>
      </w:r>
    </w:p>
    <w:p w14:paraId="091CA496"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8)</w:t>
      </w:r>
      <w:r w:rsidRPr="00A922B4">
        <w:rPr>
          <w:rFonts w:ascii="Times New Roman" w:eastAsia="Times New Roman" w:hAnsi="Times New Roman" w:cs="Times New Roman"/>
          <w:sz w:val="28"/>
          <w:szCs w:val="28"/>
          <w:lang w:eastAsia="ru-RU"/>
        </w:rPr>
        <w:t xml:space="preserve"> Не реализованы мероприятия, предусмотренные Прогнозным планом (программой) приватизации государственного имущества Республики Дагестан на 2021 год, в частности: </w:t>
      </w:r>
    </w:p>
    <w:p w14:paraId="2AE2B408"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из 3 предприятий, включенных в Прогнозный план (программу) приватизации государственного имущества Республики Дагестан на 2021 год, ни одно предприятие не было преобразовано в общество с ограниченной ответственностью, в связи с не определением состава подлежащего </w:t>
      </w:r>
      <w:r w:rsidRPr="00A922B4">
        <w:rPr>
          <w:rFonts w:ascii="Times New Roman" w:eastAsia="Times New Roman" w:hAnsi="Times New Roman" w:cs="Times New Roman"/>
          <w:sz w:val="28"/>
          <w:szCs w:val="28"/>
          <w:lang w:eastAsia="ru-RU"/>
        </w:rPr>
        <w:lastRenderedPageBreak/>
        <w:t>приватизации имущества и не оформлением права собственности на имущество, в том числе на земельные участки;</w:t>
      </w:r>
    </w:p>
    <w:p w14:paraId="562170D2"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не реализованы (не проданы) 19,9 % акций (доли) в уставном капитале ОАО «Магарамкентский спиртзавод», находящихся в государственной собственности Республики Дагестан.</w:t>
      </w:r>
    </w:p>
    <w:p w14:paraId="5BF200EE"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b/>
          <w:sz w:val="28"/>
          <w:szCs w:val="28"/>
          <w:lang w:eastAsia="ru-RU"/>
        </w:rPr>
        <w:t>9)</w:t>
      </w:r>
      <w:r w:rsidRPr="00A922B4">
        <w:rPr>
          <w:rFonts w:ascii="Times New Roman" w:eastAsia="Times New Roman" w:hAnsi="Times New Roman" w:cs="Times New Roman"/>
          <w:sz w:val="28"/>
          <w:szCs w:val="28"/>
          <w:lang w:eastAsia="ru-RU"/>
        </w:rPr>
        <w:t xml:space="preserve"> В 2021 году из выставленных на продажу 102 автомобилей фактически продано 62 автомобиля, доходы от реализации которых составили 16 012,9 тыс. рублей, что на 9 512,9 тыс.  рублей больше, чем утверждено Законом Республики Дагестан «О республиканском бюджете на 2021 год и плановый период 2022 и 2023 годов» (6 500,0 тыс. рублей).</w:t>
      </w:r>
    </w:p>
    <w:p w14:paraId="6E1A7FBA"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нарушение статьи 160.1 Бюджетного кодекса Российской Федерации, в результате невыполнения Минимуществом РД бюджетных </w:t>
      </w:r>
      <w:r w:rsidRPr="00A922B4">
        <w:rPr>
          <w:rFonts w:ascii="Times New Roman" w:eastAsia="Times New Roman" w:hAnsi="Times New Roman" w:cs="Times New Roman"/>
          <w:bCs/>
          <w:sz w:val="28"/>
          <w:szCs w:val="28"/>
          <w:lang w:eastAsia="ru-RU"/>
        </w:rPr>
        <w:t xml:space="preserve">полномочий главного администратора (администратора) доходов в части осуществления начисления платежей (за 2020-2021 годы), на 1 января 2022 года </w:t>
      </w:r>
      <w:r w:rsidRPr="00A922B4">
        <w:rPr>
          <w:rFonts w:ascii="Times New Roman" w:eastAsia="Times New Roman" w:hAnsi="Times New Roman" w:cs="Times New Roman"/>
          <w:sz w:val="28"/>
          <w:szCs w:val="28"/>
          <w:lang w:eastAsia="ru-RU"/>
        </w:rPr>
        <w:t>образовалась несанкционированная кредиторская задолженность (переплата) по доходам от продажи автотранспортах средств в сумме 27 584,9 тыс. рублей (на 1 января 2021 года – 13 876,0 тыс. рублей).</w:t>
      </w:r>
    </w:p>
    <w:p w14:paraId="09A2F789"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Следует отметить, что не на должном уровне проводиться работа по наполнению базы информационной системы «Барс-договора», в частности, из 62 договоров купли-продажи автотранспортных средств, в базу внесены сведения только по 11 договорам.</w:t>
      </w:r>
    </w:p>
    <w:p w14:paraId="4BFF0B13"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10)</w:t>
      </w:r>
      <w:r w:rsidRPr="00A922B4">
        <w:rPr>
          <w:rFonts w:ascii="Times New Roman" w:eastAsia="Times New Roman" w:hAnsi="Times New Roman" w:cs="Times New Roman"/>
          <w:sz w:val="28"/>
          <w:szCs w:val="28"/>
          <w:lang w:eastAsia="ru-RU"/>
        </w:rPr>
        <w:t xml:space="preserve"> На 1 января 2022 года в Реестре государственного имущества Республики Дагестан значится 63 акционерных обществ с государственной долей в уставном капитале, из которых 44 действующих акционерных обществ, 6 – находятся в процессе банкротства, 6 – не осуществляют деятельность, по </w:t>
      </w:r>
      <w:r w:rsidRPr="00A922B4">
        <w:rPr>
          <w:rFonts w:ascii="Times New Roman" w:eastAsia="Times New Roman" w:hAnsi="Times New Roman" w:cs="Times New Roman"/>
          <w:sz w:val="28"/>
          <w:szCs w:val="28"/>
          <w:lang w:eastAsia="ru-RU"/>
        </w:rPr>
        <w:br/>
        <w:t xml:space="preserve">4 акционерным обществам отсутствует информация о ведении финансово-хозяйственной деятельности, 3 ранее ликвидированные акционерные общества.  </w:t>
      </w:r>
    </w:p>
    <w:p w14:paraId="1258BC9C" w14:textId="5410F1F3"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Арбитражным судом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открыта процедура банкротства в отношении 6 акционерных обществ (ОАО «Буйнакское ПАТП», ОАО «Авиалинии Дагестана», ОАО «Автоколонна 1293», ОАО «МРСУ», ОАО «Хасавюртовское ДЭП №37», АО «Сергокалинское ДЭП № 26»).</w:t>
      </w:r>
    </w:p>
    <w:p w14:paraId="714864F1"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2021 году ликвидировано два акционерных общества </w:t>
      </w:r>
      <w:r w:rsidRPr="00A922B4">
        <w:rPr>
          <w:rFonts w:ascii="Times New Roman" w:eastAsia="Times New Roman" w:hAnsi="Times New Roman" w:cs="Times New Roman"/>
          <w:sz w:val="28"/>
          <w:szCs w:val="28"/>
          <w:lang w:eastAsia="ru-RU"/>
        </w:rPr>
        <w:br/>
        <w:t>(ЗАО «Автовокзал», ОАО «Дагинвестресурс»).</w:t>
      </w:r>
    </w:p>
    <w:p w14:paraId="01555B34"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итогам 2020 года 38 акционерных обществ завершили с чистой прибылью в сумме 36 930,4 тыс. рублей и 10 акционерных обществ – </w:t>
      </w:r>
      <w:r w:rsidRPr="00A922B4">
        <w:rPr>
          <w:rFonts w:ascii="Times New Roman" w:eastAsia="Times New Roman" w:hAnsi="Times New Roman" w:cs="Times New Roman"/>
          <w:sz w:val="28"/>
          <w:szCs w:val="28"/>
          <w:lang w:eastAsia="ru-RU"/>
        </w:rPr>
        <w:br/>
        <w:t xml:space="preserve">с убытком в сумме 36 310,0 тыс. рублей. </w:t>
      </w:r>
    </w:p>
    <w:p w14:paraId="429891DD"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По расчетам с контрагентами Минимущества РД, сумма начисленных дивидендов составляет 10 934,9 тыс. рублей, что на 1 385,3 тыс. рублей больше, чем по решениям акционерных обществ. Фактически в 2021 году оплата произведена в сумме 11 262,6 тыс. рублей.</w:t>
      </w:r>
    </w:p>
    <w:p w14:paraId="7220990F"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нарушение статьи 42 Федерального закона от 26 декабря 1995 года </w:t>
      </w:r>
      <w:r w:rsidRPr="00A922B4">
        <w:rPr>
          <w:rFonts w:ascii="Times New Roman" w:eastAsia="Times New Roman" w:hAnsi="Times New Roman" w:cs="Times New Roman"/>
          <w:sz w:val="28"/>
          <w:szCs w:val="28"/>
          <w:lang w:eastAsia="ru-RU"/>
        </w:rPr>
        <w:br/>
        <w:t xml:space="preserve">№ 208-ФЗ «Об акционерных обществах», не оплачены дивиденды в общей </w:t>
      </w:r>
      <w:r w:rsidRPr="00A922B4">
        <w:rPr>
          <w:rFonts w:ascii="Times New Roman" w:eastAsia="Times New Roman" w:hAnsi="Times New Roman" w:cs="Times New Roman"/>
          <w:sz w:val="28"/>
          <w:szCs w:val="28"/>
          <w:lang w:eastAsia="ru-RU"/>
        </w:rPr>
        <w:lastRenderedPageBreak/>
        <w:t>сумме 1 432,35 тыс. рублей.</w:t>
      </w:r>
    </w:p>
    <w:p w14:paraId="679CCE95"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расчетах с контрагентами по дивидендам отражены расчеты с другими контрагентами (ГУП, ООО, СПК, СХК, ИП), в связи с чем, задолженность по дивидендам на 1 января 2022 года (дебиторская – 24 181,4 тыс. рублей), является недостоверной (несанкционированной).  </w:t>
      </w:r>
    </w:p>
    <w:p w14:paraId="05AE06F8"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 xml:space="preserve">11) </w:t>
      </w:r>
      <w:r w:rsidRPr="00A922B4">
        <w:rPr>
          <w:rFonts w:ascii="Times New Roman" w:eastAsia="Times New Roman" w:hAnsi="Times New Roman" w:cs="Times New Roman"/>
          <w:sz w:val="28"/>
          <w:szCs w:val="28"/>
          <w:lang w:eastAsia="ru-RU"/>
        </w:rPr>
        <w:t>По состоянию на 1 января 2022 года в Реестре государственного имущества Республики Дагестан значатся 12 обществ с ограниченной ответственностью (ООО), которые находятся в ведомственном подчинении 3 министерств, в том числе:</w:t>
      </w:r>
    </w:p>
    <w:p w14:paraId="004E0D99"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Министерства туризма и народным художественным промыслам Республики Дагестан: ООО «Ботлихская ФНП», ООО «Ляхлинская ковровая фабрика», ООО «Гоцатлинский художественный комбинат» и ООО «Межгюльская ковровая фабрика»);</w:t>
      </w:r>
    </w:p>
    <w:p w14:paraId="4D6C4E38"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Министерства сельского хозяйства и продовольствия Республики Дагестан: ООО «им. Гамидова», ООО «Тидибский», ООО «Дагсельхозтехника», ООО «Комсомольское», ООО «Буйнакская база МТС», ООО «Новонадеждинская» и ООО «Зирани»);</w:t>
      </w:r>
    </w:p>
    <w:p w14:paraId="4F01978E"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Министерства транспорта и дорожного хозяйства Республики Дагестан: ООО Каспийское АТП».</w:t>
      </w:r>
    </w:p>
    <w:p w14:paraId="0B200951" w14:textId="77777777" w:rsidR="00A922B4" w:rsidRPr="00A922B4" w:rsidRDefault="00A922B4" w:rsidP="00A60AEE">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итогам финансово-хозяйственной деятельности за 2020 год чистая прибыль получена 9 обществами на общую сумму 1 384, 0 тыс. рублей и одно общество завершило с убытком в сумме 562,0 тыс. рублей (ООО «Ботлихская Фабрика Народных Промыслов»). </w:t>
      </w:r>
    </w:p>
    <w:p w14:paraId="67121D06"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2021 году, по итогам работы за 2020 год сумма дивидендов (ООО), подлежащих уплате в республиканский бюджет Республики Дагестан из расчета до 35 % чистой прибыли составляет 484,4 тыс. рублей, фактически поступило 459,2 тыс. рублей, задолженность на 1 января 2022 года – 25,2 тыс. рублей. </w:t>
      </w:r>
    </w:p>
    <w:p w14:paraId="3CF05CA7"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В ходе проверки был проведен анализ деятельности 3 акционерных обществ со 100 % долей в уставном капитале в части использования государственного имущества Республики Дагестан (АО «Агульское дорожно-эксплуатационное предприятие № 1»; АО «Бабаюртовское дорожно-эксплуатационное предприятие № 5»; АО «Магарамкентское дорожно-эксплуатационное предприятие № 26»), который показал следующее:</w:t>
      </w:r>
    </w:p>
    <w:p w14:paraId="6C1F349A"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в акционерных обществах не созданы фонды материального поощрения и благотворительной помощи;</w:t>
      </w:r>
    </w:p>
    <w:p w14:paraId="0431F228"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не проведена государственная регистрация права собственности на недвижимое имущество;</w:t>
      </w:r>
    </w:p>
    <w:p w14:paraId="0B23A5E7"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отдельное движимое и недвижимое имущество акционерных обществ находится в непригодном для эксплуатации состоянии; </w:t>
      </w:r>
    </w:p>
    <w:p w14:paraId="71A03953"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на балансе предприятий не учтено отдельное имущество; </w:t>
      </w:r>
    </w:p>
    <w:p w14:paraId="2AC41E03"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допущено образование дебиторской задолженности с истекшим сроком давности.</w:t>
      </w:r>
    </w:p>
    <w:p w14:paraId="40C0327B" w14:textId="1D12D701"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color w:val="002060"/>
          <w:sz w:val="28"/>
          <w:szCs w:val="28"/>
          <w:lang w:eastAsia="ru-RU"/>
        </w:rPr>
        <w:t>12)</w:t>
      </w:r>
      <w:r w:rsidRPr="00FD2249">
        <w:rPr>
          <w:rFonts w:ascii="Times New Roman" w:eastAsia="Times New Roman" w:hAnsi="Times New Roman" w:cs="Times New Roman"/>
          <w:color w:val="002060"/>
          <w:sz w:val="28"/>
          <w:szCs w:val="28"/>
          <w:lang w:eastAsia="ru-RU"/>
        </w:rPr>
        <w:t xml:space="preserve"> </w:t>
      </w:r>
      <w:r w:rsidRPr="00A922B4">
        <w:rPr>
          <w:rFonts w:ascii="Times New Roman" w:eastAsia="Times New Roman" w:hAnsi="Times New Roman" w:cs="Times New Roman"/>
          <w:sz w:val="28"/>
          <w:szCs w:val="28"/>
          <w:lang w:eastAsia="ru-RU"/>
        </w:rPr>
        <w:t xml:space="preserve">По состоянию на 1 января 2022 года в Реестре государственного </w:t>
      </w:r>
      <w:r w:rsidRPr="00A922B4">
        <w:rPr>
          <w:rFonts w:ascii="Times New Roman" w:eastAsia="Times New Roman" w:hAnsi="Times New Roman" w:cs="Times New Roman"/>
          <w:sz w:val="28"/>
          <w:szCs w:val="28"/>
          <w:lang w:eastAsia="ru-RU"/>
        </w:rPr>
        <w:lastRenderedPageBreak/>
        <w:t xml:space="preserve">имущества Республики Дагестан значится 45 государственных унитарных предприятий, в том числе 39 унитарных и 6 казенных предприятий. Из них 9 предприятий, находятся на стадии ликвидации (в том числе 2 – казенных), 8 предприятий находятся в процессе банкротства, 23 предприятия являются действующими и осуществляют финансово-хозяйственную деятельность, из них 3 предприятия находятся на стадии реорганизации, в форме преобразования в общества ограниченной ответственностью, 3 – не осуществляют деятельность (по 1 предприятию подготовлен проект постановления Правительства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о ликвидации).</w:t>
      </w:r>
    </w:p>
    <w:p w14:paraId="285D66E9"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За 2021 год 2 предприятия ликвидированы и исключены из ЕГРЮЛ (ГУП «Центр государственного экологического контроля мониторинга и управления окружающей средой», ГУП «Центральный ипподром «Дагестанский»).</w:t>
      </w:r>
    </w:p>
    <w:p w14:paraId="2241C466"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bookmarkStart w:id="24" w:name="_Hlk42700037"/>
      <w:r w:rsidRPr="00A922B4">
        <w:rPr>
          <w:rFonts w:ascii="Times New Roman" w:eastAsia="Times New Roman" w:hAnsi="Times New Roman" w:cs="Times New Roman"/>
          <w:sz w:val="28"/>
          <w:szCs w:val="28"/>
          <w:lang w:eastAsia="ru-RU"/>
        </w:rPr>
        <w:t xml:space="preserve">По состоянию на 1 января 2022 года в отношении 9 государственных унитарных предприятий не завершены ликвидационные мероприятия </w:t>
      </w:r>
      <w:r w:rsidRPr="00A922B4">
        <w:rPr>
          <w:rFonts w:ascii="Times New Roman" w:eastAsia="Times New Roman" w:hAnsi="Times New Roman" w:cs="Times New Roman"/>
          <w:sz w:val="28"/>
          <w:szCs w:val="28"/>
          <w:lang w:eastAsia="ru-RU"/>
        </w:rPr>
        <w:br/>
        <w:t xml:space="preserve">(ГУП «Дагестанский межрегиональный оптовый продовольственный рынок»; ГУП «Совхоз Гоцатлинский»; ГУП «Муцалаульский»; </w:t>
      </w:r>
      <w:r w:rsidRPr="00A922B4">
        <w:rPr>
          <w:rFonts w:ascii="Times New Roman" w:eastAsia="Times New Roman" w:hAnsi="Times New Roman" w:cs="Times New Roman"/>
          <w:sz w:val="28"/>
          <w:szCs w:val="28"/>
          <w:lang w:eastAsia="ru-RU"/>
        </w:rPr>
        <w:br/>
        <w:t xml:space="preserve">ГУП «Дирекция ФЦП «Юг России» по РД»; ГУП «Мелиоратор»; </w:t>
      </w:r>
      <w:r w:rsidRPr="00A922B4">
        <w:rPr>
          <w:rFonts w:ascii="Times New Roman" w:eastAsia="Times New Roman" w:hAnsi="Times New Roman" w:cs="Times New Roman"/>
          <w:sz w:val="28"/>
          <w:szCs w:val="28"/>
          <w:lang w:eastAsia="ru-RU"/>
        </w:rPr>
        <w:br/>
        <w:t xml:space="preserve">КП РД «Спецбытстройсервис»; ГУП «Кабирская ковровая фабрика»; </w:t>
      </w:r>
      <w:r w:rsidRPr="00A922B4">
        <w:rPr>
          <w:rFonts w:ascii="Times New Roman" w:eastAsia="Times New Roman" w:hAnsi="Times New Roman" w:cs="Times New Roman"/>
          <w:sz w:val="28"/>
          <w:szCs w:val="28"/>
          <w:lang w:eastAsia="ru-RU"/>
        </w:rPr>
        <w:br/>
        <w:t>ГУП «Дагестанлес»; КП РД «Дирекция государственного заказчика – застройщика»).</w:t>
      </w:r>
    </w:p>
    <w:p w14:paraId="50184908"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Приказом Минимущества РД от 15 января 2019 года № 4 «О рабочей группе по контролю ходом ликвидационных мероприятий в отношении государственных унитарных предприятий» было предусмотрено обеспечение завершения ликвидационных процедур, в срок до 1 июня 2019 года. Однако, ликвидация указанных государственных предприятий не осуществлена. </w:t>
      </w:r>
    </w:p>
    <w:bookmarkEnd w:id="24"/>
    <w:p w14:paraId="4EB698CA" w14:textId="77777777" w:rsidR="00A922B4" w:rsidRPr="00A922B4" w:rsidRDefault="00A922B4" w:rsidP="00A60AEE">
      <w:pPr>
        <w:widowControl w:val="0"/>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2019-2022 годах в соответствии с распоряжениями Минимущества РД были внесены изменения в ранее созданные комиссии и созданы новые комиссии по ликвидации государственных унитарных предприятий. В тоже время, проводимая работа, в том числе по изменению составов комиссий, не привела к завершению ликвидационных мероприятий по оставшимся предприятиям, что подтверждается выписками из ЕГРЮЛ. </w:t>
      </w:r>
    </w:p>
    <w:p w14:paraId="4E1051E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состоянию на 1 января 2022 года, в отношении 8 государственных унитарных предприятий ведется конкурсное производство (процедура несостоятельности (банкротство), на основании решений Арбитражного суда Республики Дагестан (ГУП «Геджух»; ГУП «Табасаранское»; ГУП «Аксай»; ГУП «Ханум Магомедовой»; ГУП «Хасавюртовское </w:t>
      </w:r>
      <w:r w:rsidRPr="00A922B4">
        <w:rPr>
          <w:rFonts w:ascii="Times New Roman" w:eastAsia="Times New Roman" w:hAnsi="Times New Roman" w:cs="Times New Roman"/>
          <w:sz w:val="28"/>
          <w:szCs w:val="28"/>
          <w:lang w:eastAsia="ru-RU"/>
        </w:rPr>
        <w:br/>
        <w:t xml:space="preserve">МРПО «Сельхозхимии»; ГУП «им. Сардарова»; ГУП «МПАТП-2»; </w:t>
      </w:r>
      <w:r w:rsidRPr="00A922B4">
        <w:rPr>
          <w:rFonts w:ascii="Times New Roman" w:eastAsia="Times New Roman" w:hAnsi="Times New Roman" w:cs="Times New Roman"/>
          <w:sz w:val="28"/>
          <w:szCs w:val="28"/>
          <w:lang w:eastAsia="ru-RU"/>
        </w:rPr>
        <w:br/>
        <w:t>ГУП «Кубачинский художественный комбинат»).</w:t>
      </w:r>
    </w:p>
    <w:p w14:paraId="6322E08F"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На 1 января 2022 года за ликвидируемыми и находящимися на стадии банкротства предприятиями значится: движимое имущество в количестве 641 единиц остаточной стоимостью 438 405,6 тыс. рублей; объекты нежилого фонда в количестве 703 единиц, с общей площадью 147 452,7 тыс. кв. м; 85 земельных участка с общей площадью 14 733,91 га.</w:t>
      </w:r>
    </w:p>
    <w:p w14:paraId="4C0DBF64"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 xml:space="preserve">В результате не обеспечения контроля за использованием переданного хозяйствующим субъектам имущества, земельные участки находятся в пользовании иных лиц (физических и юридических лиц), а объекты нежилого фонда – в состоянии не пригодном для эксплуатации. </w:t>
      </w:r>
    </w:p>
    <w:p w14:paraId="46743951"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В крайне неудовлетворительном состоянии находятся объекты нежилого фонда, закрепленные за 3 предприятиями (ГУП «Дагестанлес»; </w:t>
      </w:r>
      <w:r w:rsidRPr="00A922B4">
        <w:rPr>
          <w:rFonts w:ascii="Times New Roman" w:eastAsia="Times New Roman" w:hAnsi="Times New Roman" w:cs="Times New Roman"/>
          <w:sz w:val="28"/>
          <w:szCs w:val="28"/>
          <w:lang w:eastAsia="ru-RU"/>
        </w:rPr>
        <w:br/>
        <w:t>КП РД «Дирекция государственного заказчика-застройщика»; ГУП «Мелиоратор»).</w:t>
      </w:r>
    </w:p>
    <w:p w14:paraId="73C7B808"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Из действующих предприятий финансовый год завершили с чистой прибылью 13 государственных унитарных предприятий (62 030 тыс. рублей), и 8 предприятия – с убытками в сумме 156 701 тыс. рублей.</w:t>
      </w:r>
    </w:p>
    <w:p w14:paraId="4FEC026B"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Проверка состояния дебиторской и кредиторской задолженности </w:t>
      </w:r>
      <w:r w:rsidRPr="00A922B4">
        <w:rPr>
          <w:rFonts w:ascii="Times New Roman" w:eastAsia="Times New Roman" w:hAnsi="Times New Roman" w:cs="Times New Roman"/>
          <w:sz w:val="28"/>
          <w:szCs w:val="28"/>
          <w:lang w:eastAsia="ru-RU"/>
        </w:rPr>
        <w:br/>
        <w:t>ГУП показала, что система управления государственными предприятиями неэффективна, не налажено управление финансами предприятий, использование прибыли, в результате чего допускается отвлечение средств на непроизводственные нужды. Несмотря на принимаемые меры по повышению эффективности деятельности, на предприятиях допускается значительный объем задолженности.</w:t>
      </w:r>
    </w:p>
    <w:p w14:paraId="2C2591EC"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По состоянию на 1 января 2021 года кредиторская задолженность действующих ГУП составила 979 421 тыс. рублей, что в сравнении с началом года увеличилась на 141 571 тыс. рублей или на 14,4 %.  </w:t>
      </w:r>
    </w:p>
    <w:p w14:paraId="385BD66A"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Дебиторская задолженность действующих составила 968 377 тыс. рублей, что в сравнении с началом года увеличилась на 115 881 тыс. рублей, или на 11,9 %. </w:t>
      </w:r>
    </w:p>
    <w:p w14:paraId="363D6585"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Законом Республики Дагестан о республиканском бюджете Республики Дагестан на 2021 год поступления доходов в виде перечисления части прибыли, остающейся после уплаты налогов и иных обязательных платежей государственных унитарных предприятий утверждены в сумме 1 000,0 тыс. рублей. Фактически предприятиями в 2021 году перечислено платежей в сумме 1 175,7 тыс. рублей, что на 17,6 % больше утвержденных назначений. </w:t>
      </w:r>
    </w:p>
    <w:p w14:paraId="6C6C5DF4"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Минимуществом РД в расчетах с контрагентами по перечислениям части прибыли государственных унитарных предприятий допущено искажение бюджетного учета, выразившееся в необоснованном отражении расчетов дивидендов отдельных акционерных обществ.</w:t>
      </w:r>
    </w:p>
    <w:p w14:paraId="145D5427" w14:textId="7EC4348E"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Анализ деятельности проверенных государственных унитарных предприятий, а также проверка наличия и использования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переданного предприятиям на праве хозяйственного ведения, показали следующее:</w:t>
      </w:r>
    </w:p>
    <w:p w14:paraId="5B720F0B" w14:textId="77777777"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передача и закрепление государственного имущества за предприятиями осуществлено при отсутствии соответствующих актов приемки-передачи (ГУП «Каякентское», ГУП «Утамышский», </w:t>
      </w:r>
      <w:r w:rsidRPr="00A922B4">
        <w:rPr>
          <w:rFonts w:ascii="Times New Roman" w:eastAsia="Times New Roman" w:hAnsi="Times New Roman" w:cs="Times New Roman"/>
          <w:sz w:val="28"/>
          <w:szCs w:val="28"/>
          <w:lang w:eastAsia="ru-RU"/>
        </w:rPr>
        <w:br/>
        <w:t xml:space="preserve">ГУП «Чкаловский», ГУП «Башлыкентский», ГУП «Кировский», </w:t>
      </w:r>
      <w:r w:rsidRPr="00A922B4">
        <w:rPr>
          <w:rFonts w:ascii="Times New Roman" w:eastAsia="Times New Roman" w:hAnsi="Times New Roman" w:cs="Times New Roman"/>
          <w:sz w:val="28"/>
          <w:szCs w:val="28"/>
          <w:lang w:eastAsia="ru-RU"/>
        </w:rPr>
        <w:br/>
        <w:t>ГУП «Буйнакский», ГУП «Дылымское», ГУП «Чиркейское», ГУП «Каспий», ГУП «Усемикентский», ГУП «Новая жизнь», ГУП «Красный октябрь»);</w:t>
      </w:r>
    </w:p>
    <w:p w14:paraId="41B7FFA6" w14:textId="3BD8F349"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lastRenderedPageBreak/>
        <w:t xml:space="preserve">- Минимуществом РД не осуществляется в полной мере обновление данных Реестра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Государственное имущество Республики Дагестан, числящееся в Реестре государственного имущества Республики Дагестан, значительно отличается от их фактического наличия;</w:t>
      </w:r>
    </w:p>
    <w:p w14:paraId="4AD7574D" w14:textId="77777777"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не проведена государственная регистрация права собственности на земельные участки, не переоформлено право постоянного (бессрочного) пользования земельными участками, на право аренды </w:t>
      </w:r>
      <w:r w:rsidRPr="00A922B4">
        <w:rPr>
          <w:rFonts w:ascii="Times New Roman" w:eastAsia="Times New Roman" w:hAnsi="Times New Roman" w:cs="Times New Roman"/>
          <w:sz w:val="28"/>
          <w:szCs w:val="28"/>
          <w:lang w:eastAsia="ru-RU"/>
        </w:rPr>
        <w:br/>
        <w:t xml:space="preserve">(ГУП «Каякентское»,ГУП «Утамышский», ГУП «Чкаловский», </w:t>
      </w:r>
      <w:r w:rsidRPr="00A922B4">
        <w:rPr>
          <w:rFonts w:ascii="Times New Roman" w:eastAsia="Times New Roman" w:hAnsi="Times New Roman" w:cs="Times New Roman"/>
          <w:sz w:val="28"/>
          <w:szCs w:val="28"/>
          <w:lang w:eastAsia="ru-RU"/>
        </w:rPr>
        <w:br/>
        <w:t xml:space="preserve">ГУП «Башлыкентский», ГУП «Кировский», ГУП «Буйнакский», </w:t>
      </w:r>
      <w:r w:rsidRPr="00A922B4">
        <w:rPr>
          <w:rFonts w:ascii="Times New Roman" w:eastAsia="Times New Roman" w:hAnsi="Times New Roman" w:cs="Times New Roman"/>
          <w:sz w:val="28"/>
          <w:szCs w:val="28"/>
          <w:lang w:eastAsia="ru-RU"/>
        </w:rPr>
        <w:br/>
        <w:t xml:space="preserve">ГУП «Дылымское», ГУП «Чиркейское», ГУП «Каспий», </w:t>
      </w:r>
      <w:r w:rsidRPr="00A922B4">
        <w:rPr>
          <w:rFonts w:ascii="Times New Roman" w:eastAsia="Times New Roman" w:hAnsi="Times New Roman" w:cs="Times New Roman"/>
          <w:sz w:val="28"/>
          <w:szCs w:val="28"/>
          <w:lang w:eastAsia="ru-RU"/>
        </w:rPr>
        <w:br/>
        <w:t>ГУП «Усемикентский», ГУП «Новая жизнь», ГУП «Красный октябрь»);</w:t>
      </w:r>
    </w:p>
    <w:p w14:paraId="423CF033" w14:textId="77777777"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 земельные участки государственных унитарных предприятий, передаются в аренду без согласия собственника имущества; </w:t>
      </w:r>
    </w:p>
    <w:p w14:paraId="36D7BC74" w14:textId="77777777" w:rsidR="00A922B4" w:rsidRPr="00A922B4"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Минимуществом РД не принимаются меры по досрочному расторжению договоров в связи с нецелевым использованием земельных участков;</w:t>
      </w:r>
    </w:p>
    <w:p w14:paraId="0D658583"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в Минимущество РД не представлены отчеты руководителями отдельных предприятий (ГУП РД «К. Маркса», ГУП РД «им. Богатырева», ГУП РД «Гергинский», ГУП РД «Новая жизнь»).</w:t>
      </w:r>
    </w:p>
    <w:p w14:paraId="0ABF9E20" w14:textId="4CF06E79" w:rsidR="00A922B4" w:rsidRPr="006B71E3" w:rsidRDefault="00A922B4" w:rsidP="006B71E3">
      <w:pPr>
        <w:spacing w:after="0" w:line="240" w:lineRule="auto"/>
        <w:ind w:firstLine="709"/>
        <w:contextualSpacing/>
        <w:jc w:val="both"/>
        <w:rPr>
          <w:rFonts w:ascii="Times New Roman" w:eastAsia="Times New Roman" w:hAnsi="Times New Roman" w:cs="Times New Roman"/>
          <w:sz w:val="28"/>
          <w:szCs w:val="28"/>
          <w:lang w:eastAsia="ru-RU"/>
        </w:rPr>
      </w:pPr>
      <w:r w:rsidRPr="00A922B4">
        <w:rPr>
          <w:rFonts w:ascii="Times New Roman" w:eastAsia="Times New Roman" w:hAnsi="Times New Roman" w:cs="Times New Roman"/>
          <w:sz w:val="28"/>
          <w:szCs w:val="28"/>
          <w:lang w:eastAsia="ru-RU"/>
        </w:rPr>
        <w:t xml:space="preserve">Отраслевыми органами исполнительной власти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xml:space="preserve">, в том числе Минимуществом РД, не обеспечивается сохранность имущества, закрепленного за государственными унитарными предприятиями, не принимаются меры по обеспечению финансового оздоровления предприятий в целях восстановления платежеспособности и погашения задолженности, отсутствует координация и взаимодействие с арбитражными управляющими. Так, значительная часть имущества предприятий находится в полуразрушенном состоянии и со временем может прийти в полную негодность. На предприятиях отсутствует контроль за сохранностью и эффективным использованием государственного имущества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ru-RU"/>
        </w:rPr>
        <w:t>, в результате существуют риски его разбазаривания и полной утери.</w:t>
      </w:r>
    </w:p>
    <w:p w14:paraId="470AB0E9" w14:textId="03720BFD" w:rsidR="005B21C7"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49429B7D" w14:textId="30ACDF1A" w:rsidR="005B21C7"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72F7B817" w14:textId="72733330" w:rsidR="005B21C7"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487FB4E5" w14:textId="3176B68F" w:rsidR="005B21C7"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3246486B" w14:textId="21B63910" w:rsidR="005B21C7"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66B7E5F7" w14:textId="021F1320" w:rsidR="005B21C7"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7D2D57B6" w14:textId="0CC136AC" w:rsidR="005B21C7"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6B5B0F91" w14:textId="1F711887" w:rsidR="00B96E95" w:rsidRDefault="00B96E95"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50C6A76B" w14:textId="70118C6F" w:rsidR="00B96E95" w:rsidRDefault="00B96E95"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6C4572FC" w14:textId="3F5926B5" w:rsidR="00B96E95" w:rsidRDefault="00B96E95"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5A2EBCA7" w14:textId="4E0836C6" w:rsidR="00B96E95" w:rsidRDefault="00B96E95"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2C2A172F" w14:textId="77777777" w:rsidR="00B96E95" w:rsidRDefault="00B96E95"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377987F5" w14:textId="4EAE7F3B" w:rsidR="005B21C7" w:rsidRPr="00F41CA8" w:rsidRDefault="00F41CA8" w:rsidP="00A922B4">
      <w:pPr>
        <w:spacing w:after="0" w:line="240" w:lineRule="auto"/>
        <w:ind w:firstLine="851"/>
        <w:contextualSpacing/>
        <w:jc w:val="both"/>
        <w:rPr>
          <w:rFonts w:ascii="Times New Roman" w:eastAsia="Times New Roman" w:hAnsi="Times New Roman" w:cs="Times New Roman"/>
          <w:b/>
          <w:bCs/>
          <w:color w:val="002060"/>
          <w:sz w:val="28"/>
          <w:szCs w:val="28"/>
          <w:lang w:eastAsia="ru-RU"/>
        </w:rPr>
      </w:pPr>
      <w:r w:rsidRPr="005B21C7">
        <w:rPr>
          <w:rFonts w:ascii="Times New Roman" w:eastAsia="Times New Roman" w:hAnsi="Times New Roman" w:cs="Times New Roman"/>
          <w:b/>
          <w:bCs/>
          <w:color w:val="002060"/>
          <w:sz w:val="28"/>
          <w:szCs w:val="28"/>
          <w:lang w:eastAsia="ru-RU"/>
        </w:rPr>
        <w:lastRenderedPageBreak/>
        <w:t>4.1.</w:t>
      </w:r>
      <w:r>
        <w:rPr>
          <w:rFonts w:ascii="Times New Roman" w:eastAsia="Times New Roman" w:hAnsi="Times New Roman" w:cs="Times New Roman"/>
          <w:b/>
          <w:bCs/>
          <w:color w:val="002060"/>
          <w:sz w:val="28"/>
          <w:szCs w:val="28"/>
          <w:lang w:eastAsia="ru-RU"/>
        </w:rPr>
        <w:t>3.</w:t>
      </w:r>
      <w:r w:rsidRPr="00F41CA8">
        <w:rPr>
          <w:rFonts w:ascii="Times New Roman" w:eastAsia="Times New Roman" w:hAnsi="Times New Roman" w:cs="Times New Roman"/>
          <w:sz w:val="28"/>
          <w:szCs w:val="28"/>
          <w:lang w:eastAsia="ar-SA"/>
        </w:rPr>
        <w:t xml:space="preserve"> </w:t>
      </w:r>
      <w:r w:rsidRPr="00F41CA8">
        <w:rPr>
          <w:rFonts w:ascii="Times New Roman" w:eastAsia="Times New Roman" w:hAnsi="Times New Roman" w:cs="Times New Roman"/>
          <w:b/>
          <w:bCs/>
          <w:color w:val="002060"/>
          <w:sz w:val="28"/>
          <w:szCs w:val="28"/>
          <w:lang w:eastAsia="ru-RU"/>
        </w:rPr>
        <w:t>З</w:t>
      </w:r>
      <w:r w:rsidRPr="00A922B4">
        <w:rPr>
          <w:rFonts w:ascii="Times New Roman" w:eastAsia="Times New Roman" w:hAnsi="Times New Roman" w:cs="Times New Roman"/>
          <w:b/>
          <w:bCs/>
          <w:color w:val="002060"/>
          <w:sz w:val="28"/>
          <w:szCs w:val="28"/>
          <w:lang w:eastAsia="ru-RU"/>
        </w:rPr>
        <w:t>адолженность по налогам и сборам в консолидированный бюджет Российской Федерации</w:t>
      </w:r>
      <w:r w:rsidRPr="00F41CA8">
        <w:rPr>
          <w:rFonts w:ascii="Times New Roman" w:eastAsia="Times New Roman" w:hAnsi="Times New Roman" w:cs="Times New Roman"/>
          <w:b/>
          <w:bCs/>
          <w:color w:val="002060"/>
          <w:sz w:val="28"/>
          <w:szCs w:val="28"/>
          <w:lang w:eastAsia="ru-RU"/>
        </w:rPr>
        <w:t xml:space="preserve"> </w:t>
      </w:r>
      <w:r w:rsidRPr="00A922B4">
        <w:rPr>
          <w:rFonts w:ascii="Times New Roman" w:eastAsia="Times New Roman" w:hAnsi="Times New Roman" w:cs="Times New Roman"/>
          <w:b/>
          <w:bCs/>
          <w:color w:val="002060"/>
          <w:sz w:val="28"/>
          <w:szCs w:val="28"/>
          <w:lang w:eastAsia="ru-RU"/>
        </w:rPr>
        <w:t>на 1 января 2022 года</w:t>
      </w:r>
      <w:r>
        <w:rPr>
          <w:rFonts w:ascii="Times New Roman" w:eastAsia="Times New Roman" w:hAnsi="Times New Roman" w:cs="Times New Roman"/>
          <w:b/>
          <w:bCs/>
          <w:color w:val="002060"/>
          <w:sz w:val="28"/>
          <w:szCs w:val="28"/>
          <w:lang w:eastAsia="ru-RU"/>
        </w:rPr>
        <w:t>.</w:t>
      </w:r>
    </w:p>
    <w:p w14:paraId="0BFAA592" w14:textId="77777777" w:rsidR="005B21C7" w:rsidRPr="00A922B4" w:rsidRDefault="005B21C7" w:rsidP="00A922B4">
      <w:pPr>
        <w:spacing w:after="0" w:line="240" w:lineRule="auto"/>
        <w:ind w:firstLine="851"/>
        <w:contextualSpacing/>
        <w:jc w:val="both"/>
        <w:rPr>
          <w:rFonts w:ascii="Times New Roman" w:eastAsia="Times New Roman" w:hAnsi="Times New Roman" w:cs="Times New Roman"/>
          <w:w w:val="105"/>
          <w:sz w:val="28"/>
          <w:szCs w:val="28"/>
          <w:lang w:eastAsia="ru-RU"/>
        </w:rPr>
      </w:pPr>
    </w:p>
    <w:p w14:paraId="7421F98E" w14:textId="5DB7191D"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ar-SA"/>
        </w:rPr>
      </w:pPr>
      <w:bookmarkStart w:id="25" w:name="_Hlk73094067"/>
      <w:bookmarkEnd w:id="20"/>
      <w:bookmarkEnd w:id="21"/>
      <w:r w:rsidRPr="00A922B4">
        <w:rPr>
          <w:rFonts w:ascii="Times New Roman" w:eastAsia="Times New Roman" w:hAnsi="Times New Roman" w:cs="Times New Roman"/>
          <w:sz w:val="28"/>
          <w:szCs w:val="28"/>
          <w:lang w:eastAsia="ar-SA"/>
        </w:rPr>
        <w:t>По состоянию на 1 января 2022 года задолженность по налогам и сборам в консолидированный бюджет Российской Федерации (без учета задолженности во внебюджетные фонды) составила 15 441 743,0 тыс. рублей, в том числе по:</w:t>
      </w:r>
    </w:p>
    <w:p w14:paraId="566FA4CF"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w:t>
      </w:r>
      <w:r w:rsidRPr="00A922B4">
        <w:rPr>
          <w:rFonts w:ascii="Times New Roman" w:eastAsia="Times New Roman" w:hAnsi="Times New Roman" w:cs="Times New Roman"/>
          <w:sz w:val="24"/>
          <w:szCs w:val="24"/>
          <w:lang w:eastAsia="ru-RU"/>
        </w:rPr>
        <w:t xml:space="preserve"> </w:t>
      </w:r>
      <w:r w:rsidRPr="00A922B4">
        <w:rPr>
          <w:rFonts w:ascii="Times New Roman" w:eastAsia="Times New Roman" w:hAnsi="Times New Roman" w:cs="Times New Roman"/>
          <w:sz w:val="28"/>
          <w:szCs w:val="28"/>
          <w:lang w:eastAsia="ar-SA"/>
        </w:rPr>
        <w:t>федеральным налогам и сборам – 6 158 351,0 тыс. рублей;</w:t>
      </w:r>
    </w:p>
    <w:p w14:paraId="14128C84"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региональным налогам и сборам – 5 892 179,0 тыс. рублей;</w:t>
      </w:r>
    </w:p>
    <w:p w14:paraId="26A56C56"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местным налогам и сборам – 2 962 214,0 тыс. рублей;</w:t>
      </w:r>
    </w:p>
    <w:p w14:paraId="3339E48D"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налогам со специальным налоговым режимом – 428 999,0 тыс. рублей.</w:t>
      </w:r>
    </w:p>
    <w:bookmarkEnd w:id="25"/>
    <w:p w14:paraId="4F01CFBC"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Задолженность по налогам и сборам в консолидированный бюджет Российской Федерации за 2020-2021 годы приведена в следующей таблице. </w:t>
      </w:r>
    </w:p>
    <w:p w14:paraId="138B4953" w14:textId="77777777" w:rsidR="00A922B4" w:rsidRPr="00A922B4" w:rsidRDefault="00A922B4" w:rsidP="00A922B4">
      <w:pPr>
        <w:spacing w:after="0" w:line="240" w:lineRule="auto"/>
        <w:ind w:firstLine="851"/>
        <w:jc w:val="both"/>
        <w:rPr>
          <w:rFonts w:ascii="Times New Roman" w:eastAsia="Times New Roman" w:hAnsi="Times New Roman" w:cs="Times New Roman"/>
          <w:sz w:val="28"/>
          <w:szCs w:val="28"/>
          <w:lang w:eastAsia="ar-SA"/>
        </w:rPr>
      </w:pPr>
    </w:p>
    <w:p w14:paraId="6188A973" w14:textId="77777777" w:rsidR="00A922B4" w:rsidRPr="00A922B4" w:rsidRDefault="00A922B4" w:rsidP="00A922B4">
      <w:pPr>
        <w:spacing w:after="0" w:line="240" w:lineRule="auto"/>
        <w:ind w:firstLine="708"/>
        <w:jc w:val="right"/>
        <w:rPr>
          <w:rFonts w:ascii="Times New Roman" w:eastAsia="Times New Roman" w:hAnsi="Times New Roman" w:cs="Times New Roman"/>
          <w:b/>
          <w:bCs/>
          <w:color w:val="002060"/>
          <w:sz w:val="24"/>
          <w:szCs w:val="24"/>
          <w:highlight w:val="yellow"/>
          <w:lang w:eastAsia="ar-SA"/>
        </w:rPr>
      </w:pPr>
      <w:r w:rsidRPr="00A922B4">
        <w:rPr>
          <w:rFonts w:ascii="Times New Roman" w:eastAsia="Times New Roman" w:hAnsi="Times New Roman" w:cs="Times New Roman"/>
          <w:b/>
          <w:bCs/>
          <w:color w:val="002060"/>
          <w:sz w:val="24"/>
          <w:szCs w:val="24"/>
          <w:lang w:eastAsia="ar-SA"/>
        </w:rPr>
        <w:t>тыс. рублей</w:t>
      </w:r>
    </w:p>
    <w:tbl>
      <w:tblPr>
        <w:tblW w:w="9400" w:type="dxa"/>
        <w:tblInd w:w="93" w:type="dxa"/>
        <w:tblLook w:val="00A0" w:firstRow="1" w:lastRow="0" w:firstColumn="1" w:lastColumn="0" w:noHBand="0" w:noVBand="0"/>
      </w:tblPr>
      <w:tblGrid>
        <w:gridCol w:w="1036"/>
        <w:gridCol w:w="451"/>
        <w:gridCol w:w="1476"/>
        <w:gridCol w:w="1721"/>
        <w:gridCol w:w="1833"/>
        <w:gridCol w:w="1465"/>
        <w:gridCol w:w="1658"/>
      </w:tblGrid>
      <w:tr w:rsidR="00F41CA8" w:rsidRPr="00A922B4" w14:paraId="02480234" w14:textId="77777777" w:rsidTr="00156793">
        <w:trPr>
          <w:trHeight w:val="137"/>
        </w:trPr>
        <w:tc>
          <w:tcPr>
            <w:tcW w:w="1487" w:type="dxa"/>
            <w:gridSpan w:val="2"/>
            <w:vMerge w:val="restart"/>
            <w:tcBorders>
              <w:top w:val="single" w:sz="4" w:space="0" w:color="auto"/>
              <w:left w:val="single" w:sz="4" w:space="0" w:color="auto"/>
              <w:right w:val="single" w:sz="4" w:space="0" w:color="auto"/>
            </w:tcBorders>
            <w:shd w:val="clear" w:color="auto" w:fill="D9E2F3" w:themeFill="accent1" w:themeFillTint="33"/>
            <w:noWrap/>
            <w:vAlign w:val="center"/>
          </w:tcPr>
          <w:p w14:paraId="52D998BD" w14:textId="77777777" w:rsidR="00A922B4" w:rsidRPr="00A922B4" w:rsidRDefault="00A922B4" w:rsidP="00A922B4">
            <w:pPr>
              <w:spacing w:after="0" w:line="240" w:lineRule="auto"/>
              <w:jc w:val="center"/>
              <w:rPr>
                <w:rFonts w:ascii="Times New Roman" w:eastAsia="Times New Roman" w:hAnsi="Times New Roman" w:cs="Times New Roman"/>
                <w:b/>
                <w:bCs/>
                <w:color w:val="000000"/>
                <w:sz w:val="24"/>
                <w:szCs w:val="24"/>
                <w:lang w:eastAsia="ru-RU"/>
              </w:rPr>
            </w:pPr>
          </w:p>
        </w:tc>
        <w:tc>
          <w:tcPr>
            <w:tcW w:w="1476" w:type="dxa"/>
            <w:vMerge w:val="restart"/>
            <w:tcBorders>
              <w:top w:val="single" w:sz="4" w:space="0" w:color="auto"/>
              <w:left w:val="nil"/>
              <w:right w:val="single" w:sz="4" w:space="0" w:color="auto"/>
            </w:tcBorders>
            <w:shd w:val="clear" w:color="auto" w:fill="D9E2F3" w:themeFill="accent1" w:themeFillTint="33"/>
            <w:vAlign w:val="center"/>
          </w:tcPr>
          <w:p w14:paraId="00C55D16" w14:textId="77777777" w:rsidR="00A922B4" w:rsidRPr="00A922B4" w:rsidRDefault="00A922B4" w:rsidP="00A922B4">
            <w:pPr>
              <w:spacing w:after="0" w:line="240" w:lineRule="auto"/>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Всего</w:t>
            </w:r>
          </w:p>
        </w:tc>
        <w:tc>
          <w:tcPr>
            <w:tcW w:w="6437" w:type="dxa"/>
            <w:gridSpan w:val="4"/>
            <w:tcBorders>
              <w:top w:val="single" w:sz="4" w:space="0" w:color="auto"/>
              <w:left w:val="nil"/>
              <w:bottom w:val="single" w:sz="4" w:space="0" w:color="auto"/>
              <w:right w:val="single" w:sz="4" w:space="0" w:color="auto"/>
            </w:tcBorders>
            <w:shd w:val="clear" w:color="auto" w:fill="D9E2F3" w:themeFill="accent1" w:themeFillTint="33"/>
            <w:vAlign w:val="center"/>
          </w:tcPr>
          <w:p w14:paraId="2E90C0FA" w14:textId="77777777" w:rsidR="00A922B4" w:rsidRPr="00A922B4" w:rsidRDefault="00A922B4" w:rsidP="00A922B4">
            <w:pPr>
              <w:spacing w:after="0" w:line="240" w:lineRule="auto"/>
              <w:jc w:val="center"/>
              <w:rPr>
                <w:rFonts w:ascii="Times New Roman" w:eastAsia="Times New Roman" w:hAnsi="Times New Roman" w:cs="Times New Roman"/>
                <w:b/>
                <w:bCs/>
                <w:color w:val="000000"/>
                <w:sz w:val="24"/>
                <w:szCs w:val="24"/>
                <w:lang w:eastAsia="ru-RU"/>
              </w:rPr>
            </w:pPr>
            <w:r w:rsidRPr="00A922B4">
              <w:rPr>
                <w:rFonts w:ascii="Times New Roman" w:eastAsia="Times New Roman" w:hAnsi="Times New Roman" w:cs="Times New Roman"/>
                <w:b/>
                <w:bCs/>
                <w:color w:val="000000"/>
                <w:sz w:val="24"/>
                <w:szCs w:val="24"/>
                <w:lang w:eastAsia="ru-RU"/>
              </w:rPr>
              <w:t>в том числе по:</w:t>
            </w:r>
          </w:p>
        </w:tc>
      </w:tr>
      <w:tr w:rsidR="00A922B4" w:rsidRPr="00A922B4" w14:paraId="056F43F8" w14:textId="77777777" w:rsidTr="00156793">
        <w:trPr>
          <w:trHeight w:val="751"/>
        </w:trPr>
        <w:tc>
          <w:tcPr>
            <w:tcW w:w="1487" w:type="dxa"/>
            <w:gridSpan w:val="2"/>
            <w:vMerge/>
            <w:tcBorders>
              <w:left w:val="single" w:sz="4" w:space="0" w:color="auto"/>
              <w:bottom w:val="single" w:sz="4" w:space="0" w:color="auto"/>
              <w:right w:val="single" w:sz="4" w:space="0" w:color="auto"/>
            </w:tcBorders>
            <w:shd w:val="clear" w:color="auto" w:fill="D9E2F3" w:themeFill="accent1" w:themeFillTint="33"/>
            <w:noWrap/>
            <w:vAlign w:val="center"/>
          </w:tcPr>
          <w:p w14:paraId="1F893988" w14:textId="77777777" w:rsidR="00A922B4" w:rsidRPr="00A922B4" w:rsidRDefault="00A922B4" w:rsidP="00A922B4">
            <w:pPr>
              <w:spacing w:after="0" w:line="240" w:lineRule="auto"/>
              <w:jc w:val="center"/>
              <w:rPr>
                <w:rFonts w:ascii="Times New Roman" w:eastAsia="Times New Roman" w:hAnsi="Times New Roman" w:cs="Times New Roman"/>
                <w:b/>
                <w:bCs/>
                <w:color w:val="000000"/>
                <w:sz w:val="24"/>
                <w:szCs w:val="24"/>
                <w:lang w:eastAsia="ru-RU"/>
              </w:rPr>
            </w:pPr>
          </w:p>
        </w:tc>
        <w:tc>
          <w:tcPr>
            <w:tcW w:w="1476" w:type="dxa"/>
            <w:vMerge/>
            <w:tcBorders>
              <w:left w:val="nil"/>
              <w:bottom w:val="single" w:sz="4" w:space="0" w:color="auto"/>
              <w:right w:val="single" w:sz="4" w:space="0" w:color="auto"/>
            </w:tcBorders>
            <w:shd w:val="clear" w:color="auto" w:fill="D9E2F3" w:themeFill="accent1" w:themeFillTint="33"/>
            <w:vAlign w:val="center"/>
          </w:tcPr>
          <w:p w14:paraId="6E70CDD1" w14:textId="77777777" w:rsidR="00A922B4" w:rsidRPr="00A922B4" w:rsidRDefault="00A922B4" w:rsidP="00A922B4">
            <w:pPr>
              <w:spacing w:after="0" w:line="240" w:lineRule="auto"/>
              <w:jc w:val="center"/>
              <w:rPr>
                <w:rFonts w:ascii="Times New Roman" w:eastAsia="Times New Roman" w:hAnsi="Times New Roman" w:cs="Times New Roman"/>
                <w:b/>
                <w:bCs/>
                <w:sz w:val="24"/>
                <w:szCs w:val="24"/>
                <w:lang w:eastAsia="ru-RU"/>
              </w:rPr>
            </w:pPr>
          </w:p>
        </w:tc>
        <w:tc>
          <w:tcPr>
            <w:tcW w:w="1721"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7894B4FC" w14:textId="77777777" w:rsidR="00A922B4" w:rsidRPr="00A922B4" w:rsidRDefault="00A922B4" w:rsidP="00A922B4">
            <w:pPr>
              <w:spacing w:after="0" w:line="240" w:lineRule="auto"/>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федеральным налогам и сборам</w:t>
            </w:r>
          </w:p>
        </w:tc>
        <w:tc>
          <w:tcPr>
            <w:tcW w:w="1833"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7BF018E9" w14:textId="77777777" w:rsidR="00A922B4" w:rsidRPr="00A922B4" w:rsidRDefault="00A922B4" w:rsidP="00A922B4">
            <w:pPr>
              <w:spacing w:after="0" w:line="240" w:lineRule="auto"/>
              <w:jc w:val="center"/>
              <w:rPr>
                <w:rFonts w:ascii="Times New Roman" w:eastAsia="Times New Roman" w:hAnsi="Times New Roman" w:cs="Times New Roman"/>
                <w:b/>
                <w:bCs/>
                <w:color w:val="000000"/>
                <w:sz w:val="24"/>
                <w:szCs w:val="24"/>
                <w:lang w:eastAsia="ru-RU"/>
              </w:rPr>
            </w:pPr>
            <w:r w:rsidRPr="00A922B4">
              <w:rPr>
                <w:rFonts w:ascii="Times New Roman" w:eastAsia="Times New Roman" w:hAnsi="Times New Roman" w:cs="Times New Roman"/>
                <w:b/>
                <w:bCs/>
                <w:color w:val="000000"/>
                <w:sz w:val="24"/>
                <w:szCs w:val="24"/>
                <w:lang w:eastAsia="ru-RU"/>
              </w:rPr>
              <w:t>региональным налогам и сборам</w:t>
            </w:r>
          </w:p>
        </w:tc>
        <w:tc>
          <w:tcPr>
            <w:tcW w:w="1465"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44F89C1A" w14:textId="77777777" w:rsidR="00A922B4" w:rsidRPr="00A922B4" w:rsidRDefault="00A922B4" w:rsidP="00A922B4">
            <w:pPr>
              <w:spacing w:after="0" w:line="240" w:lineRule="auto"/>
              <w:jc w:val="center"/>
              <w:rPr>
                <w:rFonts w:ascii="Times New Roman" w:eastAsia="Times New Roman" w:hAnsi="Times New Roman" w:cs="Times New Roman"/>
                <w:b/>
                <w:bCs/>
                <w:color w:val="000000"/>
                <w:sz w:val="24"/>
                <w:szCs w:val="24"/>
                <w:lang w:eastAsia="ru-RU"/>
              </w:rPr>
            </w:pPr>
            <w:r w:rsidRPr="00A922B4">
              <w:rPr>
                <w:rFonts w:ascii="Times New Roman" w:eastAsia="Times New Roman" w:hAnsi="Times New Roman" w:cs="Times New Roman"/>
                <w:b/>
                <w:bCs/>
                <w:color w:val="000000"/>
                <w:sz w:val="24"/>
                <w:szCs w:val="24"/>
                <w:lang w:eastAsia="ru-RU"/>
              </w:rPr>
              <w:t>местным налогам и сборам</w:t>
            </w:r>
          </w:p>
        </w:tc>
        <w:tc>
          <w:tcPr>
            <w:tcW w:w="1418" w:type="dxa"/>
            <w:tcBorders>
              <w:top w:val="single" w:sz="4" w:space="0" w:color="auto"/>
              <w:left w:val="nil"/>
              <w:bottom w:val="single" w:sz="4" w:space="0" w:color="auto"/>
              <w:right w:val="single" w:sz="4" w:space="0" w:color="auto"/>
            </w:tcBorders>
            <w:shd w:val="clear" w:color="auto" w:fill="D9E2F3" w:themeFill="accent1" w:themeFillTint="33"/>
            <w:noWrap/>
            <w:vAlign w:val="center"/>
          </w:tcPr>
          <w:p w14:paraId="10897C39" w14:textId="73621451" w:rsidR="00A922B4" w:rsidRPr="00A922B4" w:rsidRDefault="00A922B4" w:rsidP="00A922B4">
            <w:pPr>
              <w:spacing w:after="0" w:line="240" w:lineRule="auto"/>
              <w:ind w:left="-57" w:right="-57"/>
              <w:jc w:val="center"/>
              <w:rPr>
                <w:rFonts w:ascii="Times New Roman" w:eastAsia="Times New Roman" w:hAnsi="Times New Roman" w:cs="Times New Roman"/>
                <w:b/>
                <w:bCs/>
                <w:color w:val="000000"/>
                <w:sz w:val="24"/>
                <w:szCs w:val="24"/>
                <w:lang w:eastAsia="ru-RU"/>
              </w:rPr>
            </w:pPr>
            <w:r w:rsidRPr="00A922B4">
              <w:rPr>
                <w:rFonts w:ascii="Times New Roman" w:eastAsia="Times New Roman" w:hAnsi="Times New Roman" w:cs="Times New Roman"/>
                <w:b/>
                <w:bCs/>
                <w:color w:val="000000"/>
                <w:sz w:val="24"/>
                <w:szCs w:val="24"/>
                <w:lang w:eastAsia="ru-RU"/>
              </w:rPr>
              <w:t xml:space="preserve">налогам </w:t>
            </w:r>
            <w:r w:rsidR="00F41CA8">
              <w:rPr>
                <w:rFonts w:ascii="Times New Roman" w:eastAsia="Times New Roman" w:hAnsi="Times New Roman" w:cs="Times New Roman"/>
                <w:b/>
                <w:bCs/>
                <w:color w:val="000000"/>
                <w:sz w:val="24"/>
                <w:szCs w:val="24"/>
                <w:lang w:eastAsia="ru-RU"/>
              </w:rPr>
              <w:t>п</w:t>
            </w:r>
            <w:r w:rsidRPr="00A922B4">
              <w:rPr>
                <w:rFonts w:ascii="Times New Roman" w:eastAsia="Times New Roman" w:hAnsi="Times New Roman" w:cs="Times New Roman"/>
                <w:b/>
                <w:bCs/>
                <w:color w:val="000000"/>
                <w:sz w:val="24"/>
                <w:szCs w:val="24"/>
                <w:lang w:eastAsia="ru-RU"/>
              </w:rPr>
              <w:t>о специальным налоговым режимом</w:t>
            </w:r>
          </w:p>
        </w:tc>
      </w:tr>
      <w:tr w:rsidR="00A922B4" w:rsidRPr="00A922B4" w14:paraId="6C639383" w14:textId="77777777" w:rsidTr="00F41CA8">
        <w:trPr>
          <w:trHeight w:val="136"/>
        </w:trPr>
        <w:tc>
          <w:tcPr>
            <w:tcW w:w="1487" w:type="dxa"/>
            <w:gridSpan w:val="2"/>
            <w:tcBorders>
              <w:top w:val="nil"/>
              <w:left w:val="single" w:sz="4" w:space="0" w:color="auto"/>
              <w:bottom w:val="single" w:sz="4" w:space="0" w:color="auto"/>
              <w:right w:val="single" w:sz="4" w:space="0" w:color="auto"/>
            </w:tcBorders>
            <w:noWrap/>
            <w:vAlign w:val="center"/>
          </w:tcPr>
          <w:p w14:paraId="188F297C" w14:textId="77777777" w:rsidR="00A922B4" w:rsidRPr="00A922B4" w:rsidRDefault="00A922B4" w:rsidP="00A922B4">
            <w:pPr>
              <w:spacing w:after="0" w:line="240" w:lineRule="auto"/>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2020 год</w:t>
            </w:r>
          </w:p>
        </w:tc>
        <w:tc>
          <w:tcPr>
            <w:tcW w:w="1476" w:type="dxa"/>
            <w:tcBorders>
              <w:top w:val="single" w:sz="4" w:space="0" w:color="auto"/>
              <w:left w:val="single" w:sz="4" w:space="0" w:color="auto"/>
              <w:bottom w:val="single" w:sz="4" w:space="0" w:color="auto"/>
              <w:right w:val="single" w:sz="4" w:space="0" w:color="auto"/>
            </w:tcBorders>
            <w:vAlign w:val="center"/>
          </w:tcPr>
          <w:p w14:paraId="473729DA"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11 257 303,0</w:t>
            </w:r>
          </w:p>
        </w:tc>
        <w:tc>
          <w:tcPr>
            <w:tcW w:w="1721" w:type="dxa"/>
            <w:tcBorders>
              <w:top w:val="single" w:sz="4" w:space="0" w:color="auto"/>
              <w:left w:val="single" w:sz="4" w:space="0" w:color="auto"/>
              <w:bottom w:val="single" w:sz="4" w:space="0" w:color="auto"/>
              <w:right w:val="single" w:sz="4" w:space="0" w:color="auto"/>
            </w:tcBorders>
            <w:vAlign w:val="center"/>
          </w:tcPr>
          <w:p w14:paraId="2A4D65B1"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3 646 334,0</w:t>
            </w:r>
          </w:p>
        </w:tc>
        <w:tc>
          <w:tcPr>
            <w:tcW w:w="1833" w:type="dxa"/>
            <w:tcBorders>
              <w:top w:val="single" w:sz="4" w:space="0" w:color="auto"/>
              <w:left w:val="nil"/>
              <w:bottom w:val="single" w:sz="4" w:space="0" w:color="auto"/>
              <w:right w:val="single" w:sz="4" w:space="0" w:color="auto"/>
            </w:tcBorders>
            <w:noWrap/>
            <w:vAlign w:val="center"/>
          </w:tcPr>
          <w:p w14:paraId="7642F470"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4 931 392,0</w:t>
            </w:r>
          </w:p>
        </w:tc>
        <w:tc>
          <w:tcPr>
            <w:tcW w:w="1465" w:type="dxa"/>
            <w:tcBorders>
              <w:top w:val="single" w:sz="4" w:space="0" w:color="auto"/>
              <w:left w:val="nil"/>
              <w:bottom w:val="single" w:sz="4" w:space="0" w:color="auto"/>
              <w:right w:val="single" w:sz="4" w:space="0" w:color="auto"/>
            </w:tcBorders>
            <w:vAlign w:val="center"/>
          </w:tcPr>
          <w:p w14:paraId="01A87549"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2 349 134,0</w:t>
            </w:r>
          </w:p>
        </w:tc>
        <w:tc>
          <w:tcPr>
            <w:tcW w:w="1418" w:type="dxa"/>
            <w:tcBorders>
              <w:top w:val="single" w:sz="4" w:space="0" w:color="auto"/>
              <w:left w:val="nil"/>
              <w:bottom w:val="single" w:sz="4" w:space="0" w:color="auto"/>
              <w:right w:val="single" w:sz="4" w:space="0" w:color="auto"/>
            </w:tcBorders>
            <w:vAlign w:val="center"/>
          </w:tcPr>
          <w:p w14:paraId="36A82A17"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330 443,0</w:t>
            </w:r>
          </w:p>
        </w:tc>
      </w:tr>
      <w:tr w:rsidR="00A922B4" w:rsidRPr="00A922B4" w14:paraId="0388987F" w14:textId="77777777" w:rsidTr="00F41CA8">
        <w:trPr>
          <w:trHeight w:val="144"/>
        </w:trPr>
        <w:tc>
          <w:tcPr>
            <w:tcW w:w="1487" w:type="dxa"/>
            <w:gridSpan w:val="2"/>
            <w:tcBorders>
              <w:top w:val="single" w:sz="4" w:space="0" w:color="auto"/>
              <w:left w:val="single" w:sz="4" w:space="0" w:color="auto"/>
              <w:bottom w:val="single" w:sz="4" w:space="0" w:color="auto"/>
              <w:right w:val="single" w:sz="4" w:space="0" w:color="auto"/>
            </w:tcBorders>
            <w:noWrap/>
            <w:vAlign w:val="center"/>
          </w:tcPr>
          <w:p w14:paraId="431F081E" w14:textId="77777777" w:rsidR="00A922B4" w:rsidRPr="00A922B4" w:rsidRDefault="00A922B4" w:rsidP="00A922B4">
            <w:pPr>
              <w:spacing w:after="0" w:line="240" w:lineRule="auto"/>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2021 год</w:t>
            </w:r>
          </w:p>
        </w:tc>
        <w:tc>
          <w:tcPr>
            <w:tcW w:w="1476" w:type="dxa"/>
            <w:tcBorders>
              <w:top w:val="nil"/>
              <w:left w:val="single" w:sz="4" w:space="0" w:color="auto"/>
              <w:bottom w:val="single" w:sz="4" w:space="0" w:color="auto"/>
              <w:right w:val="single" w:sz="4" w:space="0" w:color="auto"/>
            </w:tcBorders>
            <w:vAlign w:val="center"/>
          </w:tcPr>
          <w:p w14:paraId="188746BC"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15 441 743,0</w:t>
            </w:r>
          </w:p>
        </w:tc>
        <w:tc>
          <w:tcPr>
            <w:tcW w:w="1721" w:type="dxa"/>
            <w:tcBorders>
              <w:top w:val="single" w:sz="4" w:space="0" w:color="auto"/>
              <w:left w:val="single" w:sz="4" w:space="0" w:color="auto"/>
              <w:bottom w:val="single" w:sz="4" w:space="0" w:color="auto"/>
              <w:right w:val="single" w:sz="4" w:space="0" w:color="auto"/>
            </w:tcBorders>
            <w:vAlign w:val="center"/>
          </w:tcPr>
          <w:p w14:paraId="18B159FD"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6 158 351,0</w:t>
            </w:r>
          </w:p>
        </w:tc>
        <w:tc>
          <w:tcPr>
            <w:tcW w:w="1833" w:type="dxa"/>
            <w:tcBorders>
              <w:top w:val="single" w:sz="4" w:space="0" w:color="auto"/>
              <w:left w:val="nil"/>
              <w:bottom w:val="single" w:sz="4" w:space="0" w:color="auto"/>
              <w:right w:val="single" w:sz="4" w:space="0" w:color="auto"/>
            </w:tcBorders>
            <w:vAlign w:val="center"/>
          </w:tcPr>
          <w:p w14:paraId="66D60185"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5 892 179,0</w:t>
            </w:r>
          </w:p>
        </w:tc>
        <w:tc>
          <w:tcPr>
            <w:tcW w:w="1465" w:type="dxa"/>
            <w:tcBorders>
              <w:top w:val="single" w:sz="4" w:space="0" w:color="auto"/>
              <w:left w:val="nil"/>
              <w:bottom w:val="single" w:sz="4" w:space="0" w:color="auto"/>
              <w:right w:val="single" w:sz="4" w:space="0" w:color="auto"/>
            </w:tcBorders>
            <w:vAlign w:val="center"/>
          </w:tcPr>
          <w:p w14:paraId="3B053783"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2 962 214,0 </w:t>
            </w:r>
          </w:p>
        </w:tc>
        <w:tc>
          <w:tcPr>
            <w:tcW w:w="1418" w:type="dxa"/>
            <w:tcBorders>
              <w:top w:val="single" w:sz="4" w:space="0" w:color="auto"/>
              <w:left w:val="nil"/>
              <w:bottom w:val="single" w:sz="4" w:space="0" w:color="auto"/>
              <w:right w:val="single" w:sz="4" w:space="0" w:color="auto"/>
            </w:tcBorders>
            <w:vAlign w:val="center"/>
          </w:tcPr>
          <w:p w14:paraId="522F8184"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428 999,0</w:t>
            </w:r>
          </w:p>
        </w:tc>
      </w:tr>
      <w:tr w:rsidR="00A922B4" w:rsidRPr="00A922B4" w14:paraId="26814F3B" w14:textId="77777777" w:rsidTr="00F41CA8">
        <w:trPr>
          <w:trHeight w:val="130"/>
        </w:trPr>
        <w:tc>
          <w:tcPr>
            <w:tcW w:w="1036" w:type="dxa"/>
            <w:vMerge w:val="restart"/>
            <w:tcBorders>
              <w:top w:val="single" w:sz="4" w:space="0" w:color="auto"/>
              <w:left w:val="single" w:sz="4" w:space="0" w:color="auto"/>
              <w:right w:val="single" w:sz="4" w:space="0" w:color="auto"/>
            </w:tcBorders>
            <w:noWrap/>
            <w:vAlign w:val="center"/>
          </w:tcPr>
          <w:p w14:paraId="2A4EF710" w14:textId="77777777" w:rsidR="00A922B4" w:rsidRPr="00A922B4" w:rsidRDefault="00A922B4" w:rsidP="00A922B4">
            <w:pPr>
              <w:spacing w:after="0" w:line="240" w:lineRule="auto"/>
              <w:jc w:val="center"/>
              <w:rPr>
                <w:rFonts w:ascii="Times New Roman" w:eastAsia="Times New Roman" w:hAnsi="Times New Roman" w:cs="Times New Roman"/>
                <w:b/>
                <w:bCs/>
                <w:sz w:val="24"/>
                <w:szCs w:val="24"/>
                <w:lang w:eastAsia="ru-RU"/>
              </w:rPr>
            </w:pPr>
            <w:r w:rsidRPr="00A922B4">
              <w:rPr>
                <w:rFonts w:ascii="Times New Roman" w:eastAsia="Times New Roman" w:hAnsi="Times New Roman" w:cs="Times New Roman"/>
                <w:b/>
                <w:bCs/>
                <w:sz w:val="24"/>
                <w:szCs w:val="24"/>
                <w:lang w:eastAsia="ru-RU"/>
              </w:rPr>
              <w:t>2021г к 2020г</w:t>
            </w:r>
          </w:p>
        </w:tc>
        <w:tc>
          <w:tcPr>
            <w:tcW w:w="451" w:type="dxa"/>
            <w:tcBorders>
              <w:top w:val="single" w:sz="4" w:space="0" w:color="auto"/>
              <w:left w:val="nil"/>
              <w:bottom w:val="single" w:sz="4" w:space="0" w:color="auto"/>
              <w:right w:val="single" w:sz="4" w:space="0" w:color="auto"/>
            </w:tcBorders>
            <w:vAlign w:val="center"/>
          </w:tcPr>
          <w:p w14:paraId="3268D9C2" w14:textId="77777777" w:rsidR="00A922B4" w:rsidRPr="00A922B4" w:rsidRDefault="00A922B4" w:rsidP="00F41CA8">
            <w:pPr>
              <w:spacing w:after="0" w:line="240" w:lineRule="auto"/>
              <w:ind w:right="-80" w:hanging="114"/>
              <w:jc w:val="center"/>
              <w:rPr>
                <w:rFonts w:ascii="Times New Roman" w:eastAsia="Times New Roman" w:hAnsi="Times New Roman" w:cs="Times New Roman"/>
                <w:sz w:val="20"/>
                <w:szCs w:val="20"/>
                <w:lang w:eastAsia="ru-RU"/>
              </w:rPr>
            </w:pPr>
            <w:r w:rsidRPr="00A922B4">
              <w:rPr>
                <w:rFonts w:ascii="Times New Roman" w:eastAsia="Times New Roman" w:hAnsi="Times New Roman" w:cs="Times New Roman"/>
                <w:sz w:val="20"/>
                <w:szCs w:val="20"/>
                <w:lang w:eastAsia="ru-RU"/>
              </w:rPr>
              <w:t>(-;+)</w:t>
            </w:r>
          </w:p>
        </w:tc>
        <w:tc>
          <w:tcPr>
            <w:tcW w:w="1476" w:type="dxa"/>
            <w:tcBorders>
              <w:top w:val="nil"/>
              <w:left w:val="single" w:sz="4" w:space="0" w:color="auto"/>
              <w:bottom w:val="single" w:sz="4" w:space="0" w:color="auto"/>
              <w:right w:val="single" w:sz="4" w:space="0" w:color="auto"/>
            </w:tcBorders>
            <w:vAlign w:val="center"/>
          </w:tcPr>
          <w:p w14:paraId="7B76C31C"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  4 184 440,0   </w:t>
            </w:r>
          </w:p>
        </w:tc>
        <w:tc>
          <w:tcPr>
            <w:tcW w:w="1721" w:type="dxa"/>
            <w:tcBorders>
              <w:top w:val="single" w:sz="4" w:space="0" w:color="auto"/>
              <w:left w:val="single" w:sz="4" w:space="0" w:color="auto"/>
              <w:bottom w:val="single" w:sz="4" w:space="0" w:color="auto"/>
              <w:right w:val="single" w:sz="4" w:space="0" w:color="auto"/>
            </w:tcBorders>
            <w:vAlign w:val="center"/>
          </w:tcPr>
          <w:p w14:paraId="16280EFF"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   2 512 017,0   </w:t>
            </w:r>
          </w:p>
        </w:tc>
        <w:tc>
          <w:tcPr>
            <w:tcW w:w="1833" w:type="dxa"/>
            <w:tcBorders>
              <w:top w:val="single" w:sz="4" w:space="0" w:color="auto"/>
              <w:left w:val="nil"/>
              <w:bottom w:val="single" w:sz="4" w:space="0" w:color="auto"/>
              <w:right w:val="single" w:sz="4" w:space="0" w:color="auto"/>
            </w:tcBorders>
            <w:vAlign w:val="center"/>
          </w:tcPr>
          <w:p w14:paraId="19D41000" w14:textId="3174B7B2"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960 787,0   </w:t>
            </w:r>
          </w:p>
        </w:tc>
        <w:tc>
          <w:tcPr>
            <w:tcW w:w="1465" w:type="dxa"/>
            <w:tcBorders>
              <w:top w:val="single" w:sz="4" w:space="0" w:color="auto"/>
              <w:left w:val="nil"/>
              <w:bottom w:val="single" w:sz="4" w:space="0" w:color="auto"/>
              <w:right w:val="single" w:sz="4" w:space="0" w:color="auto"/>
            </w:tcBorders>
            <w:vAlign w:val="center"/>
          </w:tcPr>
          <w:p w14:paraId="77768EC9" w14:textId="20DFCBBE"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  613 080,0   </w:t>
            </w:r>
          </w:p>
        </w:tc>
        <w:tc>
          <w:tcPr>
            <w:tcW w:w="1418" w:type="dxa"/>
            <w:tcBorders>
              <w:top w:val="single" w:sz="4" w:space="0" w:color="auto"/>
              <w:left w:val="nil"/>
              <w:bottom w:val="single" w:sz="4" w:space="0" w:color="auto"/>
              <w:right w:val="single" w:sz="4" w:space="0" w:color="auto"/>
            </w:tcBorders>
            <w:vAlign w:val="center"/>
          </w:tcPr>
          <w:p w14:paraId="1A50BD77" w14:textId="45B913CB"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98 556,0   </w:t>
            </w:r>
          </w:p>
        </w:tc>
      </w:tr>
      <w:tr w:rsidR="00A922B4" w:rsidRPr="00A922B4" w14:paraId="59226B99" w14:textId="77777777" w:rsidTr="00F41CA8">
        <w:trPr>
          <w:trHeight w:val="93"/>
        </w:trPr>
        <w:tc>
          <w:tcPr>
            <w:tcW w:w="1036" w:type="dxa"/>
            <w:vMerge/>
            <w:tcBorders>
              <w:left w:val="single" w:sz="4" w:space="0" w:color="auto"/>
              <w:bottom w:val="single" w:sz="4" w:space="0" w:color="auto"/>
              <w:right w:val="single" w:sz="4" w:space="0" w:color="auto"/>
            </w:tcBorders>
            <w:noWrap/>
            <w:vAlign w:val="center"/>
          </w:tcPr>
          <w:p w14:paraId="49C94B79" w14:textId="77777777" w:rsidR="00A922B4" w:rsidRPr="00A922B4" w:rsidRDefault="00A922B4" w:rsidP="00A922B4">
            <w:pPr>
              <w:spacing w:after="0" w:line="240" w:lineRule="auto"/>
              <w:jc w:val="center"/>
              <w:rPr>
                <w:rFonts w:ascii="Times New Roman" w:eastAsia="Times New Roman" w:hAnsi="Times New Roman" w:cs="Times New Roman"/>
                <w:i/>
                <w:color w:val="000000"/>
                <w:sz w:val="24"/>
                <w:szCs w:val="24"/>
                <w:lang w:eastAsia="ru-RU"/>
              </w:rPr>
            </w:pPr>
          </w:p>
        </w:tc>
        <w:tc>
          <w:tcPr>
            <w:tcW w:w="451" w:type="dxa"/>
            <w:tcBorders>
              <w:top w:val="single" w:sz="4" w:space="0" w:color="auto"/>
              <w:left w:val="nil"/>
              <w:bottom w:val="single" w:sz="4" w:space="0" w:color="auto"/>
              <w:right w:val="single" w:sz="4" w:space="0" w:color="auto"/>
            </w:tcBorders>
            <w:vAlign w:val="center"/>
          </w:tcPr>
          <w:p w14:paraId="4A612DE8" w14:textId="77777777" w:rsidR="00A922B4" w:rsidRPr="00A922B4" w:rsidRDefault="00A922B4" w:rsidP="00A922B4">
            <w:pPr>
              <w:spacing w:after="0" w:line="240" w:lineRule="auto"/>
              <w:ind w:hanging="108"/>
              <w:jc w:val="center"/>
              <w:rPr>
                <w:rFonts w:ascii="Times New Roman" w:eastAsia="Times New Roman" w:hAnsi="Times New Roman" w:cs="Times New Roman"/>
                <w:i/>
                <w:sz w:val="20"/>
                <w:szCs w:val="20"/>
                <w:lang w:eastAsia="ru-RU"/>
              </w:rPr>
            </w:pPr>
            <w:r w:rsidRPr="00A922B4">
              <w:rPr>
                <w:rFonts w:ascii="Times New Roman" w:eastAsia="Times New Roman" w:hAnsi="Times New Roman" w:cs="Times New Roman"/>
                <w:sz w:val="20"/>
                <w:szCs w:val="20"/>
                <w:lang w:eastAsia="ru-RU"/>
              </w:rPr>
              <w:t>(%)</w:t>
            </w:r>
          </w:p>
        </w:tc>
        <w:tc>
          <w:tcPr>
            <w:tcW w:w="1476" w:type="dxa"/>
            <w:tcBorders>
              <w:top w:val="nil"/>
              <w:left w:val="single" w:sz="4" w:space="0" w:color="auto"/>
              <w:bottom w:val="single" w:sz="4" w:space="0" w:color="auto"/>
              <w:right w:val="single" w:sz="4" w:space="0" w:color="auto"/>
            </w:tcBorders>
            <w:vAlign w:val="center"/>
          </w:tcPr>
          <w:p w14:paraId="0D2B0C07"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137,2   </w:t>
            </w:r>
          </w:p>
        </w:tc>
        <w:tc>
          <w:tcPr>
            <w:tcW w:w="1721" w:type="dxa"/>
            <w:tcBorders>
              <w:top w:val="single" w:sz="4" w:space="0" w:color="auto"/>
              <w:left w:val="single" w:sz="4" w:space="0" w:color="auto"/>
              <w:bottom w:val="single" w:sz="4" w:space="0" w:color="auto"/>
              <w:right w:val="single" w:sz="4" w:space="0" w:color="auto"/>
            </w:tcBorders>
            <w:vAlign w:val="center"/>
          </w:tcPr>
          <w:p w14:paraId="47792DDA"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168,9   </w:t>
            </w:r>
          </w:p>
        </w:tc>
        <w:tc>
          <w:tcPr>
            <w:tcW w:w="1833" w:type="dxa"/>
            <w:tcBorders>
              <w:top w:val="single" w:sz="4" w:space="0" w:color="auto"/>
              <w:left w:val="nil"/>
              <w:bottom w:val="single" w:sz="4" w:space="0" w:color="auto"/>
              <w:right w:val="single" w:sz="4" w:space="0" w:color="auto"/>
            </w:tcBorders>
            <w:vAlign w:val="center"/>
          </w:tcPr>
          <w:p w14:paraId="0EE0DEB6"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119,5   </w:t>
            </w:r>
          </w:p>
        </w:tc>
        <w:tc>
          <w:tcPr>
            <w:tcW w:w="1465" w:type="dxa"/>
            <w:tcBorders>
              <w:top w:val="single" w:sz="4" w:space="0" w:color="auto"/>
              <w:left w:val="nil"/>
              <w:bottom w:val="single" w:sz="4" w:space="0" w:color="auto"/>
              <w:right w:val="single" w:sz="4" w:space="0" w:color="auto"/>
            </w:tcBorders>
            <w:vAlign w:val="center"/>
          </w:tcPr>
          <w:p w14:paraId="63CCAFC7"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126,1   </w:t>
            </w:r>
          </w:p>
        </w:tc>
        <w:tc>
          <w:tcPr>
            <w:tcW w:w="1418" w:type="dxa"/>
            <w:tcBorders>
              <w:top w:val="single" w:sz="4" w:space="0" w:color="auto"/>
              <w:left w:val="nil"/>
              <w:bottom w:val="single" w:sz="4" w:space="0" w:color="auto"/>
              <w:right w:val="single" w:sz="4" w:space="0" w:color="auto"/>
            </w:tcBorders>
            <w:vAlign w:val="center"/>
          </w:tcPr>
          <w:p w14:paraId="3E803FF5" w14:textId="77777777" w:rsidR="00A922B4" w:rsidRPr="00A922B4" w:rsidRDefault="00A922B4" w:rsidP="00A922B4">
            <w:pPr>
              <w:spacing w:after="0" w:line="240" w:lineRule="auto"/>
              <w:jc w:val="right"/>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color w:val="000000"/>
                <w:sz w:val="24"/>
                <w:szCs w:val="24"/>
                <w:lang w:eastAsia="ru-RU"/>
              </w:rPr>
              <w:t xml:space="preserve">129,8   </w:t>
            </w:r>
          </w:p>
        </w:tc>
      </w:tr>
    </w:tbl>
    <w:p w14:paraId="1886C55F" w14:textId="77777777" w:rsidR="00A922B4" w:rsidRPr="00A922B4" w:rsidRDefault="00A922B4" w:rsidP="00A922B4">
      <w:pPr>
        <w:spacing w:after="0" w:line="240" w:lineRule="auto"/>
        <w:ind w:firstLine="708"/>
        <w:jc w:val="both"/>
        <w:rPr>
          <w:rFonts w:ascii="Times New Roman" w:eastAsia="Times New Roman" w:hAnsi="Times New Roman" w:cs="Times New Roman"/>
          <w:sz w:val="24"/>
          <w:szCs w:val="24"/>
          <w:highlight w:val="yellow"/>
          <w:lang w:eastAsia="ar-SA"/>
        </w:rPr>
      </w:pPr>
    </w:p>
    <w:p w14:paraId="054E7980"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По сравнению с данными на 1 января 2021 года (11 257 303,0 тыс. рублей) задолженность увеличилась на 4 184 440,0 тыс. рублей, или в 1,4 раза, в том числе по:</w:t>
      </w:r>
    </w:p>
    <w:p w14:paraId="2E97C884"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 </w:t>
      </w:r>
      <w:bookmarkStart w:id="26" w:name="_Hlk7530047"/>
      <w:r w:rsidRPr="00A922B4">
        <w:rPr>
          <w:rFonts w:ascii="Times New Roman" w:eastAsia="Times New Roman" w:hAnsi="Times New Roman" w:cs="Times New Roman"/>
          <w:sz w:val="28"/>
          <w:szCs w:val="28"/>
          <w:lang w:eastAsia="ar-SA"/>
        </w:rPr>
        <w:t>федеральным налогам – на 2 512 017,0 тыс. рублей, или в 1,7 раза;</w:t>
      </w:r>
    </w:p>
    <w:p w14:paraId="0FF43F75"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региональным налогам и сборам – на 960 787,0 тыс. рублей, или в 1,2 раза;</w:t>
      </w:r>
    </w:p>
    <w:p w14:paraId="28331444"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местным налогам и сборам – на 613 080,0 тыс. рублей, или в 1,3 раза;</w:t>
      </w:r>
    </w:p>
    <w:bookmarkEnd w:id="26"/>
    <w:p w14:paraId="4A9D4759"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налогам со специальным налоговым режимом – на 98 556,0 тыс. рублей, или в 1,3 раза.</w:t>
      </w:r>
    </w:p>
    <w:p w14:paraId="0EC70896"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Анализ состояния задолженности в разрезе видов налогов показал следующее.</w:t>
      </w:r>
    </w:p>
    <w:p w14:paraId="04A12183"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На 1 января 2022 года недоимка составила 10 751 593,0 тыс. рублей, что на 2 857 291,0 тыс. рублей, или в 1,4 раза больше, чем на 1 января 2021 года </w:t>
      </w:r>
      <w:r w:rsidRPr="00A922B4">
        <w:rPr>
          <w:rFonts w:ascii="Times New Roman" w:eastAsia="Times New Roman" w:hAnsi="Times New Roman" w:cs="Times New Roman"/>
          <w:sz w:val="28"/>
          <w:szCs w:val="28"/>
          <w:lang w:eastAsia="ar-SA"/>
        </w:rPr>
        <w:br/>
        <w:t>(7 894 302,0 тыс. рублей), в том числе по:</w:t>
      </w:r>
    </w:p>
    <w:p w14:paraId="348F48DA"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федеральным налогам – на 1 645 290,0 тыс. рублей, или в 1,9 раза;</w:t>
      </w:r>
    </w:p>
    <w:p w14:paraId="77EA97C0"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региональным налогам и сборам – на 664 200,0 тыс. рублей, или в 1,2 раза;</w:t>
      </w:r>
    </w:p>
    <w:p w14:paraId="7DCCA8AB"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местным налогам и сборам – на 458 086,0 тыс. рублей, или в 1,2 раза;</w:t>
      </w:r>
    </w:p>
    <w:p w14:paraId="2F6F9525" w14:textId="77777777" w:rsidR="00A922B4" w:rsidRPr="00A922B4" w:rsidRDefault="00A922B4" w:rsidP="00A922B4">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по налогам со специальным налоговым режимом – на 89 615,0 тыс. рублей, или в 1,5 раза.</w:t>
      </w:r>
    </w:p>
    <w:p w14:paraId="66B96B01"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lastRenderedPageBreak/>
        <w:t>Сведения о недоимке по налогам и сборам в консолидированный бюджет Российской Федерации за 2020-2021 годы приведены в следующей таблице.</w:t>
      </w:r>
    </w:p>
    <w:p w14:paraId="413B9334" w14:textId="77777777" w:rsidR="00A922B4" w:rsidRPr="00A922B4" w:rsidRDefault="00A922B4" w:rsidP="00A922B4">
      <w:pPr>
        <w:spacing w:after="0" w:line="240" w:lineRule="auto"/>
        <w:ind w:firstLine="708"/>
        <w:jc w:val="right"/>
        <w:rPr>
          <w:rFonts w:ascii="Times New Roman" w:eastAsia="Times New Roman" w:hAnsi="Times New Roman" w:cs="Times New Roman"/>
          <w:b/>
          <w:bCs/>
          <w:color w:val="002060"/>
          <w:sz w:val="24"/>
          <w:szCs w:val="24"/>
          <w:lang w:eastAsia="ar-SA"/>
        </w:rPr>
      </w:pPr>
      <w:r w:rsidRPr="00A922B4">
        <w:rPr>
          <w:rFonts w:ascii="Times New Roman" w:eastAsia="Times New Roman" w:hAnsi="Times New Roman" w:cs="Times New Roman"/>
          <w:b/>
          <w:bCs/>
          <w:color w:val="002060"/>
          <w:sz w:val="24"/>
          <w:szCs w:val="24"/>
          <w:lang w:eastAsia="ar-SA"/>
        </w:rPr>
        <w:t>тыс. рублей</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293"/>
        <w:gridCol w:w="689"/>
        <w:gridCol w:w="1356"/>
        <w:gridCol w:w="1479"/>
        <w:gridCol w:w="1417"/>
        <w:gridCol w:w="1560"/>
        <w:gridCol w:w="1559"/>
      </w:tblGrid>
      <w:tr w:rsidR="00A922B4" w:rsidRPr="00A922B4" w14:paraId="163EBD43" w14:textId="77777777" w:rsidTr="00156793">
        <w:trPr>
          <w:trHeight w:val="300"/>
        </w:trPr>
        <w:tc>
          <w:tcPr>
            <w:tcW w:w="1982" w:type="dxa"/>
            <w:gridSpan w:val="2"/>
            <w:vMerge w:val="restart"/>
            <w:shd w:val="clear" w:color="auto" w:fill="D9E2F3" w:themeFill="accent1" w:themeFillTint="33"/>
            <w:noWrap/>
          </w:tcPr>
          <w:p w14:paraId="258B1147" w14:textId="77777777" w:rsidR="00A922B4" w:rsidRPr="00A922B4" w:rsidRDefault="00A922B4" w:rsidP="00A922B4">
            <w:pPr>
              <w:spacing w:after="0" w:line="240" w:lineRule="auto"/>
              <w:rPr>
                <w:rFonts w:ascii="Calibri" w:eastAsia="Times New Roman" w:hAnsi="Calibri" w:cs="Calibri"/>
                <w:b/>
                <w:bCs/>
                <w:color w:val="000000"/>
                <w:lang w:eastAsia="ru-RU"/>
              </w:rPr>
            </w:pPr>
            <w:r w:rsidRPr="00A922B4">
              <w:rPr>
                <w:rFonts w:ascii="Calibri" w:eastAsia="Times New Roman" w:hAnsi="Calibri" w:cs="Calibri"/>
                <w:b/>
                <w:bCs/>
                <w:color w:val="000000"/>
                <w:lang w:eastAsia="ru-RU"/>
              </w:rPr>
              <w:t> </w:t>
            </w:r>
          </w:p>
        </w:tc>
        <w:tc>
          <w:tcPr>
            <w:tcW w:w="1356" w:type="dxa"/>
            <w:vMerge w:val="restart"/>
            <w:shd w:val="clear" w:color="auto" w:fill="D9E2F3" w:themeFill="accent1" w:themeFillTint="33"/>
          </w:tcPr>
          <w:p w14:paraId="63228D09" w14:textId="77777777" w:rsidR="00A922B4" w:rsidRPr="00A922B4" w:rsidRDefault="00A922B4" w:rsidP="00A922B4">
            <w:pPr>
              <w:spacing w:after="0" w:line="240" w:lineRule="auto"/>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Всего</w:t>
            </w:r>
          </w:p>
        </w:tc>
        <w:tc>
          <w:tcPr>
            <w:tcW w:w="6015" w:type="dxa"/>
            <w:gridSpan w:val="4"/>
            <w:shd w:val="clear" w:color="auto" w:fill="D9E2F3" w:themeFill="accent1" w:themeFillTint="33"/>
          </w:tcPr>
          <w:p w14:paraId="3F896D9C" w14:textId="77777777" w:rsidR="00A922B4" w:rsidRPr="00A922B4" w:rsidRDefault="00A922B4" w:rsidP="00A922B4">
            <w:pPr>
              <w:spacing w:after="0" w:line="240" w:lineRule="auto"/>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в том числе по:</w:t>
            </w:r>
          </w:p>
        </w:tc>
      </w:tr>
      <w:tr w:rsidR="00A23607" w:rsidRPr="000C289B" w14:paraId="39B87E74" w14:textId="77777777" w:rsidTr="00156793">
        <w:trPr>
          <w:trHeight w:val="837"/>
        </w:trPr>
        <w:tc>
          <w:tcPr>
            <w:tcW w:w="1982" w:type="dxa"/>
            <w:gridSpan w:val="2"/>
            <w:vMerge/>
            <w:shd w:val="clear" w:color="auto" w:fill="D9E2F3" w:themeFill="accent1" w:themeFillTint="33"/>
          </w:tcPr>
          <w:p w14:paraId="7FEF60AB" w14:textId="77777777" w:rsidR="00A922B4" w:rsidRPr="00A922B4" w:rsidRDefault="00A922B4" w:rsidP="00A922B4">
            <w:pPr>
              <w:spacing w:after="0" w:line="240" w:lineRule="auto"/>
              <w:rPr>
                <w:rFonts w:ascii="Calibri" w:eastAsia="Times New Roman" w:hAnsi="Calibri" w:cs="Calibri"/>
                <w:b/>
                <w:bCs/>
                <w:color w:val="000000"/>
                <w:lang w:eastAsia="ru-RU"/>
              </w:rPr>
            </w:pPr>
          </w:p>
        </w:tc>
        <w:tc>
          <w:tcPr>
            <w:tcW w:w="1356" w:type="dxa"/>
            <w:vMerge/>
            <w:shd w:val="clear" w:color="auto" w:fill="D9E2F3" w:themeFill="accent1" w:themeFillTint="33"/>
          </w:tcPr>
          <w:p w14:paraId="1D5C7C34" w14:textId="77777777" w:rsidR="00A922B4" w:rsidRPr="00A922B4" w:rsidRDefault="00A922B4" w:rsidP="00A922B4">
            <w:pPr>
              <w:spacing w:after="0" w:line="240" w:lineRule="auto"/>
              <w:rPr>
                <w:rFonts w:ascii="Times New Roman" w:eastAsia="Times New Roman" w:hAnsi="Times New Roman" w:cs="Times New Roman"/>
                <w:b/>
                <w:bCs/>
                <w:color w:val="000000"/>
                <w:lang w:eastAsia="ru-RU"/>
              </w:rPr>
            </w:pPr>
          </w:p>
        </w:tc>
        <w:tc>
          <w:tcPr>
            <w:tcW w:w="1479" w:type="dxa"/>
            <w:shd w:val="clear" w:color="auto" w:fill="D9E2F3" w:themeFill="accent1" w:themeFillTint="33"/>
          </w:tcPr>
          <w:p w14:paraId="0015A8F1" w14:textId="77777777" w:rsidR="00A922B4" w:rsidRPr="00A922B4" w:rsidRDefault="00A922B4" w:rsidP="00A922B4">
            <w:pPr>
              <w:spacing w:after="0" w:line="240" w:lineRule="auto"/>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федеральным налогам и сборам</w:t>
            </w:r>
          </w:p>
        </w:tc>
        <w:tc>
          <w:tcPr>
            <w:tcW w:w="1417" w:type="dxa"/>
            <w:shd w:val="clear" w:color="auto" w:fill="D9E2F3" w:themeFill="accent1" w:themeFillTint="33"/>
          </w:tcPr>
          <w:p w14:paraId="59FED50E"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региональным налогам и сборам</w:t>
            </w:r>
          </w:p>
        </w:tc>
        <w:tc>
          <w:tcPr>
            <w:tcW w:w="1560" w:type="dxa"/>
            <w:shd w:val="clear" w:color="auto" w:fill="D9E2F3" w:themeFill="accent1" w:themeFillTint="33"/>
          </w:tcPr>
          <w:p w14:paraId="20405A13" w14:textId="77777777" w:rsidR="00A922B4" w:rsidRPr="00A922B4" w:rsidRDefault="00A922B4" w:rsidP="00A922B4">
            <w:pPr>
              <w:spacing w:after="0" w:line="240" w:lineRule="auto"/>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местным налогам и сборам</w:t>
            </w:r>
          </w:p>
        </w:tc>
        <w:tc>
          <w:tcPr>
            <w:tcW w:w="1559" w:type="dxa"/>
            <w:shd w:val="clear" w:color="auto" w:fill="D9E2F3" w:themeFill="accent1" w:themeFillTint="33"/>
          </w:tcPr>
          <w:p w14:paraId="5FCC3FCD" w14:textId="57EBF618" w:rsidR="00A922B4" w:rsidRPr="00A922B4" w:rsidRDefault="00A922B4" w:rsidP="00A922B4">
            <w:pPr>
              <w:spacing w:after="0" w:line="240" w:lineRule="auto"/>
              <w:ind w:left="-57" w:right="-57"/>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 xml:space="preserve">налогам </w:t>
            </w:r>
            <w:r w:rsidR="00A23607" w:rsidRPr="000C289B">
              <w:rPr>
                <w:rFonts w:ascii="Times New Roman" w:eastAsia="Times New Roman" w:hAnsi="Times New Roman" w:cs="Times New Roman"/>
                <w:b/>
                <w:bCs/>
                <w:color w:val="000000"/>
                <w:lang w:eastAsia="ru-RU"/>
              </w:rPr>
              <w:t>п</w:t>
            </w:r>
            <w:r w:rsidRPr="00A922B4">
              <w:rPr>
                <w:rFonts w:ascii="Times New Roman" w:eastAsia="Times New Roman" w:hAnsi="Times New Roman" w:cs="Times New Roman"/>
                <w:b/>
                <w:bCs/>
                <w:color w:val="000000"/>
                <w:lang w:eastAsia="ru-RU"/>
              </w:rPr>
              <w:t>о специальным налоговым режимом</w:t>
            </w:r>
          </w:p>
        </w:tc>
      </w:tr>
      <w:tr w:rsidR="00A23607" w:rsidRPr="000C289B" w14:paraId="49B0CCE6" w14:textId="77777777" w:rsidTr="000C289B">
        <w:trPr>
          <w:trHeight w:val="202"/>
        </w:trPr>
        <w:tc>
          <w:tcPr>
            <w:tcW w:w="1982" w:type="dxa"/>
            <w:gridSpan w:val="2"/>
            <w:noWrap/>
          </w:tcPr>
          <w:p w14:paraId="75D7FFF4" w14:textId="77777777" w:rsidR="00A922B4" w:rsidRPr="00A922B4" w:rsidRDefault="00A922B4" w:rsidP="00A922B4">
            <w:pPr>
              <w:spacing w:after="0" w:line="240" w:lineRule="auto"/>
              <w:jc w:val="center"/>
              <w:rPr>
                <w:rFonts w:ascii="Times New Roman" w:eastAsia="Times New Roman" w:hAnsi="Times New Roman" w:cs="Times New Roman"/>
                <w:b/>
                <w:bCs/>
                <w:lang w:eastAsia="ru-RU"/>
              </w:rPr>
            </w:pPr>
            <w:r w:rsidRPr="00A922B4">
              <w:rPr>
                <w:rFonts w:ascii="Times New Roman" w:eastAsia="Times New Roman" w:hAnsi="Times New Roman" w:cs="Times New Roman"/>
                <w:b/>
                <w:bCs/>
                <w:lang w:eastAsia="ru-RU"/>
              </w:rPr>
              <w:t>2020 год</w:t>
            </w:r>
          </w:p>
        </w:tc>
        <w:tc>
          <w:tcPr>
            <w:tcW w:w="1356" w:type="dxa"/>
            <w:vAlign w:val="center"/>
          </w:tcPr>
          <w:p w14:paraId="7A832F58"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7 894 302,0</w:t>
            </w:r>
          </w:p>
        </w:tc>
        <w:tc>
          <w:tcPr>
            <w:tcW w:w="1479" w:type="dxa"/>
            <w:vAlign w:val="center"/>
          </w:tcPr>
          <w:p w14:paraId="15BC3EFA"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1 827 623,0</w:t>
            </w:r>
          </w:p>
        </w:tc>
        <w:tc>
          <w:tcPr>
            <w:tcW w:w="1417" w:type="dxa"/>
            <w:vAlign w:val="center"/>
          </w:tcPr>
          <w:p w14:paraId="71C8C7F8"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4 012 807,0</w:t>
            </w:r>
          </w:p>
        </w:tc>
        <w:tc>
          <w:tcPr>
            <w:tcW w:w="1560" w:type="dxa"/>
            <w:vAlign w:val="center"/>
          </w:tcPr>
          <w:p w14:paraId="3EAC7C6A" w14:textId="77777777" w:rsidR="00A922B4" w:rsidRPr="00A922B4" w:rsidRDefault="00A922B4" w:rsidP="00A23607">
            <w:pPr>
              <w:spacing w:after="0" w:line="240" w:lineRule="auto"/>
              <w:ind w:hanging="141"/>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1 867 462,0</w:t>
            </w:r>
          </w:p>
        </w:tc>
        <w:tc>
          <w:tcPr>
            <w:tcW w:w="1559" w:type="dxa"/>
            <w:vAlign w:val="center"/>
          </w:tcPr>
          <w:p w14:paraId="7A2DCA24"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186 410,0</w:t>
            </w:r>
          </w:p>
        </w:tc>
      </w:tr>
      <w:tr w:rsidR="00A23607" w:rsidRPr="000C289B" w14:paraId="12B0E7DB" w14:textId="77777777" w:rsidTr="000C289B">
        <w:trPr>
          <w:trHeight w:val="92"/>
        </w:trPr>
        <w:tc>
          <w:tcPr>
            <w:tcW w:w="1982" w:type="dxa"/>
            <w:gridSpan w:val="2"/>
            <w:noWrap/>
          </w:tcPr>
          <w:p w14:paraId="1EB17D48" w14:textId="77777777" w:rsidR="00A922B4" w:rsidRPr="00A922B4" w:rsidRDefault="00A922B4" w:rsidP="00A922B4">
            <w:pPr>
              <w:spacing w:after="0" w:line="240" w:lineRule="auto"/>
              <w:jc w:val="center"/>
              <w:rPr>
                <w:rFonts w:ascii="Times New Roman" w:eastAsia="Times New Roman" w:hAnsi="Times New Roman" w:cs="Times New Roman"/>
                <w:b/>
                <w:bCs/>
                <w:lang w:eastAsia="ru-RU"/>
              </w:rPr>
            </w:pPr>
            <w:r w:rsidRPr="00A922B4">
              <w:rPr>
                <w:rFonts w:ascii="Times New Roman" w:eastAsia="Times New Roman" w:hAnsi="Times New Roman" w:cs="Times New Roman"/>
                <w:b/>
                <w:bCs/>
                <w:lang w:eastAsia="ru-RU"/>
              </w:rPr>
              <w:t>2021 год</w:t>
            </w:r>
          </w:p>
        </w:tc>
        <w:tc>
          <w:tcPr>
            <w:tcW w:w="1356" w:type="dxa"/>
            <w:vAlign w:val="center"/>
          </w:tcPr>
          <w:p w14:paraId="1A1FF1F3" w14:textId="77777777" w:rsidR="00A922B4" w:rsidRPr="00A922B4" w:rsidRDefault="00A922B4" w:rsidP="00A922B4">
            <w:pPr>
              <w:spacing w:after="0" w:line="240" w:lineRule="auto"/>
              <w:ind w:left="-99"/>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10 751 593,0</w:t>
            </w:r>
          </w:p>
        </w:tc>
        <w:tc>
          <w:tcPr>
            <w:tcW w:w="1479" w:type="dxa"/>
            <w:vAlign w:val="center"/>
          </w:tcPr>
          <w:p w14:paraId="5691B2FF"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3 473 013,0</w:t>
            </w:r>
          </w:p>
        </w:tc>
        <w:tc>
          <w:tcPr>
            <w:tcW w:w="1417" w:type="dxa"/>
            <w:vAlign w:val="center"/>
          </w:tcPr>
          <w:p w14:paraId="2E8CB190"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4 677 007,0</w:t>
            </w:r>
          </w:p>
        </w:tc>
        <w:tc>
          <w:tcPr>
            <w:tcW w:w="1560" w:type="dxa"/>
            <w:vAlign w:val="center"/>
          </w:tcPr>
          <w:p w14:paraId="66849B61" w14:textId="77777777" w:rsidR="00A922B4" w:rsidRPr="00A922B4" w:rsidRDefault="00A922B4" w:rsidP="00A23607">
            <w:pPr>
              <w:spacing w:after="0" w:line="240" w:lineRule="auto"/>
              <w:ind w:hanging="249"/>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2 32 5548,0</w:t>
            </w:r>
          </w:p>
        </w:tc>
        <w:tc>
          <w:tcPr>
            <w:tcW w:w="1559" w:type="dxa"/>
            <w:vAlign w:val="center"/>
          </w:tcPr>
          <w:p w14:paraId="0849CFAD"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276 025,0</w:t>
            </w:r>
          </w:p>
        </w:tc>
      </w:tr>
      <w:tr w:rsidR="00A23607" w:rsidRPr="000C289B" w14:paraId="72061EFC" w14:textId="77777777" w:rsidTr="000C289B">
        <w:trPr>
          <w:trHeight w:val="124"/>
        </w:trPr>
        <w:tc>
          <w:tcPr>
            <w:tcW w:w="1293" w:type="dxa"/>
            <w:vMerge w:val="restart"/>
            <w:noWrap/>
          </w:tcPr>
          <w:p w14:paraId="27BB8564" w14:textId="77777777" w:rsidR="00A922B4" w:rsidRPr="00A922B4" w:rsidRDefault="00A922B4" w:rsidP="00A922B4">
            <w:pPr>
              <w:spacing w:after="0" w:line="240" w:lineRule="auto"/>
              <w:jc w:val="center"/>
              <w:rPr>
                <w:rFonts w:ascii="Times New Roman" w:eastAsia="Times New Roman" w:hAnsi="Times New Roman" w:cs="Times New Roman"/>
                <w:b/>
                <w:bCs/>
                <w:lang w:eastAsia="ru-RU"/>
              </w:rPr>
            </w:pPr>
            <w:r w:rsidRPr="00A922B4">
              <w:rPr>
                <w:rFonts w:ascii="Times New Roman" w:eastAsia="Times New Roman" w:hAnsi="Times New Roman" w:cs="Times New Roman"/>
                <w:b/>
                <w:bCs/>
                <w:lang w:eastAsia="ru-RU"/>
              </w:rPr>
              <w:t xml:space="preserve">2021 год </w:t>
            </w:r>
          </w:p>
          <w:p w14:paraId="5FF91615" w14:textId="77777777" w:rsidR="00A922B4" w:rsidRPr="00A922B4" w:rsidRDefault="00A922B4" w:rsidP="00A922B4">
            <w:pPr>
              <w:spacing w:after="0" w:line="240" w:lineRule="auto"/>
              <w:jc w:val="center"/>
              <w:rPr>
                <w:rFonts w:ascii="Times New Roman" w:eastAsia="Times New Roman" w:hAnsi="Times New Roman" w:cs="Times New Roman"/>
                <w:b/>
                <w:bCs/>
                <w:lang w:eastAsia="ru-RU"/>
              </w:rPr>
            </w:pPr>
            <w:r w:rsidRPr="00A922B4">
              <w:rPr>
                <w:rFonts w:ascii="Times New Roman" w:eastAsia="Times New Roman" w:hAnsi="Times New Roman" w:cs="Times New Roman"/>
                <w:b/>
                <w:bCs/>
                <w:lang w:eastAsia="ru-RU"/>
              </w:rPr>
              <w:t>к 2020 году</w:t>
            </w:r>
          </w:p>
          <w:p w14:paraId="71D10BC7" w14:textId="77777777" w:rsidR="00A922B4" w:rsidRPr="00A922B4" w:rsidRDefault="00A922B4" w:rsidP="00A922B4">
            <w:pPr>
              <w:spacing w:after="0" w:line="240" w:lineRule="auto"/>
              <w:jc w:val="center"/>
              <w:rPr>
                <w:rFonts w:ascii="Times New Roman" w:eastAsia="Times New Roman" w:hAnsi="Times New Roman" w:cs="Times New Roman"/>
                <w:lang w:eastAsia="ru-RU"/>
              </w:rPr>
            </w:pPr>
          </w:p>
        </w:tc>
        <w:tc>
          <w:tcPr>
            <w:tcW w:w="689" w:type="dxa"/>
          </w:tcPr>
          <w:p w14:paraId="7BBDBD90" w14:textId="77777777" w:rsidR="00A922B4" w:rsidRPr="00A922B4" w:rsidRDefault="00A922B4" w:rsidP="00A922B4">
            <w:pPr>
              <w:spacing w:after="0" w:line="240" w:lineRule="auto"/>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w:t>
            </w:r>
          </w:p>
        </w:tc>
        <w:tc>
          <w:tcPr>
            <w:tcW w:w="1356" w:type="dxa"/>
            <w:vAlign w:val="center"/>
          </w:tcPr>
          <w:p w14:paraId="391E2949"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2 857 291,0</w:t>
            </w:r>
          </w:p>
        </w:tc>
        <w:tc>
          <w:tcPr>
            <w:tcW w:w="1479" w:type="dxa"/>
            <w:vAlign w:val="center"/>
          </w:tcPr>
          <w:p w14:paraId="5522A59E"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1 645 390,0</w:t>
            </w:r>
          </w:p>
        </w:tc>
        <w:tc>
          <w:tcPr>
            <w:tcW w:w="1417" w:type="dxa"/>
            <w:vAlign w:val="center"/>
          </w:tcPr>
          <w:p w14:paraId="2D387EE8"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664 200,0</w:t>
            </w:r>
          </w:p>
        </w:tc>
        <w:tc>
          <w:tcPr>
            <w:tcW w:w="1560" w:type="dxa"/>
            <w:vAlign w:val="center"/>
          </w:tcPr>
          <w:p w14:paraId="6B696252"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458 086,0   </w:t>
            </w:r>
          </w:p>
        </w:tc>
        <w:tc>
          <w:tcPr>
            <w:tcW w:w="1559" w:type="dxa"/>
            <w:vAlign w:val="center"/>
          </w:tcPr>
          <w:p w14:paraId="44EDCE0A"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89 615,0</w:t>
            </w:r>
          </w:p>
        </w:tc>
      </w:tr>
      <w:tr w:rsidR="00A23607" w:rsidRPr="000C289B" w14:paraId="5968D695" w14:textId="77777777" w:rsidTr="000C289B">
        <w:trPr>
          <w:trHeight w:val="155"/>
        </w:trPr>
        <w:tc>
          <w:tcPr>
            <w:tcW w:w="1293" w:type="dxa"/>
            <w:vMerge/>
          </w:tcPr>
          <w:p w14:paraId="6FDFA314" w14:textId="77777777" w:rsidR="00A922B4" w:rsidRPr="00A922B4" w:rsidRDefault="00A922B4" w:rsidP="00A922B4">
            <w:pPr>
              <w:spacing w:after="0" w:line="240" w:lineRule="auto"/>
              <w:jc w:val="center"/>
              <w:rPr>
                <w:rFonts w:ascii="Times New Roman" w:eastAsia="Times New Roman" w:hAnsi="Times New Roman" w:cs="Times New Roman"/>
                <w:i/>
                <w:color w:val="000000"/>
                <w:lang w:eastAsia="ru-RU"/>
              </w:rPr>
            </w:pPr>
          </w:p>
        </w:tc>
        <w:tc>
          <w:tcPr>
            <w:tcW w:w="689" w:type="dxa"/>
          </w:tcPr>
          <w:p w14:paraId="71802814" w14:textId="77777777" w:rsidR="00A922B4" w:rsidRPr="00A922B4" w:rsidRDefault="00A922B4" w:rsidP="00A922B4">
            <w:pPr>
              <w:spacing w:after="0" w:line="240" w:lineRule="auto"/>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lang w:eastAsia="ru-RU"/>
              </w:rPr>
              <w:t>(%)</w:t>
            </w:r>
          </w:p>
        </w:tc>
        <w:tc>
          <w:tcPr>
            <w:tcW w:w="1356" w:type="dxa"/>
            <w:vAlign w:val="center"/>
          </w:tcPr>
          <w:p w14:paraId="5C8E842B"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136,2</w:t>
            </w:r>
          </w:p>
        </w:tc>
        <w:tc>
          <w:tcPr>
            <w:tcW w:w="1479" w:type="dxa"/>
            <w:vAlign w:val="center"/>
          </w:tcPr>
          <w:p w14:paraId="62715E07"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190,0</w:t>
            </w:r>
          </w:p>
        </w:tc>
        <w:tc>
          <w:tcPr>
            <w:tcW w:w="1417" w:type="dxa"/>
            <w:vAlign w:val="center"/>
          </w:tcPr>
          <w:p w14:paraId="32312EC6"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116,6   </w:t>
            </w:r>
          </w:p>
        </w:tc>
        <w:tc>
          <w:tcPr>
            <w:tcW w:w="1560" w:type="dxa"/>
            <w:vAlign w:val="center"/>
          </w:tcPr>
          <w:p w14:paraId="23DC41EA"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124,5   </w:t>
            </w:r>
          </w:p>
        </w:tc>
        <w:tc>
          <w:tcPr>
            <w:tcW w:w="1559" w:type="dxa"/>
            <w:vAlign w:val="center"/>
          </w:tcPr>
          <w:p w14:paraId="53D97BA2" w14:textId="77777777" w:rsidR="00A922B4" w:rsidRPr="00A922B4" w:rsidRDefault="00A922B4" w:rsidP="00A922B4">
            <w:pPr>
              <w:spacing w:after="0" w:line="240" w:lineRule="auto"/>
              <w:jc w:val="right"/>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148,1</w:t>
            </w:r>
          </w:p>
        </w:tc>
      </w:tr>
    </w:tbl>
    <w:p w14:paraId="25FCFF14" w14:textId="5E31531A" w:rsidR="00A922B4" w:rsidRDefault="00A922B4"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254DF1FA" w14:textId="3A48BC04"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361C823" w14:textId="2947A2A9"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3C37ECDC" w14:textId="488687FE"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6C1BED78" w14:textId="0671F867"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5D5338CB" w14:textId="5CB6B87C"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68D046BC" w14:textId="19368466"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5B81F852" w14:textId="242055A1"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0781D44A" w14:textId="1AB9C359"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6387E41A" w14:textId="6F46B12E"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06081598" w14:textId="7F3120A3"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ABE04CE" w14:textId="06CB026B"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35288376" w14:textId="6E480F5F"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5D82909E" w14:textId="74F2E6D2"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258DF5EF" w14:textId="52209E2D"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486101B5" w14:textId="4C8B6308"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A63016D" w14:textId="633A6C11"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5350AE3A" w14:textId="5938D00B"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73922231" w14:textId="483696BB"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7141512F" w14:textId="71D45C53"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7AE6DDDA" w14:textId="05D9DE39"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22EE516" w14:textId="2C172F32"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07A5F78" w14:textId="41AD2AF4"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2B559A80" w14:textId="0E14DB66"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513182B0" w14:textId="736F8156"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7C1B38F" w14:textId="7D123D67"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3FCA8B0F" w14:textId="584594FE"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0071A640" w14:textId="23038DCA"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5A633C20" w14:textId="2C067061"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0E1205D2" w14:textId="6475EED4"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B5814EF" w14:textId="1D27C71B" w:rsidR="006B71E3"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1A0E05B7" w14:textId="6D5A8B0F" w:rsidR="006B71E3" w:rsidRPr="006B71E3" w:rsidRDefault="006B71E3" w:rsidP="00A922B4">
      <w:pPr>
        <w:spacing w:after="0" w:line="240" w:lineRule="auto"/>
        <w:ind w:firstLine="708"/>
        <w:jc w:val="both"/>
        <w:rPr>
          <w:rFonts w:ascii="Times New Roman" w:eastAsia="Times New Roman" w:hAnsi="Times New Roman" w:cs="Times New Roman"/>
          <w:b/>
          <w:bCs/>
          <w:color w:val="002060"/>
          <w:sz w:val="28"/>
          <w:szCs w:val="28"/>
          <w:lang w:eastAsia="ru-RU"/>
        </w:rPr>
      </w:pPr>
      <w:r w:rsidRPr="006B71E3">
        <w:rPr>
          <w:rFonts w:ascii="Times New Roman" w:eastAsia="Times New Roman" w:hAnsi="Times New Roman" w:cs="Times New Roman"/>
          <w:b/>
          <w:bCs/>
          <w:color w:val="002060"/>
          <w:sz w:val="28"/>
          <w:szCs w:val="28"/>
          <w:lang w:eastAsia="ru-RU"/>
        </w:rPr>
        <w:lastRenderedPageBreak/>
        <w:t>4.1.4.</w:t>
      </w:r>
      <w:r>
        <w:rPr>
          <w:rFonts w:ascii="Times New Roman" w:eastAsia="Times New Roman" w:hAnsi="Times New Roman" w:cs="Times New Roman"/>
          <w:b/>
          <w:bCs/>
          <w:color w:val="002060"/>
          <w:sz w:val="28"/>
          <w:szCs w:val="28"/>
          <w:lang w:eastAsia="ru-RU"/>
        </w:rPr>
        <w:t xml:space="preserve"> Анализ исполнения доходной части республиканского бюджета Республики Дагестан в разрезе главных администраторов доходов</w:t>
      </w:r>
    </w:p>
    <w:p w14:paraId="7B2249DB" w14:textId="77777777" w:rsidR="006B71E3" w:rsidRPr="00A922B4" w:rsidRDefault="006B71E3" w:rsidP="00A922B4">
      <w:pPr>
        <w:spacing w:after="0" w:line="240" w:lineRule="auto"/>
        <w:ind w:firstLine="708"/>
        <w:jc w:val="both"/>
        <w:rPr>
          <w:rFonts w:ascii="Times New Roman" w:eastAsia="Times New Roman" w:hAnsi="Times New Roman" w:cs="Times New Roman"/>
          <w:sz w:val="28"/>
          <w:szCs w:val="28"/>
          <w:highlight w:val="yellow"/>
          <w:lang w:eastAsia="ar-SA"/>
        </w:rPr>
      </w:pPr>
    </w:p>
    <w:p w14:paraId="75D259C9" w14:textId="25652FFF" w:rsidR="00A922B4" w:rsidRPr="00A922B4" w:rsidRDefault="006B71E3" w:rsidP="006B71E3">
      <w:pPr>
        <w:spacing w:after="0" w:line="240" w:lineRule="auto"/>
        <w:ind w:firstLine="709"/>
        <w:jc w:val="both"/>
        <w:rPr>
          <w:rFonts w:ascii="Times New Roman" w:eastAsia="Times New Roman" w:hAnsi="Times New Roman" w:cs="Times New Roman"/>
          <w:sz w:val="28"/>
          <w:szCs w:val="28"/>
          <w:lang w:eastAsia="ar-SA"/>
        </w:rPr>
      </w:pPr>
      <w:r w:rsidRPr="006B71E3">
        <w:rPr>
          <w:rFonts w:ascii="Times New Roman" w:eastAsia="Times New Roman" w:hAnsi="Times New Roman" w:cs="Times New Roman"/>
          <w:b/>
          <w:bCs/>
          <w:color w:val="002060"/>
          <w:sz w:val="28"/>
          <w:szCs w:val="28"/>
          <w:lang w:eastAsia="ru-RU"/>
        </w:rPr>
        <w:t>4.1.4.</w:t>
      </w:r>
      <w:r>
        <w:rPr>
          <w:rFonts w:ascii="Times New Roman" w:eastAsia="Times New Roman" w:hAnsi="Times New Roman" w:cs="Times New Roman"/>
          <w:b/>
          <w:bCs/>
          <w:color w:val="002060"/>
          <w:sz w:val="28"/>
          <w:szCs w:val="28"/>
          <w:lang w:eastAsia="ru-RU"/>
        </w:rPr>
        <w:t xml:space="preserve">1. </w:t>
      </w:r>
      <w:r w:rsidR="00A922B4" w:rsidRPr="00A922B4">
        <w:rPr>
          <w:rFonts w:ascii="Times New Roman" w:eastAsia="Times New Roman" w:hAnsi="Times New Roman" w:cs="Times New Roman"/>
          <w:sz w:val="28"/>
          <w:szCs w:val="28"/>
          <w:lang w:eastAsia="ar-SA"/>
        </w:rPr>
        <w:t xml:space="preserve">Главными администраторами доходов республиканского бюджета Республики Дагестан – органами исполнительной власти Республики Дагестан не в полной мере выполняются требования постановления Правительства Республики Дагестан от 5 июля 2013 года № 344 «О порядке осуществления органами государственной власти Республики Дагестан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w:t>
      </w:r>
    </w:p>
    <w:p w14:paraId="21CB64B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В частности, главные администраторы доходов (кроме Управления федеральной налоговой службы по Республике Дагестан), Управления Федерального казначейства по Республике Дагестан, Министерства экономики и территориального развития Республики Дагестан, Министерства природных ресурсов и экологии Республики Дагестан, Министерства внутренних дел по Республике Дагестан и Министерства по земельным и имущественным отношениям Республики Дагестан) не представляют в Министерство финансов Республики Дагестан ежеквартально прогноз помесячного поступления доходов и помесячного привлечения и погашения средств источников финансирования дефицита республиканского бюджета Республики Дагестан, а также аналитические материалы по исполнению бюджета в части доходов. А сведения, необходимые для составления среднесрочного финансового плана и ведения кассового плана представляют по запросу Министерства финансов Республики Дагестан.</w:t>
      </w:r>
    </w:p>
    <w:p w14:paraId="12E37B27"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Согласно Закону Республики Дагестан «О республиканском бюджете Республики Дагестан на 2021 год и на плановый период 2022 и 2023 годов» (приложение № 6) администраторами доходов республиканского бюджета Республики Дагестан определены 25 министерств и ведомств Республики Дагестан.</w:t>
      </w:r>
    </w:p>
    <w:p w14:paraId="3BF84343" w14:textId="67B5F745"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Бюджетные назначения на 2021 год утверждены только по </w:t>
      </w:r>
      <w:r w:rsidR="00011A35">
        <w:rPr>
          <w:rFonts w:ascii="Times New Roman" w:eastAsia="Times New Roman" w:hAnsi="Times New Roman" w:cs="Times New Roman"/>
          <w:sz w:val="28"/>
          <w:szCs w:val="28"/>
          <w:lang w:eastAsia="ar-SA"/>
        </w:rPr>
        <w:br/>
      </w:r>
      <w:r w:rsidRPr="00A922B4">
        <w:rPr>
          <w:rFonts w:ascii="Times New Roman" w:eastAsia="Times New Roman" w:hAnsi="Times New Roman" w:cs="Times New Roman"/>
          <w:sz w:val="28"/>
          <w:szCs w:val="28"/>
          <w:lang w:eastAsia="ar-SA"/>
        </w:rPr>
        <w:t xml:space="preserve">19 администраторам, при этом за 2020 год доходы в бюджет поступили от </w:t>
      </w:r>
      <w:r w:rsidR="00011A35">
        <w:rPr>
          <w:rFonts w:ascii="Times New Roman" w:eastAsia="Times New Roman" w:hAnsi="Times New Roman" w:cs="Times New Roman"/>
          <w:sz w:val="28"/>
          <w:szCs w:val="28"/>
          <w:lang w:eastAsia="ar-SA"/>
        </w:rPr>
        <w:br/>
      </w:r>
      <w:r w:rsidRPr="00A922B4">
        <w:rPr>
          <w:rFonts w:ascii="Times New Roman" w:eastAsia="Times New Roman" w:hAnsi="Times New Roman" w:cs="Times New Roman"/>
          <w:sz w:val="28"/>
          <w:szCs w:val="28"/>
          <w:lang w:eastAsia="ar-SA"/>
        </w:rPr>
        <w:t>36 администраторов.</w:t>
      </w:r>
    </w:p>
    <w:p w14:paraId="3E392EBE"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Следует отметить, что при прогнозировании поступлений неналоговых доходов на 2021 год, поступления доходов по 5 администраторам были определены ниже, чем фактические поступления за 2020 год, в частности:</w:t>
      </w:r>
    </w:p>
    <w:p w14:paraId="32C2FADA"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Комитет по лесному хозяйству Республики Дагестан – в 1,6 раза (факт за 2020 год – 4 815 тыс. рублей, план на 2021 год – 3 042,2 тыс. рублей);</w:t>
      </w:r>
    </w:p>
    <w:p w14:paraId="7D1E5023" w14:textId="4ADBF040"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 Государственная жилищная инспекция </w:t>
      </w:r>
      <w:r w:rsidRPr="00A922B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ar-SA"/>
        </w:rPr>
        <w:t xml:space="preserve"> – </w:t>
      </w:r>
      <w:r w:rsidR="00011A35">
        <w:rPr>
          <w:rFonts w:ascii="Times New Roman" w:eastAsia="Times New Roman" w:hAnsi="Times New Roman" w:cs="Times New Roman"/>
          <w:sz w:val="28"/>
          <w:szCs w:val="28"/>
          <w:lang w:eastAsia="ar-SA"/>
        </w:rPr>
        <w:br/>
      </w:r>
      <w:r w:rsidRPr="00A922B4">
        <w:rPr>
          <w:rFonts w:ascii="Times New Roman" w:eastAsia="Times New Roman" w:hAnsi="Times New Roman" w:cs="Times New Roman"/>
          <w:sz w:val="28"/>
          <w:szCs w:val="28"/>
          <w:lang w:eastAsia="ar-SA"/>
        </w:rPr>
        <w:t>в 1,5 раза (факт за 2020 год – 766,2 тыс. рублей, план на 2021 год – 504,1 тыс. рублей);</w:t>
      </w:r>
    </w:p>
    <w:p w14:paraId="0EF551D8"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Главное управление</w:t>
      </w:r>
      <w:r w:rsidRPr="00A922B4">
        <w:rPr>
          <w:rFonts w:ascii="Times New Roman" w:eastAsia="Times New Roman" w:hAnsi="Times New Roman" w:cs="Times New Roman"/>
          <w:sz w:val="28"/>
          <w:szCs w:val="28"/>
          <w:lang w:eastAsia="ru-RU"/>
        </w:rPr>
        <w:t xml:space="preserve"> Министерства Российской Федерации по делам гражданской обороны, чрезвычайным ситуациям и ликвидации последствий </w:t>
      </w:r>
      <w:r w:rsidRPr="00A922B4">
        <w:rPr>
          <w:rFonts w:ascii="Times New Roman" w:eastAsia="Times New Roman" w:hAnsi="Times New Roman" w:cs="Times New Roman"/>
          <w:sz w:val="28"/>
          <w:szCs w:val="28"/>
          <w:lang w:eastAsia="ru-RU"/>
        </w:rPr>
        <w:lastRenderedPageBreak/>
        <w:t xml:space="preserve">стихийных бедствий </w:t>
      </w:r>
      <w:r w:rsidRPr="00A922B4">
        <w:rPr>
          <w:rFonts w:ascii="Times New Roman" w:eastAsia="Times New Roman" w:hAnsi="Times New Roman" w:cs="Times New Roman"/>
          <w:sz w:val="28"/>
          <w:szCs w:val="28"/>
          <w:lang w:eastAsia="ar-SA"/>
        </w:rPr>
        <w:t>по Республике Дагестан – в 4,4 раза (факт за 2020 год – 3 399,2 тыс. рублей, план на 2021 год – 776,9 тыс. рублей);</w:t>
      </w:r>
    </w:p>
    <w:p w14:paraId="74517A25"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 Управление Министерства юстиции Российской Федерации по </w:t>
      </w:r>
      <w:r w:rsidRPr="00A922B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ar-SA"/>
        </w:rPr>
        <w:t xml:space="preserve"> – в 32 раза (факт за 2020 год – 126,0 тыс. рублей, план на 2021 год – 4,0 тыс. рублей);</w:t>
      </w:r>
    </w:p>
    <w:p w14:paraId="74C7E3DC" w14:textId="7FB70BAF"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 Государственная инспекция Республики Дагестан по надзору за техническим состоянием самоходных машин и других видов техники – </w:t>
      </w:r>
      <w:r w:rsidR="00011A35">
        <w:rPr>
          <w:rFonts w:ascii="Times New Roman" w:eastAsia="Times New Roman" w:hAnsi="Times New Roman" w:cs="Times New Roman"/>
          <w:sz w:val="28"/>
          <w:szCs w:val="28"/>
          <w:lang w:eastAsia="ar-SA"/>
        </w:rPr>
        <w:br/>
      </w:r>
      <w:r w:rsidRPr="00A922B4">
        <w:rPr>
          <w:rFonts w:ascii="Times New Roman" w:eastAsia="Times New Roman" w:hAnsi="Times New Roman" w:cs="Times New Roman"/>
          <w:sz w:val="28"/>
          <w:szCs w:val="28"/>
          <w:lang w:eastAsia="ar-SA"/>
        </w:rPr>
        <w:t xml:space="preserve">в 1,8 раза (факт за 2020 год – 4 837,2 тыс. рублей, план на 2021 год – </w:t>
      </w:r>
      <w:r w:rsidR="00011A35">
        <w:rPr>
          <w:rFonts w:ascii="Times New Roman" w:eastAsia="Times New Roman" w:hAnsi="Times New Roman" w:cs="Times New Roman"/>
          <w:sz w:val="28"/>
          <w:szCs w:val="28"/>
          <w:lang w:eastAsia="ar-SA"/>
        </w:rPr>
        <w:br/>
      </w:r>
      <w:r w:rsidRPr="00A922B4">
        <w:rPr>
          <w:rFonts w:ascii="Times New Roman" w:eastAsia="Times New Roman" w:hAnsi="Times New Roman" w:cs="Times New Roman"/>
          <w:sz w:val="28"/>
          <w:szCs w:val="28"/>
          <w:lang w:eastAsia="ar-SA"/>
        </w:rPr>
        <w:t>2 712,3 тыс. рублей).</w:t>
      </w:r>
    </w:p>
    <w:p w14:paraId="337D6A08"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Следует отметить, что на 2021 год по 19 министерствам и ведомствам не были запланированы поступления неналоговых доходов, от которых фактически поступления за 2020 год составили 10 274,9 тыс. рублей, в том числе наибольшие значения поступили от:</w:t>
      </w:r>
    </w:p>
    <w:p w14:paraId="6D59792A" w14:textId="77777777" w:rsidR="00A922B4" w:rsidRPr="00A922B4" w:rsidRDefault="00A922B4" w:rsidP="006B71E3">
      <w:pPr>
        <w:spacing w:after="0" w:line="240" w:lineRule="auto"/>
        <w:ind w:firstLine="709"/>
        <w:jc w:val="both"/>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sz w:val="28"/>
          <w:szCs w:val="28"/>
          <w:lang w:eastAsia="ar-SA"/>
        </w:rPr>
        <w:t>- Министерства строительства Республики Дагестан – 4 291,4 тыс. рублей (факт за 2020 год);</w:t>
      </w:r>
    </w:p>
    <w:p w14:paraId="1C8A2C4F" w14:textId="77777777" w:rsidR="00A922B4" w:rsidRPr="00A922B4" w:rsidRDefault="00A922B4" w:rsidP="006B71E3">
      <w:pPr>
        <w:spacing w:after="0" w:line="240" w:lineRule="auto"/>
        <w:ind w:firstLine="709"/>
        <w:jc w:val="both"/>
        <w:rPr>
          <w:rFonts w:ascii="Times New Roman" w:eastAsia="Times New Roman" w:hAnsi="Times New Roman" w:cs="Times New Roman"/>
          <w:color w:val="000000"/>
          <w:sz w:val="24"/>
          <w:szCs w:val="24"/>
          <w:lang w:eastAsia="ru-RU"/>
        </w:rPr>
      </w:pPr>
      <w:r w:rsidRPr="00A922B4">
        <w:rPr>
          <w:rFonts w:ascii="Times New Roman" w:eastAsia="Times New Roman" w:hAnsi="Times New Roman" w:cs="Times New Roman"/>
          <w:sz w:val="28"/>
          <w:szCs w:val="28"/>
          <w:lang w:eastAsia="ar-SA"/>
        </w:rPr>
        <w:t>- Министерства здравоохранения Республики Дагестан – 1 565,6 тыс. рублей;</w:t>
      </w:r>
    </w:p>
    <w:p w14:paraId="7BD28379"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Федеральная служба по надзору в сфере транспорта – 1 352,7 тыс. рублей;</w:t>
      </w:r>
    </w:p>
    <w:p w14:paraId="560AC2AD" w14:textId="0B268B39"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 Агентства по предпринимательству и инвестициям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ar-SA"/>
        </w:rPr>
        <w:t xml:space="preserve"> – 729,0 тыс. рублей.</w:t>
      </w:r>
    </w:p>
    <w:p w14:paraId="75DB3B4A"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Анализ исполнения доходной части республиканского бюджета Республики Дагестан в разрезе администраторов доходов показывает, что главным администратором основного объема налоговых и неналоговых доходов республиканского бюджета Республики Дагестан (30 296 253,4 тыс. рублей, или 72,6 %) является Управление Федеральной налоговой службы по Республике Дагестан.</w:t>
      </w:r>
    </w:p>
    <w:p w14:paraId="767E7AEB" w14:textId="59E04137" w:rsidR="00A922B4" w:rsidRPr="00A922B4" w:rsidRDefault="00A922B4" w:rsidP="006B71E3">
      <w:pPr>
        <w:spacing w:after="0" w:line="240" w:lineRule="auto"/>
        <w:ind w:firstLine="709"/>
        <w:jc w:val="both"/>
        <w:rPr>
          <w:rFonts w:ascii="Times New Roman" w:eastAsia="Times New Roman" w:hAnsi="Times New Roman" w:cs="Times New Roman"/>
          <w:sz w:val="28"/>
          <w:szCs w:val="28"/>
          <w:highlight w:val="yellow"/>
          <w:lang w:eastAsia="ar-SA"/>
        </w:rPr>
      </w:pPr>
      <w:r w:rsidRPr="00A922B4">
        <w:rPr>
          <w:rFonts w:ascii="Times New Roman" w:eastAsia="Times New Roman" w:hAnsi="Times New Roman" w:cs="Times New Roman"/>
          <w:sz w:val="28"/>
          <w:szCs w:val="28"/>
          <w:lang w:eastAsia="ar-SA"/>
        </w:rPr>
        <w:t xml:space="preserve">Поступление налоговых и неналоговых доходов в республиканский бюджет Республики Дагестан за 2020-2021 годы в разрезе </w:t>
      </w:r>
      <w:r w:rsidR="002E57D3">
        <w:rPr>
          <w:rFonts w:ascii="Times New Roman" w:eastAsia="Times New Roman" w:hAnsi="Times New Roman" w:cs="Times New Roman"/>
          <w:sz w:val="28"/>
          <w:szCs w:val="28"/>
          <w:lang w:eastAsia="ar-SA"/>
        </w:rPr>
        <w:t xml:space="preserve">отдельных </w:t>
      </w:r>
      <w:r w:rsidRPr="00A922B4">
        <w:rPr>
          <w:rFonts w:ascii="Times New Roman" w:eastAsia="Times New Roman" w:hAnsi="Times New Roman" w:cs="Times New Roman"/>
          <w:sz w:val="28"/>
          <w:szCs w:val="28"/>
          <w:lang w:eastAsia="ar-SA"/>
        </w:rPr>
        <w:t>администраторов доходов приведено в следующей таблице.</w:t>
      </w:r>
    </w:p>
    <w:p w14:paraId="6D3E7F15" w14:textId="77777777" w:rsidR="00A922B4" w:rsidRPr="00A922B4" w:rsidRDefault="00A922B4" w:rsidP="00A922B4">
      <w:pPr>
        <w:spacing w:after="0" w:line="240" w:lineRule="auto"/>
        <w:ind w:firstLine="851"/>
        <w:jc w:val="right"/>
        <w:rPr>
          <w:rFonts w:ascii="Times New Roman" w:eastAsia="Times New Roman" w:hAnsi="Times New Roman" w:cs="Times New Roman"/>
          <w:b/>
          <w:bCs/>
          <w:color w:val="002060"/>
          <w:sz w:val="24"/>
          <w:szCs w:val="24"/>
          <w:lang w:eastAsia="ar-SA"/>
        </w:rPr>
      </w:pPr>
      <w:r w:rsidRPr="00A922B4">
        <w:rPr>
          <w:rFonts w:ascii="Times New Roman" w:eastAsia="Times New Roman" w:hAnsi="Times New Roman" w:cs="Times New Roman"/>
          <w:b/>
          <w:bCs/>
          <w:color w:val="002060"/>
          <w:sz w:val="24"/>
          <w:szCs w:val="24"/>
          <w:lang w:eastAsia="ar-SA"/>
        </w:rPr>
        <w:t>тыс. рублей</w:t>
      </w:r>
    </w:p>
    <w:tbl>
      <w:tblPr>
        <w:tblW w:w="9385"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732"/>
        <w:gridCol w:w="1314"/>
        <w:gridCol w:w="1201"/>
        <w:gridCol w:w="1169"/>
        <w:gridCol w:w="1266"/>
        <w:gridCol w:w="703"/>
      </w:tblGrid>
      <w:tr w:rsidR="00A922B4" w:rsidRPr="00A922B4" w14:paraId="0E75C6DB" w14:textId="77777777" w:rsidTr="00B96E95">
        <w:trPr>
          <w:trHeight w:val="332"/>
          <w:tblHeader/>
        </w:trPr>
        <w:tc>
          <w:tcPr>
            <w:tcW w:w="3732" w:type="dxa"/>
            <w:vMerge w:val="restart"/>
            <w:shd w:val="clear" w:color="auto" w:fill="D9E2F3" w:themeFill="accent1" w:themeFillTint="33"/>
            <w:vAlign w:val="center"/>
          </w:tcPr>
          <w:p w14:paraId="119E3042"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 xml:space="preserve">Наименование </w:t>
            </w:r>
          </w:p>
          <w:p w14:paraId="7CAE0F8B" w14:textId="77777777" w:rsidR="00A922B4" w:rsidRPr="00A922B4" w:rsidRDefault="00A922B4" w:rsidP="00A922B4">
            <w:pPr>
              <w:spacing w:after="0" w:line="240" w:lineRule="auto"/>
              <w:ind w:left="-57" w:right="-57"/>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администратора доходов</w:t>
            </w:r>
          </w:p>
        </w:tc>
        <w:tc>
          <w:tcPr>
            <w:tcW w:w="1314" w:type="dxa"/>
            <w:vMerge w:val="restart"/>
            <w:shd w:val="clear" w:color="auto" w:fill="D9E2F3" w:themeFill="accent1" w:themeFillTint="33"/>
            <w:vAlign w:val="center"/>
          </w:tcPr>
          <w:p w14:paraId="3C9730D9" w14:textId="77777777" w:rsidR="00A922B4" w:rsidRPr="00A922B4" w:rsidRDefault="00A922B4" w:rsidP="00A922B4">
            <w:pPr>
              <w:spacing w:after="0" w:line="240" w:lineRule="auto"/>
              <w:ind w:left="-134" w:right="-82"/>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Факт</w:t>
            </w:r>
          </w:p>
          <w:p w14:paraId="0F39B74C" w14:textId="77777777" w:rsidR="00A922B4" w:rsidRPr="00A922B4" w:rsidRDefault="00A922B4" w:rsidP="00A922B4">
            <w:pPr>
              <w:spacing w:after="0" w:line="240" w:lineRule="auto"/>
              <w:ind w:left="-134" w:right="-82"/>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за 2020 год</w:t>
            </w:r>
          </w:p>
        </w:tc>
        <w:tc>
          <w:tcPr>
            <w:tcW w:w="1201" w:type="dxa"/>
            <w:vMerge w:val="restart"/>
            <w:shd w:val="clear" w:color="auto" w:fill="D9E2F3" w:themeFill="accent1" w:themeFillTint="33"/>
            <w:vAlign w:val="center"/>
          </w:tcPr>
          <w:p w14:paraId="34399682" w14:textId="77777777" w:rsidR="00A922B4" w:rsidRPr="00A922B4" w:rsidRDefault="00A922B4" w:rsidP="00A922B4">
            <w:pPr>
              <w:spacing w:after="0" w:line="240" w:lineRule="auto"/>
              <w:ind w:left="-57" w:right="-79"/>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План</w:t>
            </w:r>
          </w:p>
          <w:p w14:paraId="204FC009" w14:textId="77777777" w:rsidR="00A922B4" w:rsidRPr="00A922B4" w:rsidRDefault="00A922B4" w:rsidP="00A922B4">
            <w:pPr>
              <w:spacing w:after="0" w:line="240" w:lineRule="auto"/>
              <w:ind w:left="-57" w:right="-79"/>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на 2021 год</w:t>
            </w:r>
          </w:p>
        </w:tc>
        <w:tc>
          <w:tcPr>
            <w:tcW w:w="1169" w:type="dxa"/>
            <w:vMerge w:val="restart"/>
            <w:shd w:val="clear" w:color="auto" w:fill="D9E2F3" w:themeFill="accent1" w:themeFillTint="33"/>
            <w:vAlign w:val="center"/>
          </w:tcPr>
          <w:p w14:paraId="2E86E5B3" w14:textId="77777777" w:rsidR="00A922B4" w:rsidRPr="00A922B4" w:rsidRDefault="00A922B4" w:rsidP="00A922B4">
            <w:pPr>
              <w:spacing w:after="0" w:line="240" w:lineRule="auto"/>
              <w:ind w:left="-173" w:right="-147"/>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 xml:space="preserve">Факт </w:t>
            </w:r>
          </w:p>
          <w:p w14:paraId="0826C1FF" w14:textId="77777777" w:rsidR="00A922B4" w:rsidRPr="00A922B4" w:rsidRDefault="00A922B4" w:rsidP="00A922B4">
            <w:pPr>
              <w:spacing w:after="0" w:line="240" w:lineRule="auto"/>
              <w:ind w:left="-173" w:right="-147"/>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за 2021 год</w:t>
            </w:r>
          </w:p>
        </w:tc>
        <w:tc>
          <w:tcPr>
            <w:tcW w:w="1969" w:type="dxa"/>
            <w:gridSpan w:val="2"/>
            <w:shd w:val="clear" w:color="auto" w:fill="D9E2F3" w:themeFill="accent1" w:themeFillTint="33"/>
            <w:vAlign w:val="center"/>
          </w:tcPr>
          <w:p w14:paraId="51ED0F6E" w14:textId="77777777" w:rsidR="00A922B4" w:rsidRPr="00A922B4" w:rsidRDefault="00A922B4" w:rsidP="00A922B4">
            <w:pPr>
              <w:spacing w:after="0" w:line="240" w:lineRule="auto"/>
              <w:ind w:left="-57" w:right="-82"/>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Исполнение</w:t>
            </w:r>
          </w:p>
        </w:tc>
      </w:tr>
      <w:tr w:rsidR="00A922B4" w:rsidRPr="00A922B4" w14:paraId="7E79594B" w14:textId="77777777" w:rsidTr="00B96E95">
        <w:trPr>
          <w:trHeight w:val="466"/>
          <w:tblHeader/>
        </w:trPr>
        <w:tc>
          <w:tcPr>
            <w:tcW w:w="3732" w:type="dxa"/>
            <w:vMerge/>
            <w:shd w:val="clear" w:color="auto" w:fill="D9E2F3" w:themeFill="accent1" w:themeFillTint="33"/>
            <w:vAlign w:val="center"/>
          </w:tcPr>
          <w:p w14:paraId="575A7582" w14:textId="77777777" w:rsidR="00A922B4" w:rsidRPr="00A922B4" w:rsidRDefault="00A922B4" w:rsidP="00A922B4">
            <w:pPr>
              <w:spacing w:after="0" w:line="240" w:lineRule="auto"/>
              <w:ind w:left="-57" w:right="-57"/>
              <w:rPr>
                <w:rFonts w:ascii="Times New Roman" w:eastAsia="Times New Roman" w:hAnsi="Times New Roman" w:cs="Times New Roman"/>
                <w:b/>
                <w:bCs/>
                <w:color w:val="000000"/>
                <w:lang w:eastAsia="ru-RU"/>
              </w:rPr>
            </w:pPr>
          </w:p>
        </w:tc>
        <w:tc>
          <w:tcPr>
            <w:tcW w:w="1314" w:type="dxa"/>
            <w:vMerge/>
            <w:shd w:val="clear" w:color="auto" w:fill="D9E2F3" w:themeFill="accent1" w:themeFillTint="33"/>
            <w:vAlign w:val="center"/>
          </w:tcPr>
          <w:p w14:paraId="445ACDAC" w14:textId="77777777" w:rsidR="00A922B4" w:rsidRPr="00A922B4" w:rsidRDefault="00A922B4" w:rsidP="00A922B4">
            <w:pPr>
              <w:spacing w:after="0" w:line="240" w:lineRule="auto"/>
              <w:ind w:left="-134" w:right="-82"/>
              <w:jc w:val="center"/>
              <w:rPr>
                <w:rFonts w:ascii="Times New Roman" w:eastAsia="Times New Roman" w:hAnsi="Times New Roman" w:cs="Times New Roman"/>
                <w:b/>
                <w:bCs/>
                <w:color w:val="000000"/>
                <w:lang w:eastAsia="ru-RU"/>
              </w:rPr>
            </w:pPr>
          </w:p>
        </w:tc>
        <w:tc>
          <w:tcPr>
            <w:tcW w:w="1201" w:type="dxa"/>
            <w:vMerge/>
            <w:shd w:val="clear" w:color="auto" w:fill="D9E2F3" w:themeFill="accent1" w:themeFillTint="33"/>
            <w:vAlign w:val="center"/>
          </w:tcPr>
          <w:p w14:paraId="6A912A54" w14:textId="77777777" w:rsidR="00A922B4" w:rsidRPr="00A922B4" w:rsidRDefault="00A922B4" w:rsidP="00A922B4">
            <w:pPr>
              <w:spacing w:after="0" w:line="240" w:lineRule="auto"/>
              <w:ind w:left="-57" w:right="-79"/>
              <w:jc w:val="center"/>
              <w:rPr>
                <w:rFonts w:ascii="Times New Roman" w:eastAsia="Times New Roman" w:hAnsi="Times New Roman" w:cs="Times New Roman"/>
                <w:b/>
                <w:bCs/>
                <w:color w:val="000000"/>
                <w:lang w:eastAsia="ru-RU"/>
              </w:rPr>
            </w:pPr>
          </w:p>
        </w:tc>
        <w:tc>
          <w:tcPr>
            <w:tcW w:w="1169" w:type="dxa"/>
            <w:vMerge/>
            <w:shd w:val="clear" w:color="auto" w:fill="D9E2F3" w:themeFill="accent1" w:themeFillTint="33"/>
            <w:vAlign w:val="center"/>
          </w:tcPr>
          <w:p w14:paraId="5E11D977" w14:textId="77777777" w:rsidR="00A922B4" w:rsidRPr="00A922B4" w:rsidRDefault="00A922B4" w:rsidP="00A922B4">
            <w:pPr>
              <w:spacing w:after="0" w:line="240" w:lineRule="auto"/>
              <w:ind w:left="-173" w:right="-147"/>
              <w:rPr>
                <w:rFonts w:ascii="Times New Roman" w:eastAsia="Times New Roman" w:hAnsi="Times New Roman" w:cs="Times New Roman"/>
                <w:b/>
                <w:bCs/>
                <w:color w:val="000000"/>
                <w:lang w:eastAsia="ru-RU"/>
              </w:rPr>
            </w:pPr>
          </w:p>
        </w:tc>
        <w:tc>
          <w:tcPr>
            <w:tcW w:w="1266" w:type="dxa"/>
            <w:shd w:val="clear" w:color="auto" w:fill="D9E2F3" w:themeFill="accent1" w:themeFillTint="33"/>
            <w:vAlign w:val="center"/>
          </w:tcPr>
          <w:p w14:paraId="6DD09B38" w14:textId="77777777" w:rsidR="00A922B4" w:rsidRPr="00A922B4" w:rsidRDefault="00A922B4" w:rsidP="00A922B4">
            <w:pPr>
              <w:spacing w:after="0" w:line="240" w:lineRule="auto"/>
              <w:ind w:left="-57" w:right="-82"/>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w:t>
            </w:r>
          </w:p>
        </w:tc>
        <w:tc>
          <w:tcPr>
            <w:tcW w:w="703" w:type="dxa"/>
            <w:shd w:val="clear" w:color="auto" w:fill="D9E2F3" w:themeFill="accent1" w:themeFillTint="33"/>
            <w:vAlign w:val="center"/>
          </w:tcPr>
          <w:p w14:paraId="76DFB03F" w14:textId="77777777" w:rsidR="00A922B4" w:rsidRPr="00A922B4" w:rsidRDefault="00A922B4" w:rsidP="00A922B4">
            <w:pPr>
              <w:spacing w:after="0" w:line="240" w:lineRule="auto"/>
              <w:ind w:left="-57" w:right="-82"/>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w:t>
            </w:r>
          </w:p>
        </w:tc>
      </w:tr>
      <w:tr w:rsidR="00A922B4" w:rsidRPr="00A922B4" w14:paraId="2E78005A" w14:textId="77777777" w:rsidTr="00B96E95">
        <w:trPr>
          <w:trHeight w:val="204"/>
        </w:trPr>
        <w:tc>
          <w:tcPr>
            <w:tcW w:w="3732" w:type="dxa"/>
            <w:vAlign w:val="center"/>
          </w:tcPr>
          <w:p w14:paraId="10638E8E" w14:textId="17FD2C0D" w:rsidR="00A922B4" w:rsidRPr="00A922B4" w:rsidRDefault="00A922B4" w:rsidP="00A922B4">
            <w:pPr>
              <w:spacing w:after="0" w:line="240" w:lineRule="auto"/>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 xml:space="preserve">ДОХОДЫ, </w:t>
            </w:r>
          </w:p>
        </w:tc>
        <w:tc>
          <w:tcPr>
            <w:tcW w:w="1314" w:type="dxa"/>
            <w:noWrap/>
            <w:vAlign w:val="center"/>
          </w:tcPr>
          <w:p w14:paraId="56609E3F" w14:textId="77777777" w:rsidR="00A922B4" w:rsidRPr="00A922B4" w:rsidRDefault="00A922B4" w:rsidP="00A922B4">
            <w:pPr>
              <w:spacing w:after="0" w:line="240" w:lineRule="auto"/>
              <w:ind w:left="-69" w:right="-5"/>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34 526 922,9</w:t>
            </w:r>
          </w:p>
        </w:tc>
        <w:tc>
          <w:tcPr>
            <w:tcW w:w="1201" w:type="dxa"/>
            <w:noWrap/>
            <w:vAlign w:val="center"/>
          </w:tcPr>
          <w:p w14:paraId="53A3CDB9" w14:textId="77777777" w:rsidR="00A922B4" w:rsidRPr="00A922B4" w:rsidRDefault="00A922B4" w:rsidP="00A922B4">
            <w:pPr>
              <w:spacing w:after="0" w:line="240" w:lineRule="auto"/>
              <w:ind w:left="-173" w:right="-123"/>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41 232 822,0</w:t>
            </w:r>
          </w:p>
        </w:tc>
        <w:tc>
          <w:tcPr>
            <w:tcW w:w="1169" w:type="dxa"/>
            <w:noWrap/>
            <w:vAlign w:val="center"/>
          </w:tcPr>
          <w:p w14:paraId="4E180F31" w14:textId="77777777" w:rsidR="00A922B4" w:rsidRPr="00A922B4" w:rsidRDefault="00A922B4" w:rsidP="00A922B4">
            <w:pPr>
              <w:spacing w:after="0" w:line="240" w:lineRule="auto"/>
              <w:ind w:left="-113" w:right="-147"/>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41 734 515,7</w:t>
            </w:r>
          </w:p>
        </w:tc>
        <w:tc>
          <w:tcPr>
            <w:tcW w:w="1266" w:type="dxa"/>
            <w:noWrap/>
            <w:vAlign w:val="center"/>
          </w:tcPr>
          <w:p w14:paraId="0C0BB49A" w14:textId="77777777" w:rsidR="00A922B4" w:rsidRPr="00A922B4" w:rsidRDefault="00A922B4" w:rsidP="00A922B4">
            <w:pPr>
              <w:spacing w:after="0" w:line="240" w:lineRule="auto"/>
              <w:ind w:left="-173" w:right="-5"/>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501 693,7</w:t>
            </w:r>
          </w:p>
        </w:tc>
        <w:tc>
          <w:tcPr>
            <w:tcW w:w="703" w:type="dxa"/>
            <w:vAlign w:val="center"/>
          </w:tcPr>
          <w:p w14:paraId="381C3DB4" w14:textId="77777777" w:rsidR="00A922B4" w:rsidRPr="00A922B4" w:rsidRDefault="00A922B4" w:rsidP="00A922B4">
            <w:pPr>
              <w:spacing w:after="0" w:line="240" w:lineRule="auto"/>
              <w:ind w:left="-173" w:right="-5"/>
              <w:jc w:val="center"/>
              <w:rPr>
                <w:rFonts w:ascii="Times New Roman" w:eastAsia="Times New Roman" w:hAnsi="Times New Roman" w:cs="Times New Roman"/>
                <w:b/>
                <w:bCs/>
                <w:color w:val="000000"/>
                <w:lang w:eastAsia="ru-RU"/>
              </w:rPr>
            </w:pPr>
            <w:r w:rsidRPr="00A922B4">
              <w:rPr>
                <w:rFonts w:ascii="Times New Roman" w:eastAsia="Times New Roman" w:hAnsi="Times New Roman" w:cs="Times New Roman"/>
                <w:b/>
                <w:bCs/>
                <w:color w:val="000000"/>
                <w:lang w:eastAsia="ru-RU"/>
              </w:rPr>
              <w:t>101,2</w:t>
            </w:r>
          </w:p>
        </w:tc>
      </w:tr>
      <w:tr w:rsidR="002E57D3" w:rsidRPr="00A922B4" w14:paraId="02B846AB" w14:textId="77777777" w:rsidTr="00B96E95">
        <w:trPr>
          <w:trHeight w:val="264"/>
        </w:trPr>
        <w:tc>
          <w:tcPr>
            <w:tcW w:w="3732" w:type="dxa"/>
            <w:vAlign w:val="center"/>
          </w:tcPr>
          <w:p w14:paraId="2833965D" w14:textId="668FB77A" w:rsidR="002E57D3" w:rsidRPr="002E57D3" w:rsidRDefault="002E57D3" w:rsidP="00A922B4">
            <w:pPr>
              <w:spacing w:after="0" w:line="240" w:lineRule="auto"/>
              <w:jc w:val="both"/>
              <w:rPr>
                <w:rFonts w:ascii="Times New Roman" w:eastAsia="Times New Roman" w:hAnsi="Times New Roman" w:cs="Times New Roman"/>
                <w:color w:val="000000"/>
                <w:lang w:eastAsia="ru-RU"/>
              </w:rPr>
            </w:pPr>
            <w:r w:rsidRPr="002E57D3">
              <w:rPr>
                <w:rFonts w:ascii="Times New Roman" w:eastAsia="Times New Roman" w:hAnsi="Times New Roman" w:cs="Times New Roman"/>
                <w:color w:val="000000"/>
                <w:lang w:eastAsia="ru-RU"/>
              </w:rPr>
              <w:t>из них:</w:t>
            </w:r>
          </w:p>
        </w:tc>
        <w:tc>
          <w:tcPr>
            <w:tcW w:w="1314" w:type="dxa"/>
            <w:vAlign w:val="center"/>
          </w:tcPr>
          <w:p w14:paraId="5E1C3E1B" w14:textId="77777777" w:rsidR="002E57D3" w:rsidRPr="00A922B4" w:rsidRDefault="002E57D3" w:rsidP="00A922B4">
            <w:pPr>
              <w:spacing w:after="0" w:line="240" w:lineRule="auto"/>
              <w:ind w:left="-69" w:right="-5"/>
              <w:jc w:val="center"/>
              <w:rPr>
                <w:rFonts w:ascii="Times New Roman" w:eastAsia="Times New Roman" w:hAnsi="Times New Roman" w:cs="Times New Roman"/>
                <w:color w:val="000000"/>
                <w:lang w:eastAsia="ru-RU"/>
              </w:rPr>
            </w:pPr>
          </w:p>
        </w:tc>
        <w:tc>
          <w:tcPr>
            <w:tcW w:w="1201" w:type="dxa"/>
            <w:noWrap/>
            <w:vAlign w:val="center"/>
          </w:tcPr>
          <w:p w14:paraId="7C878738" w14:textId="77777777" w:rsidR="002E57D3" w:rsidRPr="00A922B4" w:rsidRDefault="002E57D3" w:rsidP="00A922B4">
            <w:pPr>
              <w:spacing w:after="0" w:line="240" w:lineRule="auto"/>
              <w:ind w:left="-173" w:right="-123"/>
              <w:jc w:val="center"/>
              <w:rPr>
                <w:rFonts w:ascii="Times New Roman" w:eastAsia="Times New Roman" w:hAnsi="Times New Roman" w:cs="Times New Roman"/>
                <w:color w:val="000000"/>
                <w:lang w:eastAsia="ru-RU"/>
              </w:rPr>
            </w:pPr>
          </w:p>
        </w:tc>
        <w:tc>
          <w:tcPr>
            <w:tcW w:w="1169" w:type="dxa"/>
            <w:noWrap/>
            <w:vAlign w:val="center"/>
          </w:tcPr>
          <w:p w14:paraId="765B6162" w14:textId="77777777" w:rsidR="002E57D3" w:rsidRPr="00A922B4" w:rsidRDefault="002E57D3" w:rsidP="00A922B4">
            <w:pPr>
              <w:spacing w:after="0" w:line="240" w:lineRule="auto"/>
              <w:ind w:left="-173" w:right="-147"/>
              <w:jc w:val="center"/>
              <w:rPr>
                <w:rFonts w:ascii="Times New Roman" w:eastAsia="Times New Roman" w:hAnsi="Times New Roman" w:cs="Times New Roman"/>
                <w:color w:val="000000"/>
                <w:lang w:eastAsia="ru-RU"/>
              </w:rPr>
            </w:pPr>
          </w:p>
        </w:tc>
        <w:tc>
          <w:tcPr>
            <w:tcW w:w="1266" w:type="dxa"/>
            <w:noWrap/>
            <w:vAlign w:val="center"/>
          </w:tcPr>
          <w:p w14:paraId="2AB3D820" w14:textId="77777777" w:rsidR="002E57D3" w:rsidRPr="00A922B4" w:rsidRDefault="002E57D3" w:rsidP="00A922B4">
            <w:pPr>
              <w:spacing w:after="0" w:line="240" w:lineRule="auto"/>
              <w:ind w:left="-173" w:right="-5"/>
              <w:jc w:val="center"/>
              <w:rPr>
                <w:rFonts w:ascii="Times New Roman" w:eastAsia="Times New Roman" w:hAnsi="Times New Roman" w:cs="Times New Roman"/>
                <w:color w:val="000000"/>
                <w:lang w:eastAsia="ru-RU"/>
              </w:rPr>
            </w:pPr>
          </w:p>
        </w:tc>
        <w:tc>
          <w:tcPr>
            <w:tcW w:w="703" w:type="dxa"/>
            <w:vAlign w:val="center"/>
          </w:tcPr>
          <w:p w14:paraId="50771047" w14:textId="77777777" w:rsidR="002E57D3" w:rsidRPr="00A922B4" w:rsidRDefault="002E57D3" w:rsidP="00A922B4">
            <w:pPr>
              <w:spacing w:after="0" w:line="240" w:lineRule="auto"/>
              <w:ind w:left="-173" w:right="-5"/>
              <w:jc w:val="center"/>
              <w:rPr>
                <w:rFonts w:ascii="Times New Roman" w:eastAsia="Times New Roman" w:hAnsi="Times New Roman" w:cs="Times New Roman"/>
                <w:color w:val="000000"/>
                <w:lang w:eastAsia="ru-RU"/>
              </w:rPr>
            </w:pPr>
          </w:p>
        </w:tc>
      </w:tr>
      <w:tr w:rsidR="00A922B4" w:rsidRPr="00A922B4" w14:paraId="64CE4A09" w14:textId="77777777" w:rsidTr="00B96E95">
        <w:trPr>
          <w:trHeight w:val="264"/>
        </w:trPr>
        <w:tc>
          <w:tcPr>
            <w:tcW w:w="3732" w:type="dxa"/>
            <w:vAlign w:val="center"/>
          </w:tcPr>
          <w:p w14:paraId="4CB24DFE"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Управление Федеральной налоговой службы по </w:t>
            </w:r>
            <w:r w:rsidRPr="00A922B4">
              <w:rPr>
                <w:rFonts w:ascii="Times New Roman" w:eastAsia="Times New Roman" w:hAnsi="Times New Roman" w:cs="Times New Roman"/>
                <w:lang w:eastAsia="ar-SA"/>
              </w:rPr>
              <w:t>Республике Дагестан</w:t>
            </w:r>
          </w:p>
        </w:tc>
        <w:tc>
          <w:tcPr>
            <w:tcW w:w="1314" w:type="dxa"/>
            <w:vAlign w:val="center"/>
          </w:tcPr>
          <w:p w14:paraId="6F66E62F"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25 805 128,8</w:t>
            </w:r>
          </w:p>
        </w:tc>
        <w:tc>
          <w:tcPr>
            <w:tcW w:w="1201" w:type="dxa"/>
            <w:noWrap/>
            <w:vAlign w:val="center"/>
          </w:tcPr>
          <w:p w14:paraId="59997BE7" w14:textId="77777777" w:rsidR="00A922B4" w:rsidRPr="00A922B4" w:rsidRDefault="00A922B4" w:rsidP="00A922B4">
            <w:pPr>
              <w:spacing w:after="0" w:line="240" w:lineRule="auto"/>
              <w:ind w:left="-173" w:right="-123"/>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30 483 099,4</w:t>
            </w:r>
          </w:p>
        </w:tc>
        <w:tc>
          <w:tcPr>
            <w:tcW w:w="1169" w:type="dxa"/>
            <w:noWrap/>
            <w:vAlign w:val="center"/>
          </w:tcPr>
          <w:p w14:paraId="70333D3C"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30 296 263,4</w:t>
            </w:r>
          </w:p>
        </w:tc>
        <w:tc>
          <w:tcPr>
            <w:tcW w:w="1266" w:type="dxa"/>
            <w:noWrap/>
            <w:vAlign w:val="center"/>
          </w:tcPr>
          <w:p w14:paraId="78C10B59"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- 186 836,0</w:t>
            </w:r>
          </w:p>
        </w:tc>
        <w:tc>
          <w:tcPr>
            <w:tcW w:w="703" w:type="dxa"/>
            <w:vAlign w:val="center"/>
          </w:tcPr>
          <w:p w14:paraId="20DD4C8C"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99,4</w:t>
            </w:r>
          </w:p>
        </w:tc>
      </w:tr>
      <w:tr w:rsidR="00A922B4" w:rsidRPr="00A922B4" w14:paraId="0C8E1CC6" w14:textId="77777777" w:rsidTr="00B96E95">
        <w:trPr>
          <w:trHeight w:val="281"/>
        </w:trPr>
        <w:tc>
          <w:tcPr>
            <w:tcW w:w="3732" w:type="dxa"/>
            <w:vAlign w:val="center"/>
          </w:tcPr>
          <w:p w14:paraId="58FB176E"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Управление Федерального казначейства по </w:t>
            </w:r>
            <w:r w:rsidRPr="00A922B4">
              <w:rPr>
                <w:rFonts w:ascii="Times New Roman" w:eastAsia="Times New Roman" w:hAnsi="Times New Roman" w:cs="Times New Roman"/>
                <w:lang w:eastAsia="ar-SA"/>
              </w:rPr>
              <w:t>Республике Дагестан</w:t>
            </w:r>
          </w:p>
        </w:tc>
        <w:tc>
          <w:tcPr>
            <w:tcW w:w="1314" w:type="dxa"/>
            <w:vAlign w:val="center"/>
          </w:tcPr>
          <w:p w14:paraId="33BEC0D6"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7 559 572,9</w:t>
            </w:r>
          </w:p>
        </w:tc>
        <w:tc>
          <w:tcPr>
            <w:tcW w:w="1201" w:type="dxa"/>
            <w:noWrap/>
            <w:vAlign w:val="center"/>
          </w:tcPr>
          <w:p w14:paraId="37F89E78"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8 368 519,0</w:t>
            </w:r>
          </w:p>
        </w:tc>
        <w:tc>
          <w:tcPr>
            <w:tcW w:w="1169" w:type="dxa"/>
            <w:noWrap/>
            <w:vAlign w:val="center"/>
          </w:tcPr>
          <w:p w14:paraId="57E43B6E"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8 534 302,7</w:t>
            </w:r>
          </w:p>
        </w:tc>
        <w:tc>
          <w:tcPr>
            <w:tcW w:w="1266" w:type="dxa"/>
            <w:noWrap/>
            <w:vAlign w:val="center"/>
          </w:tcPr>
          <w:p w14:paraId="69C8E2FE"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165 783,7</w:t>
            </w:r>
          </w:p>
        </w:tc>
        <w:tc>
          <w:tcPr>
            <w:tcW w:w="703" w:type="dxa"/>
            <w:vAlign w:val="center"/>
          </w:tcPr>
          <w:p w14:paraId="5AB92A06"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102,0</w:t>
            </w:r>
          </w:p>
        </w:tc>
      </w:tr>
      <w:tr w:rsidR="00A922B4" w:rsidRPr="00A922B4" w14:paraId="33DE5891" w14:textId="77777777" w:rsidTr="00B96E95">
        <w:trPr>
          <w:trHeight w:val="401"/>
        </w:trPr>
        <w:tc>
          <w:tcPr>
            <w:tcW w:w="3732" w:type="dxa"/>
            <w:vAlign w:val="center"/>
          </w:tcPr>
          <w:p w14:paraId="42F27D52"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Управление Федеральной службы по надзору в сфере природопользования по </w:t>
            </w:r>
            <w:r w:rsidRPr="00A922B4">
              <w:rPr>
                <w:rFonts w:ascii="Times New Roman" w:eastAsia="Times New Roman" w:hAnsi="Times New Roman" w:cs="Times New Roman"/>
                <w:lang w:eastAsia="ar-SA"/>
              </w:rPr>
              <w:t>Республике Дагестан</w:t>
            </w:r>
          </w:p>
        </w:tc>
        <w:tc>
          <w:tcPr>
            <w:tcW w:w="1314" w:type="dxa"/>
            <w:vAlign w:val="center"/>
          </w:tcPr>
          <w:p w14:paraId="6BBE7EC4"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3 010,3</w:t>
            </w:r>
          </w:p>
        </w:tc>
        <w:tc>
          <w:tcPr>
            <w:tcW w:w="1201" w:type="dxa"/>
            <w:noWrap/>
            <w:vAlign w:val="center"/>
          </w:tcPr>
          <w:p w14:paraId="06120617"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3 602,0</w:t>
            </w:r>
          </w:p>
        </w:tc>
        <w:tc>
          <w:tcPr>
            <w:tcW w:w="1169" w:type="dxa"/>
            <w:noWrap/>
            <w:vAlign w:val="center"/>
          </w:tcPr>
          <w:p w14:paraId="7C804E95"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2 642,2</w:t>
            </w:r>
          </w:p>
        </w:tc>
        <w:tc>
          <w:tcPr>
            <w:tcW w:w="1266" w:type="dxa"/>
            <w:noWrap/>
            <w:vAlign w:val="center"/>
          </w:tcPr>
          <w:p w14:paraId="6153AD1A"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- 959,8</w:t>
            </w:r>
          </w:p>
        </w:tc>
        <w:tc>
          <w:tcPr>
            <w:tcW w:w="703" w:type="dxa"/>
            <w:vAlign w:val="center"/>
          </w:tcPr>
          <w:p w14:paraId="6224ABC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73,4</w:t>
            </w:r>
          </w:p>
        </w:tc>
      </w:tr>
      <w:tr w:rsidR="00A922B4" w:rsidRPr="00A922B4" w14:paraId="0E4685C6" w14:textId="77777777" w:rsidTr="00B96E95">
        <w:trPr>
          <w:trHeight w:val="138"/>
        </w:trPr>
        <w:tc>
          <w:tcPr>
            <w:tcW w:w="3732" w:type="dxa"/>
            <w:vAlign w:val="center"/>
          </w:tcPr>
          <w:p w14:paraId="73F88EC3"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Управление Федеральной службы государственной регистрации кадастра и картографии по </w:t>
            </w:r>
            <w:r w:rsidRPr="00A922B4">
              <w:rPr>
                <w:rFonts w:ascii="Times New Roman" w:eastAsia="Times New Roman" w:hAnsi="Times New Roman" w:cs="Times New Roman"/>
                <w:lang w:eastAsia="ar-SA"/>
              </w:rPr>
              <w:t>Республике Дагестан</w:t>
            </w:r>
          </w:p>
        </w:tc>
        <w:tc>
          <w:tcPr>
            <w:tcW w:w="1314" w:type="dxa"/>
            <w:vAlign w:val="center"/>
          </w:tcPr>
          <w:p w14:paraId="2189B1BF"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62 690,8</w:t>
            </w:r>
          </w:p>
        </w:tc>
        <w:tc>
          <w:tcPr>
            <w:tcW w:w="1201" w:type="dxa"/>
            <w:noWrap/>
            <w:vAlign w:val="center"/>
          </w:tcPr>
          <w:p w14:paraId="3A74BD3C"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78 588,5</w:t>
            </w:r>
          </w:p>
        </w:tc>
        <w:tc>
          <w:tcPr>
            <w:tcW w:w="1169" w:type="dxa"/>
            <w:noWrap/>
            <w:vAlign w:val="center"/>
          </w:tcPr>
          <w:p w14:paraId="2B8C8043"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70 981,5</w:t>
            </w:r>
          </w:p>
        </w:tc>
        <w:tc>
          <w:tcPr>
            <w:tcW w:w="1266" w:type="dxa"/>
            <w:noWrap/>
            <w:vAlign w:val="center"/>
          </w:tcPr>
          <w:p w14:paraId="48215F88"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7 607,0</w:t>
            </w:r>
          </w:p>
        </w:tc>
        <w:tc>
          <w:tcPr>
            <w:tcW w:w="703" w:type="dxa"/>
            <w:vAlign w:val="center"/>
          </w:tcPr>
          <w:p w14:paraId="435AD267"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90,3</w:t>
            </w:r>
          </w:p>
        </w:tc>
      </w:tr>
      <w:tr w:rsidR="00A922B4" w:rsidRPr="00A922B4" w14:paraId="392609A9" w14:textId="77777777" w:rsidTr="00B96E95">
        <w:trPr>
          <w:trHeight w:val="286"/>
        </w:trPr>
        <w:tc>
          <w:tcPr>
            <w:tcW w:w="3732" w:type="dxa"/>
            <w:vAlign w:val="center"/>
          </w:tcPr>
          <w:p w14:paraId="4286B3ED"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lastRenderedPageBreak/>
              <w:t>Министерство природных ресурсов и экологии Республики Дагестан</w:t>
            </w:r>
          </w:p>
        </w:tc>
        <w:tc>
          <w:tcPr>
            <w:tcW w:w="1314" w:type="dxa"/>
            <w:vAlign w:val="center"/>
          </w:tcPr>
          <w:p w14:paraId="44B17160"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10 389,8</w:t>
            </w:r>
          </w:p>
        </w:tc>
        <w:tc>
          <w:tcPr>
            <w:tcW w:w="1201" w:type="dxa"/>
            <w:noWrap/>
            <w:vAlign w:val="center"/>
          </w:tcPr>
          <w:p w14:paraId="6657476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33 726,4</w:t>
            </w:r>
          </w:p>
        </w:tc>
        <w:tc>
          <w:tcPr>
            <w:tcW w:w="1169" w:type="dxa"/>
            <w:noWrap/>
            <w:vAlign w:val="center"/>
          </w:tcPr>
          <w:p w14:paraId="3D5AA729"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9 126,9</w:t>
            </w:r>
          </w:p>
        </w:tc>
        <w:tc>
          <w:tcPr>
            <w:tcW w:w="1266" w:type="dxa"/>
            <w:noWrap/>
            <w:vAlign w:val="center"/>
          </w:tcPr>
          <w:p w14:paraId="59CBB5F2"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24 599,5</w:t>
            </w:r>
          </w:p>
        </w:tc>
        <w:tc>
          <w:tcPr>
            <w:tcW w:w="703" w:type="dxa"/>
            <w:vAlign w:val="center"/>
          </w:tcPr>
          <w:p w14:paraId="770FEDE3"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27,1</w:t>
            </w:r>
          </w:p>
        </w:tc>
      </w:tr>
      <w:tr w:rsidR="00A922B4" w:rsidRPr="00A922B4" w14:paraId="30E33537" w14:textId="77777777" w:rsidTr="00B96E95">
        <w:trPr>
          <w:trHeight w:val="261"/>
        </w:trPr>
        <w:tc>
          <w:tcPr>
            <w:tcW w:w="3732" w:type="dxa"/>
            <w:vAlign w:val="center"/>
          </w:tcPr>
          <w:p w14:paraId="034D7D54"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образования и науки </w:t>
            </w:r>
            <w:r w:rsidRPr="00A922B4">
              <w:rPr>
                <w:rFonts w:ascii="Times New Roman" w:eastAsia="Times New Roman" w:hAnsi="Times New Roman" w:cs="Times New Roman"/>
                <w:lang w:eastAsia="ar-SA"/>
              </w:rPr>
              <w:t>Республики Дагестан</w:t>
            </w:r>
          </w:p>
        </w:tc>
        <w:tc>
          <w:tcPr>
            <w:tcW w:w="1314" w:type="dxa"/>
            <w:vAlign w:val="center"/>
          </w:tcPr>
          <w:p w14:paraId="4ECDA654"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11 448,4</w:t>
            </w:r>
          </w:p>
        </w:tc>
        <w:tc>
          <w:tcPr>
            <w:tcW w:w="1201" w:type="dxa"/>
            <w:noWrap/>
            <w:vAlign w:val="center"/>
          </w:tcPr>
          <w:p w14:paraId="4272C1CE"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80 645,8</w:t>
            </w:r>
          </w:p>
        </w:tc>
        <w:tc>
          <w:tcPr>
            <w:tcW w:w="1169" w:type="dxa"/>
            <w:noWrap/>
            <w:vAlign w:val="center"/>
          </w:tcPr>
          <w:p w14:paraId="4781CBC9"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30 907,0</w:t>
            </w:r>
          </w:p>
        </w:tc>
        <w:tc>
          <w:tcPr>
            <w:tcW w:w="1266" w:type="dxa"/>
            <w:noWrap/>
            <w:vAlign w:val="center"/>
          </w:tcPr>
          <w:p w14:paraId="5973B097"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- 49 738,8</w:t>
            </w:r>
          </w:p>
        </w:tc>
        <w:tc>
          <w:tcPr>
            <w:tcW w:w="703" w:type="dxa"/>
            <w:vAlign w:val="center"/>
          </w:tcPr>
          <w:p w14:paraId="464A7123"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38,3</w:t>
            </w:r>
          </w:p>
        </w:tc>
      </w:tr>
      <w:tr w:rsidR="00A922B4" w:rsidRPr="00A922B4" w14:paraId="41F540FC" w14:textId="77777777" w:rsidTr="00B96E95">
        <w:trPr>
          <w:trHeight w:val="149"/>
        </w:trPr>
        <w:tc>
          <w:tcPr>
            <w:tcW w:w="3732" w:type="dxa"/>
            <w:vAlign w:val="center"/>
          </w:tcPr>
          <w:p w14:paraId="177D4F3B"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финансов </w:t>
            </w:r>
            <w:r w:rsidRPr="00A922B4">
              <w:rPr>
                <w:rFonts w:ascii="Times New Roman" w:eastAsia="Times New Roman" w:hAnsi="Times New Roman" w:cs="Times New Roman"/>
                <w:lang w:eastAsia="ar-SA"/>
              </w:rPr>
              <w:t>Республики Дагестан</w:t>
            </w:r>
          </w:p>
        </w:tc>
        <w:tc>
          <w:tcPr>
            <w:tcW w:w="1314" w:type="dxa"/>
            <w:vAlign w:val="center"/>
          </w:tcPr>
          <w:p w14:paraId="3D555284"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38 734,2</w:t>
            </w:r>
          </w:p>
        </w:tc>
        <w:tc>
          <w:tcPr>
            <w:tcW w:w="1201" w:type="dxa"/>
            <w:noWrap/>
            <w:vAlign w:val="center"/>
          </w:tcPr>
          <w:p w14:paraId="0D4B61C1"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593 345,1</w:t>
            </w:r>
          </w:p>
        </w:tc>
        <w:tc>
          <w:tcPr>
            <w:tcW w:w="1169" w:type="dxa"/>
            <w:noWrap/>
            <w:vAlign w:val="center"/>
          </w:tcPr>
          <w:p w14:paraId="1FF1EDC0"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1 192 643,0</w:t>
            </w:r>
          </w:p>
        </w:tc>
        <w:tc>
          <w:tcPr>
            <w:tcW w:w="1266" w:type="dxa"/>
            <w:noWrap/>
            <w:vAlign w:val="center"/>
          </w:tcPr>
          <w:p w14:paraId="1F3AA0EA"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599 297,9</w:t>
            </w:r>
          </w:p>
        </w:tc>
        <w:tc>
          <w:tcPr>
            <w:tcW w:w="703" w:type="dxa"/>
            <w:vAlign w:val="center"/>
          </w:tcPr>
          <w:p w14:paraId="273BF365"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201,0</w:t>
            </w:r>
          </w:p>
        </w:tc>
      </w:tr>
      <w:tr w:rsidR="00A922B4" w:rsidRPr="00A922B4" w14:paraId="0D718F8D" w14:textId="77777777" w:rsidTr="00B96E95">
        <w:trPr>
          <w:trHeight w:val="277"/>
        </w:trPr>
        <w:tc>
          <w:tcPr>
            <w:tcW w:w="3732" w:type="dxa"/>
            <w:vAlign w:val="center"/>
          </w:tcPr>
          <w:p w14:paraId="78CACE79"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внутренних дел Российской Федерации по </w:t>
            </w:r>
            <w:r w:rsidRPr="00A922B4">
              <w:rPr>
                <w:rFonts w:ascii="Times New Roman" w:eastAsia="Times New Roman" w:hAnsi="Times New Roman" w:cs="Times New Roman"/>
                <w:lang w:eastAsia="ar-SA"/>
              </w:rPr>
              <w:t>Республике Дагестан</w:t>
            </w:r>
          </w:p>
        </w:tc>
        <w:tc>
          <w:tcPr>
            <w:tcW w:w="1314" w:type="dxa"/>
            <w:vAlign w:val="center"/>
          </w:tcPr>
          <w:p w14:paraId="175FEA60"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838 313,7</w:t>
            </w:r>
          </w:p>
        </w:tc>
        <w:tc>
          <w:tcPr>
            <w:tcW w:w="1201" w:type="dxa"/>
            <w:noWrap/>
            <w:vAlign w:val="center"/>
          </w:tcPr>
          <w:p w14:paraId="55AF2670"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992 256,7</w:t>
            </w:r>
          </w:p>
        </w:tc>
        <w:tc>
          <w:tcPr>
            <w:tcW w:w="1169" w:type="dxa"/>
            <w:noWrap/>
            <w:vAlign w:val="center"/>
          </w:tcPr>
          <w:p w14:paraId="3B626E0E"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1 280 014,9</w:t>
            </w:r>
          </w:p>
        </w:tc>
        <w:tc>
          <w:tcPr>
            <w:tcW w:w="1266" w:type="dxa"/>
            <w:noWrap/>
            <w:vAlign w:val="center"/>
          </w:tcPr>
          <w:p w14:paraId="4A24E0FB"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287 758,2</w:t>
            </w:r>
          </w:p>
        </w:tc>
        <w:tc>
          <w:tcPr>
            <w:tcW w:w="703" w:type="dxa"/>
            <w:vAlign w:val="center"/>
          </w:tcPr>
          <w:p w14:paraId="03D7EB7B"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129,0</w:t>
            </w:r>
          </w:p>
        </w:tc>
      </w:tr>
      <w:tr w:rsidR="00A922B4" w:rsidRPr="00A922B4" w14:paraId="6C5D1E01" w14:textId="77777777" w:rsidTr="00B96E95">
        <w:trPr>
          <w:trHeight w:val="90"/>
        </w:trPr>
        <w:tc>
          <w:tcPr>
            <w:tcW w:w="3732" w:type="dxa"/>
            <w:vAlign w:val="center"/>
          </w:tcPr>
          <w:p w14:paraId="589CBABC"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Комитет по лесному хозяйству </w:t>
            </w:r>
            <w:r w:rsidRPr="00A922B4">
              <w:rPr>
                <w:rFonts w:ascii="Times New Roman" w:eastAsia="Times New Roman" w:hAnsi="Times New Roman" w:cs="Times New Roman"/>
                <w:lang w:eastAsia="ar-SA"/>
              </w:rPr>
              <w:t>Республики Дагестан</w:t>
            </w:r>
          </w:p>
        </w:tc>
        <w:tc>
          <w:tcPr>
            <w:tcW w:w="1314" w:type="dxa"/>
            <w:vAlign w:val="center"/>
          </w:tcPr>
          <w:p w14:paraId="0FB4A613"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4 815,0</w:t>
            </w:r>
          </w:p>
        </w:tc>
        <w:tc>
          <w:tcPr>
            <w:tcW w:w="1201" w:type="dxa"/>
            <w:noWrap/>
            <w:vAlign w:val="center"/>
          </w:tcPr>
          <w:p w14:paraId="2053F056"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3 042,2</w:t>
            </w:r>
          </w:p>
        </w:tc>
        <w:tc>
          <w:tcPr>
            <w:tcW w:w="1169" w:type="dxa"/>
            <w:noWrap/>
            <w:vAlign w:val="center"/>
          </w:tcPr>
          <w:p w14:paraId="4F37C704"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6 605,4</w:t>
            </w:r>
          </w:p>
        </w:tc>
        <w:tc>
          <w:tcPr>
            <w:tcW w:w="1266" w:type="dxa"/>
            <w:noWrap/>
            <w:vAlign w:val="center"/>
          </w:tcPr>
          <w:p w14:paraId="29DAD200"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3 563,1</w:t>
            </w:r>
          </w:p>
        </w:tc>
        <w:tc>
          <w:tcPr>
            <w:tcW w:w="703" w:type="dxa"/>
            <w:vAlign w:val="center"/>
          </w:tcPr>
          <w:p w14:paraId="4AB712E8"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217,1</w:t>
            </w:r>
          </w:p>
        </w:tc>
      </w:tr>
      <w:tr w:rsidR="00A922B4" w:rsidRPr="00A922B4" w14:paraId="36981B3D" w14:textId="77777777" w:rsidTr="00B96E95">
        <w:trPr>
          <w:trHeight w:val="223"/>
        </w:trPr>
        <w:tc>
          <w:tcPr>
            <w:tcW w:w="3732" w:type="dxa"/>
            <w:vAlign w:val="center"/>
          </w:tcPr>
          <w:p w14:paraId="4B54F064"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по земельным и имущественным отношениям </w:t>
            </w:r>
            <w:r w:rsidRPr="00A922B4">
              <w:rPr>
                <w:rFonts w:ascii="Times New Roman" w:eastAsia="Times New Roman" w:hAnsi="Times New Roman" w:cs="Times New Roman"/>
                <w:lang w:eastAsia="ar-SA"/>
              </w:rPr>
              <w:t>Республики Дагестан</w:t>
            </w:r>
          </w:p>
        </w:tc>
        <w:tc>
          <w:tcPr>
            <w:tcW w:w="1314" w:type="dxa"/>
            <w:vAlign w:val="center"/>
          </w:tcPr>
          <w:p w14:paraId="1497190D"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132 253,1</w:t>
            </w:r>
          </w:p>
        </w:tc>
        <w:tc>
          <w:tcPr>
            <w:tcW w:w="1201" w:type="dxa"/>
            <w:noWrap/>
            <w:vAlign w:val="center"/>
          </w:tcPr>
          <w:p w14:paraId="03A8D0B5"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525 500,0</w:t>
            </w:r>
          </w:p>
        </w:tc>
        <w:tc>
          <w:tcPr>
            <w:tcW w:w="1169" w:type="dxa"/>
            <w:noWrap/>
            <w:vAlign w:val="center"/>
          </w:tcPr>
          <w:p w14:paraId="7E5B6014"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183 921,1</w:t>
            </w:r>
          </w:p>
        </w:tc>
        <w:tc>
          <w:tcPr>
            <w:tcW w:w="1266" w:type="dxa"/>
            <w:noWrap/>
            <w:vAlign w:val="center"/>
          </w:tcPr>
          <w:p w14:paraId="1281E58A"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- 341 578,9</w:t>
            </w:r>
          </w:p>
        </w:tc>
        <w:tc>
          <w:tcPr>
            <w:tcW w:w="703" w:type="dxa"/>
            <w:vAlign w:val="center"/>
          </w:tcPr>
          <w:p w14:paraId="1C4FA5CB"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35,0</w:t>
            </w:r>
          </w:p>
        </w:tc>
      </w:tr>
      <w:tr w:rsidR="00A922B4" w:rsidRPr="00A922B4" w14:paraId="3823E2FF" w14:textId="77777777" w:rsidTr="00B96E95">
        <w:trPr>
          <w:trHeight w:val="186"/>
        </w:trPr>
        <w:tc>
          <w:tcPr>
            <w:tcW w:w="3732" w:type="dxa"/>
            <w:vAlign w:val="center"/>
          </w:tcPr>
          <w:p w14:paraId="0459B95F"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экономики и территориального развития </w:t>
            </w:r>
            <w:r w:rsidRPr="00A922B4">
              <w:rPr>
                <w:rFonts w:ascii="Times New Roman" w:eastAsia="Times New Roman" w:hAnsi="Times New Roman" w:cs="Times New Roman"/>
                <w:lang w:eastAsia="ar-SA"/>
              </w:rPr>
              <w:t>Республики Дагестан</w:t>
            </w:r>
          </w:p>
        </w:tc>
        <w:tc>
          <w:tcPr>
            <w:tcW w:w="1314" w:type="dxa"/>
            <w:vAlign w:val="center"/>
          </w:tcPr>
          <w:p w14:paraId="01292C8F"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18,0</w:t>
            </w:r>
          </w:p>
        </w:tc>
        <w:tc>
          <w:tcPr>
            <w:tcW w:w="1201" w:type="dxa"/>
            <w:noWrap/>
            <w:vAlign w:val="center"/>
          </w:tcPr>
          <w:p w14:paraId="239F2286"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20,0</w:t>
            </w:r>
          </w:p>
        </w:tc>
        <w:tc>
          <w:tcPr>
            <w:tcW w:w="1169" w:type="dxa"/>
            <w:noWrap/>
            <w:vAlign w:val="center"/>
          </w:tcPr>
          <w:p w14:paraId="2AFC277A"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7,5</w:t>
            </w:r>
          </w:p>
        </w:tc>
        <w:tc>
          <w:tcPr>
            <w:tcW w:w="1266" w:type="dxa"/>
            <w:noWrap/>
            <w:vAlign w:val="center"/>
          </w:tcPr>
          <w:p w14:paraId="26834C86"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  12,5</w:t>
            </w:r>
          </w:p>
        </w:tc>
        <w:tc>
          <w:tcPr>
            <w:tcW w:w="703" w:type="dxa"/>
            <w:vAlign w:val="center"/>
          </w:tcPr>
          <w:p w14:paraId="161B80AB"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37,5</w:t>
            </w:r>
          </w:p>
        </w:tc>
      </w:tr>
      <w:tr w:rsidR="00A922B4" w:rsidRPr="00A922B4" w14:paraId="2D8EEE34" w14:textId="77777777" w:rsidTr="00B96E95">
        <w:trPr>
          <w:trHeight w:val="315"/>
        </w:trPr>
        <w:tc>
          <w:tcPr>
            <w:tcW w:w="3732" w:type="dxa"/>
            <w:vAlign w:val="center"/>
          </w:tcPr>
          <w:p w14:paraId="53C81BAD"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сельского хозяйства и продовольствия </w:t>
            </w:r>
            <w:r w:rsidRPr="00A922B4">
              <w:rPr>
                <w:rFonts w:ascii="Times New Roman" w:eastAsia="Times New Roman" w:hAnsi="Times New Roman" w:cs="Times New Roman"/>
                <w:lang w:eastAsia="ar-SA"/>
              </w:rPr>
              <w:t>Республики Дагестан</w:t>
            </w:r>
          </w:p>
        </w:tc>
        <w:tc>
          <w:tcPr>
            <w:tcW w:w="1314" w:type="dxa"/>
            <w:vAlign w:val="center"/>
          </w:tcPr>
          <w:p w14:paraId="3EDAA57F"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6 332,67</w:t>
            </w:r>
          </w:p>
        </w:tc>
        <w:tc>
          <w:tcPr>
            <w:tcW w:w="1201" w:type="dxa"/>
            <w:noWrap/>
            <w:vAlign w:val="center"/>
          </w:tcPr>
          <w:p w14:paraId="650BD752"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11 216,2</w:t>
            </w:r>
          </w:p>
        </w:tc>
        <w:tc>
          <w:tcPr>
            <w:tcW w:w="1169" w:type="dxa"/>
            <w:noWrap/>
            <w:vAlign w:val="center"/>
          </w:tcPr>
          <w:p w14:paraId="12504AFF"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16 147,4</w:t>
            </w:r>
          </w:p>
        </w:tc>
        <w:tc>
          <w:tcPr>
            <w:tcW w:w="1266" w:type="dxa"/>
            <w:noWrap/>
            <w:vAlign w:val="center"/>
          </w:tcPr>
          <w:p w14:paraId="2D59C2D3"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4 931,2</w:t>
            </w:r>
          </w:p>
        </w:tc>
        <w:tc>
          <w:tcPr>
            <w:tcW w:w="703" w:type="dxa"/>
            <w:vAlign w:val="center"/>
          </w:tcPr>
          <w:p w14:paraId="6793D63E"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144,0</w:t>
            </w:r>
          </w:p>
        </w:tc>
      </w:tr>
      <w:tr w:rsidR="00A922B4" w:rsidRPr="00A922B4" w14:paraId="15B02BE3" w14:textId="77777777" w:rsidTr="00B96E95">
        <w:trPr>
          <w:trHeight w:val="247"/>
        </w:trPr>
        <w:tc>
          <w:tcPr>
            <w:tcW w:w="3732" w:type="dxa"/>
            <w:vAlign w:val="center"/>
          </w:tcPr>
          <w:p w14:paraId="5F550706"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промышленность и торговли </w:t>
            </w:r>
            <w:r w:rsidRPr="00A922B4">
              <w:rPr>
                <w:rFonts w:ascii="Times New Roman" w:eastAsia="Times New Roman" w:hAnsi="Times New Roman" w:cs="Times New Roman"/>
                <w:lang w:eastAsia="ar-SA"/>
              </w:rPr>
              <w:t>Республики Дагестан</w:t>
            </w:r>
          </w:p>
        </w:tc>
        <w:tc>
          <w:tcPr>
            <w:tcW w:w="1314" w:type="dxa"/>
            <w:vAlign w:val="center"/>
          </w:tcPr>
          <w:p w14:paraId="5BFB4B9E"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9,20</w:t>
            </w:r>
          </w:p>
        </w:tc>
        <w:tc>
          <w:tcPr>
            <w:tcW w:w="1201" w:type="dxa"/>
            <w:noWrap/>
            <w:vAlign w:val="center"/>
          </w:tcPr>
          <w:p w14:paraId="5290CF7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187373ED"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33,5</w:t>
            </w:r>
          </w:p>
        </w:tc>
        <w:tc>
          <w:tcPr>
            <w:tcW w:w="1266" w:type="dxa"/>
            <w:noWrap/>
            <w:vAlign w:val="center"/>
          </w:tcPr>
          <w:p w14:paraId="20331C52"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33,5</w:t>
            </w:r>
          </w:p>
        </w:tc>
        <w:tc>
          <w:tcPr>
            <w:tcW w:w="703" w:type="dxa"/>
            <w:vAlign w:val="center"/>
          </w:tcPr>
          <w:p w14:paraId="63D24BBB"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63990330" w14:textId="77777777" w:rsidTr="00B96E95">
        <w:trPr>
          <w:trHeight w:val="286"/>
        </w:trPr>
        <w:tc>
          <w:tcPr>
            <w:tcW w:w="3732" w:type="dxa"/>
            <w:vAlign w:val="center"/>
          </w:tcPr>
          <w:p w14:paraId="22906CF9"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культуры </w:t>
            </w:r>
            <w:r w:rsidRPr="00A922B4">
              <w:rPr>
                <w:rFonts w:ascii="Times New Roman" w:eastAsia="Times New Roman" w:hAnsi="Times New Roman" w:cs="Times New Roman"/>
                <w:lang w:eastAsia="ar-SA"/>
              </w:rPr>
              <w:t>Республики Дагестан</w:t>
            </w:r>
          </w:p>
        </w:tc>
        <w:tc>
          <w:tcPr>
            <w:tcW w:w="1314" w:type="dxa"/>
            <w:vAlign w:val="center"/>
          </w:tcPr>
          <w:p w14:paraId="19B14734"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36,00</w:t>
            </w:r>
          </w:p>
        </w:tc>
        <w:tc>
          <w:tcPr>
            <w:tcW w:w="1201" w:type="dxa"/>
            <w:noWrap/>
            <w:vAlign w:val="center"/>
          </w:tcPr>
          <w:p w14:paraId="410558F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053251ED"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1 089,0</w:t>
            </w:r>
          </w:p>
        </w:tc>
        <w:tc>
          <w:tcPr>
            <w:tcW w:w="1266" w:type="dxa"/>
            <w:noWrap/>
            <w:vAlign w:val="center"/>
          </w:tcPr>
          <w:p w14:paraId="767D96EF"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1 089,0</w:t>
            </w:r>
          </w:p>
        </w:tc>
        <w:tc>
          <w:tcPr>
            <w:tcW w:w="703" w:type="dxa"/>
            <w:vAlign w:val="center"/>
          </w:tcPr>
          <w:p w14:paraId="4B14449C"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59BE809A" w14:textId="77777777" w:rsidTr="00B96E95">
        <w:trPr>
          <w:trHeight w:val="262"/>
        </w:trPr>
        <w:tc>
          <w:tcPr>
            <w:tcW w:w="3732" w:type="dxa"/>
            <w:vAlign w:val="center"/>
          </w:tcPr>
          <w:p w14:paraId="001C4592"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Федеральная служба по надзору в сфере транспорта</w:t>
            </w:r>
          </w:p>
        </w:tc>
        <w:tc>
          <w:tcPr>
            <w:tcW w:w="1314" w:type="dxa"/>
            <w:vAlign w:val="center"/>
          </w:tcPr>
          <w:p w14:paraId="57A5B28D"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1 352,72</w:t>
            </w:r>
          </w:p>
        </w:tc>
        <w:tc>
          <w:tcPr>
            <w:tcW w:w="1201" w:type="dxa"/>
            <w:noWrap/>
            <w:vAlign w:val="center"/>
          </w:tcPr>
          <w:p w14:paraId="0ABFB421"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776DFCDF"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799,8</w:t>
            </w:r>
          </w:p>
        </w:tc>
        <w:tc>
          <w:tcPr>
            <w:tcW w:w="1266" w:type="dxa"/>
            <w:noWrap/>
            <w:vAlign w:val="center"/>
          </w:tcPr>
          <w:p w14:paraId="518B01A1"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799,8</w:t>
            </w:r>
          </w:p>
        </w:tc>
        <w:tc>
          <w:tcPr>
            <w:tcW w:w="703" w:type="dxa"/>
            <w:vAlign w:val="center"/>
          </w:tcPr>
          <w:p w14:paraId="5CCA58D3"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72708435" w14:textId="77777777" w:rsidTr="00B96E95">
        <w:trPr>
          <w:trHeight w:val="279"/>
        </w:trPr>
        <w:tc>
          <w:tcPr>
            <w:tcW w:w="3732" w:type="dxa"/>
            <w:vAlign w:val="center"/>
          </w:tcPr>
          <w:p w14:paraId="7C5867A3"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строительства и ЖКХ </w:t>
            </w:r>
            <w:r w:rsidRPr="00A922B4">
              <w:rPr>
                <w:rFonts w:ascii="Times New Roman" w:eastAsia="Times New Roman" w:hAnsi="Times New Roman" w:cs="Times New Roman"/>
                <w:lang w:eastAsia="ar-SA"/>
              </w:rPr>
              <w:t>Республики Дагестан</w:t>
            </w:r>
          </w:p>
        </w:tc>
        <w:tc>
          <w:tcPr>
            <w:tcW w:w="1314" w:type="dxa"/>
            <w:vAlign w:val="center"/>
          </w:tcPr>
          <w:p w14:paraId="668CD44B"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4 291,35</w:t>
            </w:r>
          </w:p>
        </w:tc>
        <w:tc>
          <w:tcPr>
            <w:tcW w:w="1201" w:type="dxa"/>
            <w:noWrap/>
            <w:vAlign w:val="center"/>
          </w:tcPr>
          <w:p w14:paraId="43B939A8"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33E5B7E6"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1 599,0</w:t>
            </w:r>
          </w:p>
        </w:tc>
        <w:tc>
          <w:tcPr>
            <w:tcW w:w="1266" w:type="dxa"/>
            <w:noWrap/>
            <w:vAlign w:val="center"/>
          </w:tcPr>
          <w:p w14:paraId="0ECCD28B"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1 599,0</w:t>
            </w:r>
          </w:p>
        </w:tc>
        <w:tc>
          <w:tcPr>
            <w:tcW w:w="703" w:type="dxa"/>
            <w:vAlign w:val="center"/>
          </w:tcPr>
          <w:p w14:paraId="62B5C5C2"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26637EF0" w14:textId="77777777" w:rsidTr="00B96E95">
        <w:trPr>
          <w:trHeight w:val="284"/>
        </w:trPr>
        <w:tc>
          <w:tcPr>
            <w:tcW w:w="3732" w:type="dxa"/>
            <w:vAlign w:val="center"/>
          </w:tcPr>
          <w:p w14:paraId="618CD233"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Государственная жилищная инспекция </w:t>
            </w:r>
            <w:r w:rsidRPr="00A922B4">
              <w:rPr>
                <w:rFonts w:ascii="Times New Roman" w:eastAsia="Times New Roman" w:hAnsi="Times New Roman" w:cs="Times New Roman"/>
                <w:lang w:eastAsia="ar-SA"/>
              </w:rPr>
              <w:t>Республики Дагестан</w:t>
            </w:r>
          </w:p>
        </w:tc>
        <w:tc>
          <w:tcPr>
            <w:tcW w:w="1314" w:type="dxa"/>
            <w:vAlign w:val="center"/>
          </w:tcPr>
          <w:p w14:paraId="7268CC8F"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766,22</w:t>
            </w:r>
          </w:p>
        </w:tc>
        <w:tc>
          <w:tcPr>
            <w:tcW w:w="1201" w:type="dxa"/>
            <w:noWrap/>
            <w:vAlign w:val="center"/>
          </w:tcPr>
          <w:p w14:paraId="397C889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504,1</w:t>
            </w:r>
          </w:p>
        </w:tc>
        <w:tc>
          <w:tcPr>
            <w:tcW w:w="1169" w:type="dxa"/>
            <w:noWrap/>
            <w:vAlign w:val="center"/>
          </w:tcPr>
          <w:p w14:paraId="79906EB4"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1 342,1</w:t>
            </w:r>
          </w:p>
        </w:tc>
        <w:tc>
          <w:tcPr>
            <w:tcW w:w="1266" w:type="dxa"/>
            <w:noWrap/>
            <w:vAlign w:val="center"/>
          </w:tcPr>
          <w:p w14:paraId="34F3E089"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838,0</w:t>
            </w:r>
          </w:p>
        </w:tc>
        <w:tc>
          <w:tcPr>
            <w:tcW w:w="703" w:type="dxa"/>
            <w:vAlign w:val="center"/>
          </w:tcPr>
          <w:p w14:paraId="0AF9A60A"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266,2</w:t>
            </w:r>
          </w:p>
        </w:tc>
      </w:tr>
      <w:tr w:rsidR="00A922B4" w:rsidRPr="00A922B4" w14:paraId="3E2AD1EF" w14:textId="77777777" w:rsidTr="00B96E95">
        <w:trPr>
          <w:trHeight w:val="402"/>
        </w:trPr>
        <w:tc>
          <w:tcPr>
            <w:tcW w:w="3732" w:type="dxa"/>
            <w:vAlign w:val="center"/>
          </w:tcPr>
          <w:p w14:paraId="52098498"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по национальной политике </w:t>
            </w:r>
            <w:r w:rsidRPr="00A922B4">
              <w:rPr>
                <w:rFonts w:ascii="Times New Roman" w:eastAsia="Times New Roman" w:hAnsi="Times New Roman" w:cs="Times New Roman"/>
                <w:lang w:eastAsia="ar-SA"/>
              </w:rPr>
              <w:t>Республики Дагестан</w:t>
            </w:r>
          </w:p>
        </w:tc>
        <w:tc>
          <w:tcPr>
            <w:tcW w:w="1314" w:type="dxa"/>
            <w:vAlign w:val="center"/>
          </w:tcPr>
          <w:p w14:paraId="52309907"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368,18</w:t>
            </w:r>
          </w:p>
        </w:tc>
        <w:tc>
          <w:tcPr>
            <w:tcW w:w="1201" w:type="dxa"/>
            <w:noWrap/>
            <w:vAlign w:val="center"/>
          </w:tcPr>
          <w:p w14:paraId="2D6B8B45"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11CA94DC"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666,9</w:t>
            </w:r>
          </w:p>
        </w:tc>
        <w:tc>
          <w:tcPr>
            <w:tcW w:w="1266" w:type="dxa"/>
            <w:noWrap/>
            <w:vAlign w:val="center"/>
          </w:tcPr>
          <w:p w14:paraId="23BD77A4"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666,9</w:t>
            </w:r>
          </w:p>
        </w:tc>
        <w:tc>
          <w:tcPr>
            <w:tcW w:w="703" w:type="dxa"/>
            <w:vAlign w:val="center"/>
          </w:tcPr>
          <w:p w14:paraId="36A39F80"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101625C7" w14:textId="77777777" w:rsidTr="00B96E95">
        <w:trPr>
          <w:trHeight w:val="265"/>
        </w:trPr>
        <w:tc>
          <w:tcPr>
            <w:tcW w:w="3732" w:type="dxa"/>
            <w:vAlign w:val="center"/>
          </w:tcPr>
          <w:p w14:paraId="0BC48EE6"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труда и социального развития </w:t>
            </w:r>
            <w:r w:rsidRPr="00A922B4">
              <w:rPr>
                <w:rFonts w:ascii="Times New Roman" w:eastAsia="Times New Roman" w:hAnsi="Times New Roman" w:cs="Times New Roman"/>
                <w:lang w:eastAsia="ar-SA"/>
              </w:rPr>
              <w:t>Республики Дагестан</w:t>
            </w:r>
          </w:p>
        </w:tc>
        <w:tc>
          <w:tcPr>
            <w:tcW w:w="1314" w:type="dxa"/>
            <w:vAlign w:val="center"/>
          </w:tcPr>
          <w:p w14:paraId="0EAAD590" w14:textId="77777777" w:rsidR="00A922B4" w:rsidRPr="00A922B4" w:rsidRDefault="00A922B4" w:rsidP="00A922B4">
            <w:pPr>
              <w:spacing w:after="0" w:line="240" w:lineRule="auto"/>
              <w:ind w:left="-69"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10 702,07</w:t>
            </w:r>
          </w:p>
        </w:tc>
        <w:tc>
          <w:tcPr>
            <w:tcW w:w="1201" w:type="dxa"/>
            <w:noWrap/>
            <w:vAlign w:val="center"/>
          </w:tcPr>
          <w:p w14:paraId="4ACFBE2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19 708,0</w:t>
            </w:r>
          </w:p>
        </w:tc>
        <w:tc>
          <w:tcPr>
            <w:tcW w:w="1169" w:type="dxa"/>
            <w:noWrap/>
            <w:vAlign w:val="center"/>
          </w:tcPr>
          <w:p w14:paraId="1EBE5A33"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39 980,5</w:t>
            </w:r>
          </w:p>
        </w:tc>
        <w:tc>
          <w:tcPr>
            <w:tcW w:w="1266" w:type="dxa"/>
            <w:noWrap/>
            <w:vAlign w:val="center"/>
          </w:tcPr>
          <w:p w14:paraId="07971851"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20 272,5</w:t>
            </w:r>
          </w:p>
        </w:tc>
        <w:tc>
          <w:tcPr>
            <w:tcW w:w="703" w:type="dxa"/>
            <w:vAlign w:val="center"/>
          </w:tcPr>
          <w:p w14:paraId="4A8CA155"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202,9</w:t>
            </w:r>
          </w:p>
        </w:tc>
      </w:tr>
      <w:tr w:rsidR="00A922B4" w:rsidRPr="00A922B4" w14:paraId="1FD9F4B2" w14:textId="77777777" w:rsidTr="00B96E95">
        <w:trPr>
          <w:trHeight w:val="415"/>
        </w:trPr>
        <w:tc>
          <w:tcPr>
            <w:tcW w:w="3732" w:type="dxa"/>
            <w:vAlign w:val="center"/>
          </w:tcPr>
          <w:p w14:paraId="2D432A76"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по физической культуре и спорту </w:t>
            </w:r>
            <w:r w:rsidRPr="00A922B4">
              <w:rPr>
                <w:rFonts w:ascii="Times New Roman" w:eastAsia="Times New Roman" w:hAnsi="Times New Roman" w:cs="Times New Roman"/>
                <w:lang w:eastAsia="ar-SA"/>
              </w:rPr>
              <w:t>Республики Дагестан</w:t>
            </w:r>
          </w:p>
        </w:tc>
        <w:tc>
          <w:tcPr>
            <w:tcW w:w="1314" w:type="dxa"/>
            <w:vAlign w:val="center"/>
          </w:tcPr>
          <w:p w14:paraId="04C0C41E"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35,88</w:t>
            </w:r>
          </w:p>
        </w:tc>
        <w:tc>
          <w:tcPr>
            <w:tcW w:w="1201" w:type="dxa"/>
            <w:noWrap/>
            <w:vAlign w:val="center"/>
          </w:tcPr>
          <w:p w14:paraId="72305ECE"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44B1EF9C"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30,3</w:t>
            </w:r>
          </w:p>
        </w:tc>
        <w:tc>
          <w:tcPr>
            <w:tcW w:w="1266" w:type="dxa"/>
            <w:noWrap/>
            <w:vAlign w:val="center"/>
          </w:tcPr>
          <w:p w14:paraId="7942075D"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30,3</w:t>
            </w:r>
          </w:p>
        </w:tc>
        <w:tc>
          <w:tcPr>
            <w:tcW w:w="703" w:type="dxa"/>
            <w:vAlign w:val="center"/>
          </w:tcPr>
          <w:p w14:paraId="752176DD"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7BF2F6CF" w14:textId="77777777" w:rsidTr="00B96E95">
        <w:trPr>
          <w:trHeight w:val="273"/>
        </w:trPr>
        <w:tc>
          <w:tcPr>
            <w:tcW w:w="3732" w:type="dxa"/>
            <w:vAlign w:val="center"/>
          </w:tcPr>
          <w:p w14:paraId="078D269C"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lang w:eastAsia="ar-SA"/>
              </w:rPr>
              <w:t>Главное управление</w:t>
            </w:r>
            <w:r w:rsidRPr="00A922B4">
              <w:rPr>
                <w:rFonts w:ascii="Times New Roman" w:eastAsia="Times New Roman" w:hAnsi="Times New Roman" w:cs="Times New Roman"/>
                <w:lang w:eastAsia="ru-RU"/>
              </w:rPr>
              <w:t xml:space="preserve"> Министерства Российской Федерации по делам гражданской обороны, чрезвычайным ситуациям и ликвидации последствий стихийных бедствий </w:t>
            </w:r>
            <w:r w:rsidRPr="00A922B4">
              <w:rPr>
                <w:rFonts w:ascii="Times New Roman" w:eastAsia="Times New Roman" w:hAnsi="Times New Roman" w:cs="Times New Roman"/>
                <w:lang w:eastAsia="ar-SA"/>
              </w:rPr>
              <w:t>по Республике Дагестан</w:t>
            </w:r>
          </w:p>
        </w:tc>
        <w:tc>
          <w:tcPr>
            <w:tcW w:w="1314" w:type="dxa"/>
            <w:vAlign w:val="center"/>
          </w:tcPr>
          <w:p w14:paraId="4D0EEF42"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3 399,21</w:t>
            </w:r>
          </w:p>
        </w:tc>
        <w:tc>
          <w:tcPr>
            <w:tcW w:w="1201" w:type="dxa"/>
            <w:noWrap/>
            <w:vAlign w:val="center"/>
          </w:tcPr>
          <w:p w14:paraId="50FDA6D8"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776,9</w:t>
            </w:r>
          </w:p>
        </w:tc>
        <w:tc>
          <w:tcPr>
            <w:tcW w:w="1169" w:type="dxa"/>
            <w:noWrap/>
            <w:vAlign w:val="center"/>
          </w:tcPr>
          <w:p w14:paraId="2DF68D94"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1 069,3</w:t>
            </w:r>
          </w:p>
        </w:tc>
        <w:tc>
          <w:tcPr>
            <w:tcW w:w="1266" w:type="dxa"/>
            <w:noWrap/>
            <w:vAlign w:val="center"/>
          </w:tcPr>
          <w:p w14:paraId="66A229D3"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292,4</w:t>
            </w:r>
          </w:p>
        </w:tc>
        <w:tc>
          <w:tcPr>
            <w:tcW w:w="703" w:type="dxa"/>
            <w:vAlign w:val="center"/>
          </w:tcPr>
          <w:p w14:paraId="762B734B"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137,6</w:t>
            </w:r>
          </w:p>
        </w:tc>
      </w:tr>
      <w:tr w:rsidR="00A922B4" w:rsidRPr="00A922B4" w14:paraId="0E151AE6" w14:textId="77777777" w:rsidTr="00B96E95">
        <w:trPr>
          <w:trHeight w:val="290"/>
        </w:trPr>
        <w:tc>
          <w:tcPr>
            <w:tcW w:w="3732" w:type="dxa"/>
            <w:vAlign w:val="center"/>
          </w:tcPr>
          <w:p w14:paraId="32F35910"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lang w:eastAsia="ru-RU"/>
              </w:rPr>
              <w:t xml:space="preserve">Министерство по делам гражданской обороны, чрезвычайным ситуациям и ликвидации последствий стихийных бедствий </w:t>
            </w:r>
            <w:r w:rsidRPr="00A922B4">
              <w:rPr>
                <w:rFonts w:ascii="Times New Roman" w:eastAsia="Times New Roman" w:hAnsi="Times New Roman" w:cs="Times New Roman"/>
                <w:lang w:eastAsia="ar-SA"/>
              </w:rPr>
              <w:t>Республики Дагестан</w:t>
            </w:r>
          </w:p>
        </w:tc>
        <w:tc>
          <w:tcPr>
            <w:tcW w:w="1314" w:type="dxa"/>
            <w:vAlign w:val="center"/>
          </w:tcPr>
          <w:p w14:paraId="3CAC8A03"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251,50</w:t>
            </w:r>
          </w:p>
        </w:tc>
        <w:tc>
          <w:tcPr>
            <w:tcW w:w="1201" w:type="dxa"/>
            <w:noWrap/>
            <w:vAlign w:val="center"/>
          </w:tcPr>
          <w:p w14:paraId="42376EB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639ED285"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250,0</w:t>
            </w:r>
          </w:p>
        </w:tc>
        <w:tc>
          <w:tcPr>
            <w:tcW w:w="1266" w:type="dxa"/>
            <w:noWrap/>
            <w:vAlign w:val="center"/>
          </w:tcPr>
          <w:p w14:paraId="5EFF1E11"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250,0</w:t>
            </w:r>
          </w:p>
        </w:tc>
        <w:tc>
          <w:tcPr>
            <w:tcW w:w="703" w:type="dxa"/>
            <w:vAlign w:val="center"/>
          </w:tcPr>
          <w:p w14:paraId="7C3165A3"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16B0D1BF" w14:textId="77777777" w:rsidTr="00B96E95">
        <w:trPr>
          <w:trHeight w:val="272"/>
        </w:trPr>
        <w:tc>
          <w:tcPr>
            <w:tcW w:w="3732" w:type="dxa"/>
            <w:vAlign w:val="center"/>
          </w:tcPr>
          <w:p w14:paraId="5AB5A69F"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Республиканская служба по тарифам </w:t>
            </w:r>
          </w:p>
        </w:tc>
        <w:tc>
          <w:tcPr>
            <w:tcW w:w="1314" w:type="dxa"/>
            <w:vAlign w:val="center"/>
          </w:tcPr>
          <w:p w14:paraId="05C5FD07"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100,00</w:t>
            </w:r>
          </w:p>
        </w:tc>
        <w:tc>
          <w:tcPr>
            <w:tcW w:w="1201" w:type="dxa"/>
            <w:noWrap/>
            <w:vAlign w:val="center"/>
          </w:tcPr>
          <w:p w14:paraId="1788B22A"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7227A6B5"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10,0</w:t>
            </w:r>
          </w:p>
        </w:tc>
        <w:tc>
          <w:tcPr>
            <w:tcW w:w="1266" w:type="dxa"/>
            <w:noWrap/>
            <w:vAlign w:val="center"/>
          </w:tcPr>
          <w:p w14:paraId="76336975"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10,0</w:t>
            </w:r>
          </w:p>
        </w:tc>
        <w:tc>
          <w:tcPr>
            <w:tcW w:w="703" w:type="dxa"/>
            <w:vAlign w:val="center"/>
          </w:tcPr>
          <w:p w14:paraId="2D61A983"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28B42381" w14:textId="77777777" w:rsidTr="00B96E95">
        <w:trPr>
          <w:trHeight w:val="325"/>
        </w:trPr>
        <w:tc>
          <w:tcPr>
            <w:tcW w:w="3732" w:type="dxa"/>
            <w:vAlign w:val="center"/>
          </w:tcPr>
          <w:p w14:paraId="186B46FC"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Управление Министерства юстиции Российской Федерации по </w:t>
            </w:r>
            <w:r w:rsidRPr="00A922B4">
              <w:rPr>
                <w:rFonts w:ascii="Times New Roman" w:eastAsia="Times New Roman" w:hAnsi="Times New Roman" w:cs="Times New Roman"/>
                <w:lang w:eastAsia="ru-RU"/>
              </w:rPr>
              <w:t xml:space="preserve">Министерства Российской Федерации по </w:t>
            </w:r>
            <w:r w:rsidRPr="00A922B4">
              <w:rPr>
                <w:rFonts w:ascii="Times New Roman" w:eastAsia="Times New Roman" w:hAnsi="Times New Roman" w:cs="Times New Roman"/>
                <w:lang w:eastAsia="ar-SA"/>
              </w:rPr>
              <w:t>Республике Дагестан</w:t>
            </w:r>
          </w:p>
        </w:tc>
        <w:tc>
          <w:tcPr>
            <w:tcW w:w="1314" w:type="dxa"/>
            <w:vAlign w:val="center"/>
          </w:tcPr>
          <w:p w14:paraId="668EE6AB"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126,00</w:t>
            </w:r>
          </w:p>
        </w:tc>
        <w:tc>
          <w:tcPr>
            <w:tcW w:w="1201" w:type="dxa"/>
            <w:noWrap/>
            <w:vAlign w:val="center"/>
          </w:tcPr>
          <w:p w14:paraId="13342602"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4,0</w:t>
            </w:r>
          </w:p>
        </w:tc>
        <w:tc>
          <w:tcPr>
            <w:tcW w:w="1169" w:type="dxa"/>
            <w:noWrap/>
            <w:vAlign w:val="center"/>
          </w:tcPr>
          <w:p w14:paraId="52A2E62E"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138,9</w:t>
            </w:r>
          </w:p>
        </w:tc>
        <w:tc>
          <w:tcPr>
            <w:tcW w:w="1266" w:type="dxa"/>
            <w:noWrap/>
            <w:vAlign w:val="center"/>
          </w:tcPr>
          <w:p w14:paraId="4E65492D"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134,9</w:t>
            </w:r>
          </w:p>
        </w:tc>
        <w:tc>
          <w:tcPr>
            <w:tcW w:w="703" w:type="dxa"/>
            <w:vAlign w:val="center"/>
          </w:tcPr>
          <w:p w14:paraId="1EB534B7" w14:textId="2509052E" w:rsidR="00A922B4" w:rsidRPr="00D8663E" w:rsidRDefault="00A922B4" w:rsidP="00D8663E">
            <w:pPr>
              <w:spacing w:after="0" w:line="240" w:lineRule="auto"/>
              <w:ind w:left="-181" w:right="-129"/>
              <w:jc w:val="center"/>
              <w:rPr>
                <w:rFonts w:ascii="Times New Roman" w:eastAsia="Times New Roman" w:hAnsi="Times New Roman" w:cs="Times New Roman"/>
                <w:sz w:val="20"/>
                <w:szCs w:val="20"/>
                <w:lang w:eastAsia="ru-RU"/>
              </w:rPr>
            </w:pPr>
            <w:r w:rsidRPr="00D8663E">
              <w:rPr>
                <w:rFonts w:ascii="Times New Roman" w:eastAsia="Times New Roman" w:hAnsi="Times New Roman" w:cs="Times New Roman"/>
                <w:sz w:val="20"/>
                <w:szCs w:val="20"/>
                <w:lang w:eastAsia="ru-RU"/>
              </w:rPr>
              <w:t>3 481,2</w:t>
            </w:r>
          </w:p>
        </w:tc>
      </w:tr>
      <w:tr w:rsidR="00A922B4" w:rsidRPr="00A922B4" w14:paraId="66347C21" w14:textId="77777777" w:rsidTr="00B96E95">
        <w:trPr>
          <w:trHeight w:val="276"/>
        </w:trPr>
        <w:tc>
          <w:tcPr>
            <w:tcW w:w="3732" w:type="dxa"/>
            <w:vAlign w:val="center"/>
          </w:tcPr>
          <w:p w14:paraId="21C2C93B" w14:textId="77777777" w:rsidR="00A922B4" w:rsidRPr="002E57D3" w:rsidRDefault="00A922B4" w:rsidP="00A922B4">
            <w:pPr>
              <w:spacing w:after="0" w:line="240" w:lineRule="auto"/>
              <w:jc w:val="both"/>
              <w:rPr>
                <w:rFonts w:ascii="Times New Roman" w:eastAsia="Times New Roman" w:hAnsi="Times New Roman" w:cs="Times New Roman"/>
                <w:lang w:eastAsia="ru-RU"/>
              </w:rPr>
            </w:pPr>
            <w:r w:rsidRPr="002E57D3">
              <w:rPr>
                <w:rFonts w:ascii="Times New Roman" w:eastAsia="Times New Roman" w:hAnsi="Times New Roman" w:cs="Times New Roman"/>
                <w:lang w:eastAsia="ru-RU"/>
              </w:rPr>
              <w:lastRenderedPageBreak/>
              <w:t>Управление Федеральной службы судебных приставов по Республике Дагестан</w:t>
            </w:r>
          </w:p>
        </w:tc>
        <w:tc>
          <w:tcPr>
            <w:tcW w:w="1314" w:type="dxa"/>
            <w:vAlign w:val="center"/>
          </w:tcPr>
          <w:p w14:paraId="48AEAD35" w14:textId="77777777" w:rsidR="00A922B4" w:rsidRPr="002E57D3" w:rsidRDefault="00A922B4" w:rsidP="00A922B4">
            <w:pPr>
              <w:spacing w:after="0" w:line="240" w:lineRule="auto"/>
              <w:ind w:left="-173" w:right="-5"/>
              <w:jc w:val="center"/>
              <w:rPr>
                <w:rFonts w:ascii="Times New Roman" w:eastAsia="Times New Roman" w:hAnsi="Times New Roman" w:cs="Times New Roman"/>
                <w:lang w:eastAsia="ru-RU"/>
              </w:rPr>
            </w:pPr>
            <w:r w:rsidRPr="002E57D3">
              <w:rPr>
                <w:rFonts w:ascii="Times New Roman" w:eastAsia="Times New Roman" w:hAnsi="Times New Roman" w:cs="Times New Roman"/>
                <w:lang w:eastAsia="ru-RU"/>
              </w:rPr>
              <w:t>189,70</w:t>
            </w:r>
          </w:p>
        </w:tc>
        <w:tc>
          <w:tcPr>
            <w:tcW w:w="1201" w:type="dxa"/>
            <w:noWrap/>
            <w:vAlign w:val="center"/>
          </w:tcPr>
          <w:p w14:paraId="70379CBF" w14:textId="77777777" w:rsidR="00A922B4" w:rsidRPr="002E57D3" w:rsidRDefault="00A922B4" w:rsidP="00A922B4">
            <w:pPr>
              <w:spacing w:after="0" w:line="240" w:lineRule="auto"/>
              <w:ind w:left="-173" w:right="-5"/>
              <w:jc w:val="center"/>
              <w:rPr>
                <w:rFonts w:ascii="Times New Roman" w:eastAsia="Times New Roman" w:hAnsi="Times New Roman" w:cs="Times New Roman"/>
                <w:lang w:eastAsia="ru-RU"/>
              </w:rPr>
            </w:pPr>
            <w:r w:rsidRPr="002E57D3">
              <w:rPr>
                <w:rFonts w:ascii="Times New Roman" w:eastAsia="Times New Roman" w:hAnsi="Times New Roman" w:cs="Times New Roman"/>
                <w:lang w:eastAsia="ru-RU"/>
              </w:rPr>
              <w:t>-</w:t>
            </w:r>
          </w:p>
        </w:tc>
        <w:tc>
          <w:tcPr>
            <w:tcW w:w="1169" w:type="dxa"/>
            <w:noWrap/>
            <w:vAlign w:val="center"/>
          </w:tcPr>
          <w:p w14:paraId="20854B11" w14:textId="77777777" w:rsidR="00A922B4" w:rsidRPr="002E57D3" w:rsidRDefault="00A922B4" w:rsidP="00A922B4">
            <w:pPr>
              <w:spacing w:after="0" w:line="240" w:lineRule="auto"/>
              <w:ind w:left="-173" w:right="-147"/>
              <w:jc w:val="center"/>
              <w:rPr>
                <w:rFonts w:ascii="Times New Roman" w:eastAsia="Times New Roman" w:hAnsi="Times New Roman" w:cs="Times New Roman"/>
                <w:lang w:eastAsia="ru-RU"/>
              </w:rPr>
            </w:pPr>
            <w:r w:rsidRPr="002E57D3">
              <w:rPr>
                <w:rFonts w:ascii="Times New Roman" w:eastAsia="Times New Roman" w:hAnsi="Times New Roman" w:cs="Times New Roman"/>
                <w:lang w:eastAsia="ru-RU"/>
              </w:rPr>
              <w:t>110,0</w:t>
            </w:r>
          </w:p>
        </w:tc>
        <w:tc>
          <w:tcPr>
            <w:tcW w:w="1266" w:type="dxa"/>
            <w:noWrap/>
            <w:vAlign w:val="center"/>
          </w:tcPr>
          <w:p w14:paraId="349D926F" w14:textId="77777777" w:rsidR="00A922B4" w:rsidRPr="002E57D3" w:rsidRDefault="00A922B4" w:rsidP="00A922B4">
            <w:pPr>
              <w:spacing w:after="0" w:line="240" w:lineRule="auto"/>
              <w:ind w:left="-173" w:right="-5"/>
              <w:jc w:val="center"/>
              <w:rPr>
                <w:rFonts w:ascii="Times New Roman" w:eastAsia="Times New Roman" w:hAnsi="Times New Roman" w:cs="Times New Roman"/>
                <w:lang w:eastAsia="ru-RU"/>
              </w:rPr>
            </w:pPr>
            <w:r w:rsidRPr="002E57D3">
              <w:rPr>
                <w:rFonts w:ascii="Times New Roman" w:eastAsia="Times New Roman" w:hAnsi="Times New Roman" w:cs="Times New Roman"/>
                <w:lang w:eastAsia="ru-RU"/>
              </w:rPr>
              <w:t>110,0</w:t>
            </w:r>
          </w:p>
        </w:tc>
        <w:tc>
          <w:tcPr>
            <w:tcW w:w="703" w:type="dxa"/>
            <w:vAlign w:val="center"/>
          </w:tcPr>
          <w:p w14:paraId="1C077C33" w14:textId="77777777" w:rsidR="00A922B4" w:rsidRPr="002E57D3"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7A5031B9" w14:textId="77777777" w:rsidTr="00B96E95">
        <w:trPr>
          <w:trHeight w:val="217"/>
        </w:trPr>
        <w:tc>
          <w:tcPr>
            <w:tcW w:w="3732" w:type="dxa"/>
            <w:vAlign w:val="center"/>
          </w:tcPr>
          <w:p w14:paraId="068AE265"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транспорта и дорожного хозяйства </w:t>
            </w:r>
            <w:r w:rsidRPr="00A922B4">
              <w:rPr>
                <w:rFonts w:ascii="Times New Roman" w:eastAsia="Times New Roman" w:hAnsi="Times New Roman" w:cs="Times New Roman"/>
                <w:lang w:eastAsia="ar-SA"/>
              </w:rPr>
              <w:t>Республики Дагестан</w:t>
            </w:r>
          </w:p>
        </w:tc>
        <w:tc>
          <w:tcPr>
            <w:tcW w:w="1314" w:type="dxa"/>
            <w:vAlign w:val="center"/>
          </w:tcPr>
          <w:p w14:paraId="191BFF75"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3 679,02</w:t>
            </w:r>
          </w:p>
        </w:tc>
        <w:tc>
          <w:tcPr>
            <w:tcW w:w="1201" w:type="dxa"/>
            <w:noWrap/>
            <w:vAlign w:val="center"/>
          </w:tcPr>
          <w:p w14:paraId="6223D8E9"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4 569,8</w:t>
            </w:r>
          </w:p>
        </w:tc>
        <w:tc>
          <w:tcPr>
            <w:tcW w:w="1169" w:type="dxa"/>
            <w:noWrap/>
            <w:vAlign w:val="center"/>
          </w:tcPr>
          <w:p w14:paraId="14453F55"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5 842,0</w:t>
            </w:r>
          </w:p>
        </w:tc>
        <w:tc>
          <w:tcPr>
            <w:tcW w:w="1266" w:type="dxa"/>
            <w:noWrap/>
            <w:vAlign w:val="center"/>
          </w:tcPr>
          <w:p w14:paraId="3F9B6DCE"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1 272,2</w:t>
            </w:r>
          </w:p>
        </w:tc>
        <w:tc>
          <w:tcPr>
            <w:tcW w:w="703" w:type="dxa"/>
            <w:vAlign w:val="center"/>
          </w:tcPr>
          <w:p w14:paraId="48D04E14"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127,8</w:t>
            </w:r>
          </w:p>
        </w:tc>
      </w:tr>
      <w:tr w:rsidR="00A922B4" w:rsidRPr="00A922B4" w14:paraId="13B91E35" w14:textId="77777777" w:rsidTr="00B96E95">
        <w:trPr>
          <w:trHeight w:val="217"/>
        </w:trPr>
        <w:tc>
          <w:tcPr>
            <w:tcW w:w="3732" w:type="dxa"/>
            <w:vAlign w:val="center"/>
          </w:tcPr>
          <w:p w14:paraId="71908BF4"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Госинспекция по надзору за техсостоянием самоходных машин</w:t>
            </w:r>
          </w:p>
        </w:tc>
        <w:tc>
          <w:tcPr>
            <w:tcW w:w="1314" w:type="dxa"/>
            <w:vAlign w:val="center"/>
          </w:tcPr>
          <w:p w14:paraId="5155F252"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4 837,22</w:t>
            </w:r>
          </w:p>
        </w:tc>
        <w:tc>
          <w:tcPr>
            <w:tcW w:w="1201" w:type="dxa"/>
            <w:noWrap/>
            <w:vAlign w:val="center"/>
          </w:tcPr>
          <w:p w14:paraId="693E162B"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2 712,3</w:t>
            </w:r>
          </w:p>
        </w:tc>
        <w:tc>
          <w:tcPr>
            <w:tcW w:w="1169" w:type="dxa"/>
            <w:noWrap/>
            <w:vAlign w:val="center"/>
          </w:tcPr>
          <w:p w14:paraId="0DE55C6C"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8 419,2</w:t>
            </w:r>
          </w:p>
        </w:tc>
        <w:tc>
          <w:tcPr>
            <w:tcW w:w="1266" w:type="dxa"/>
            <w:noWrap/>
            <w:vAlign w:val="center"/>
          </w:tcPr>
          <w:p w14:paraId="331744D2"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5 706,9</w:t>
            </w:r>
          </w:p>
        </w:tc>
        <w:tc>
          <w:tcPr>
            <w:tcW w:w="703" w:type="dxa"/>
            <w:vAlign w:val="center"/>
          </w:tcPr>
          <w:p w14:paraId="1EB7FEDD"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310,4</w:t>
            </w:r>
          </w:p>
        </w:tc>
      </w:tr>
      <w:tr w:rsidR="00A922B4" w:rsidRPr="00A922B4" w14:paraId="6A3864C9" w14:textId="77777777" w:rsidTr="00B96E95">
        <w:trPr>
          <w:trHeight w:val="196"/>
        </w:trPr>
        <w:tc>
          <w:tcPr>
            <w:tcW w:w="3732" w:type="dxa"/>
            <w:vAlign w:val="center"/>
          </w:tcPr>
          <w:p w14:paraId="3FC89A64"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юстиции </w:t>
            </w:r>
            <w:r w:rsidRPr="00A922B4">
              <w:rPr>
                <w:rFonts w:ascii="Times New Roman" w:eastAsia="Times New Roman" w:hAnsi="Times New Roman" w:cs="Times New Roman"/>
                <w:lang w:eastAsia="ar-SA"/>
              </w:rPr>
              <w:t>Республике Дагестан</w:t>
            </w:r>
          </w:p>
        </w:tc>
        <w:tc>
          <w:tcPr>
            <w:tcW w:w="1314" w:type="dxa"/>
            <w:vAlign w:val="center"/>
          </w:tcPr>
          <w:p w14:paraId="0DD7BE9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20 430,57</w:t>
            </w:r>
          </w:p>
        </w:tc>
        <w:tc>
          <w:tcPr>
            <w:tcW w:w="1201" w:type="dxa"/>
            <w:noWrap/>
            <w:vAlign w:val="center"/>
          </w:tcPr>
          <w:p w14:paraId="28B6FBD9"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30 985,7</w:t>
            </w:r>
          </w:p>
        </w:tc>
        <w:tc>
          <w:tcPr>
            <w:tcW w:w="1169" w:type="dxa"/>
            <w:noWrap/>
            <w:vAlign w:val="center"/>
          </w:tcPr>
          <w:p w14:paraId="0EE883A2"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46 451,1</w:t>
            </w:r>
          </w:p>
        </w:tc>
        <w:tc>
          <w:tcPr>
            <w:tcW w:w="1266" w:type="dxa"/>
            <w:noWrap/>
            <w:vAlign w:val="center"/>
          </w:tcPr>
          <w:p w14:paraId="090EA27D"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15 465,5</w:t>
            </w:r>
          </w:p>
        </w:tc>
        <w:tc>
          <w:tcPr>
            <w:tcW w:w="703" w:type="dxa"/>
            <w:vAlign w:val="center"/>
          </w:tcPr>
          <w:p w14:paraId="117C5793"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149,9</w:t>
            </w:r>
          </w:p>
        </w:tc>
      </w:tr>
      <w:tr w:rsidR="00A922B4" w:rsidRPr="00A922B4" w14:paraId="45C1F36E" w14:textId="77777777" w:rsidTr="00B96E95">
        <w:trPr>
          <w:trHeight w:val="217"/>
        </w:trPr>
        <w:tc>
          <w:tcPr>
            <w:tcW w:w="3732" w:type="dxa"/>
            <w:vAlign w:val="center"/>
          </w:tcPr>
          <w:p w14:paraId="107F70AD"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Агентство по предпринимательству и инвестициям </w:t>
            </w:r>
            <w:r w:rsidRPr="00A922B4">
              <w:rPr>
                <w:rFonts w:ascii="Times New Roman" w:eastAsia="Times New Roman" w:hAnsi="Times New Roman" w:cs="Times New Roman"/>
                <w:lang w:eastAsia="ar-SA"/>
              </w:rPr>
              <w:t>Республике Дагестан</w:t>
            </w:r>
          </w:p>
        </w:tc>
        <w:tc>
          <w:tcPr>
            <w:tcW w:w="1314" w:type="dxa"/>
            <w:vAlign w:val="center"/>
          </w:tcPr>
          <w:p w14:paraId="041267C8"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729,01</w:t>
            </w:r>
          </w:p>
        </w:tc>
        <w:tc>
          <w:tcPr>
            <w:tcW w:w="1201" w:type="dxa"/>
            <w:noWrap/>
            <w:vAlign w:val="center"/>
          </w:tcPr>
          <w:p w14:paraId="51240958"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6E875CD1"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2 308,6</w:t>
            </w:r>
          </w:p>
        </w:tc>
        <w:tc>
          <w:tcPr>
            <w:tcW w:w="1266" w:type="dxa"/>
            <w:noWrap/>
            <w:vAlign w:val="center"/>
          </w:tcPr>
          <w:p w14:paraId="5A00B4B0"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r w:rsidRPr="00A922B4">
              <w:rPr>
                <w:rFonts w:ascii="Times New Roman" w:eastAsia="Times New Roman" w:hAnsi="Times New Roman" w:cs="Times New Roman"/>
                <w:lang w:eastAsia="ru-RU"/>
              </w:rPr>
              <w:t>2 308,6</w:t>
            </w:r>
          </w:p>
        </w:tc>
        <w:tc>
          <w:tcPr>
            <w:tcW w:w="703" w:type="dxa"/>
            <w:vAlign w:val="center"/>
          </w:tcPr>
          <w:p w14:paraId="68209A07" w14:textId="77777777" w:rsidR="00A922B4" w:rsidRPr="00A922B4" w:rsidRDefault="00A922B4" w:rsidP="00A922B4">
            <w:pPr>
              <w:spacing w:after="0" w:line="240" w:lineRule="auto"/>
              <w:ind w:left="-173" w:right="-5"/>
              <w:jc w:val="center"/>
              <w:rPr>
                <w:rFonts w:ascii="Times New Roman" w:eastAsia="Times New Roman" w:hAnsi="Times New Roman" w:cs="Times New Roman"/>
                <w:lang w:eastAsia="ru-RU"/>
              </w:rPr>
            </w:pPr>
          </w:p>
        </w:tc>
      </w:tr>
      <w:tr w:rsidR="00A922B4" w:rsidRPr="00A922B4" w14:paraId="20B804B0" w14:textId="77777777" w:rsidTr="00B96E95">
        <w:trPr>
          <w:trHeight w:val="217"/>
        </w:trPr>
        <w:tc>
          <w:tcPr>
            <w:tcW w:w="3732" w:type="dxa"/>
            <w:vAlign w:val="center"/>
          </w:tcPr>
          <w:p w14:paraId="3CA4AA96" w14:textId="77777777" w:rsidR="00A922B4" w:rsidRPr="00A922B4" w:rsidRDefault="00A922B4" w:rsidP="00A922B4">
            <w:pPr>
              <w:spacing w:after="0" w:line="240" w:lineRule="auto"/>
              <w:jc w:val="both"/>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 xml:space="preserve">Министерство здравоохранения </w:t>
            </w:r>
            <w:r w:rsidRPr="00A922B4">
              <w:rPr>
                <w:rFonts w:ascii="Times New Roman" w:eastAsia="Times New Roman" w:hAnsi="Times New Roman" w:cs="Times New Roman"/>
                <w:lang w:eastAsia="ar-SA"/>
              </w:rPr>
              <w:t>Республике Дагестан</w:t>
            </w:r>
          </w:p>
        </w:tc>
        <w:tc>
          <w:tcPr>
            <w:tcW w:w="1314" w:type="dxa"/>
            <w:vAlign w:val="center"/>
          </w:tcPr>
          <w:p w14:paraId="14311E5A"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1 565,58</w:t>
            </w:r>
          </w:p>
        </w:tc>
        <w:tc>
          <w:tcPr>
            <w:tcW w:w="1201" w:type="dxa"/>
            <w:noWrap/>
            <w:vAlign w:val="center"/>
          </w:tcPr>
          <w:p w14:paraId="3B661EB7"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169" w:type="dxa"/>
            <w:noWrap/>
            <w:vAlign w:val="center"/>
          </w:tcPr>
          <w:p w14:paraId="57B518E9" w14:textId="77777777" w:rsidR="00A922B4" w:rsidRPr="00A922B4" w:rsidRDefault="00A922B4" w:rsidP="00A922B4">
            <w:pPr>
              <w:spacing w:after="0" w:line="240" w:lineRule="auto"/>
              <w:ind w:left="-173" w:right="-147"/>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1266" w:type="dxa"/>
            <w:noWrap/>
            <w:vAlign w:val="center"/>
          </w:tcPr>
          <w:p w14:paraId="598998F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r w:rsidRPr="00A922B4">
              <w:rPr>
                <w:rFonts w:ascii="Times New Roman" w:eastAsia="Times New Roman" w:hAnsi="Times New Roman" w:cs="Times New Roman"/>
                <w:color w:val="000000"/>
                <w:lang w:eastAsia="ru-RU"/>
              </w:rPr>
              <w:t>-</w:t>
            </w:r>
          </w:p>
        </w:tc>
        <w:tc>
          <w:tcPr>
            <w:tcW w:w="703" w:type="dxa"/>
            <w:vAlign w:val="center"/>
          </w:tcPr>
          <w:p w14:paraId="0EBDC194" w14:textId="77777777" w:rsidR="00A922B4" w:rsidRPr="00A922B4" w:rsidRDefault="00A922B4" w:rsidP="00A922B4">
            <w:pPr>
              <w:spacing w:after="0" w:line="240" w:lineRule="auto"/>
              <w:ind w:left="-173" w:right="-5"/>
              <w:jc w:val="center"/>
              <w:rPr>
                <w:rFonts w:ascii="Times New Roman" w:eastAsia="Times New Roman" w:hAnsi="Times New Roman" w:cs="Times New Roman"/>
                <w:color w:val="000000"/>
                <w:lang w:eastAsia="ru-RU"/>
              </w:rPr>
            </w:pPr>
          </w:p>
        </w:tc>
      </w:tr>
    </w:tbl>
    <w:p w14:paraId="2EFBB43D" w14:textId="77777777" w:rsidR="00A922B4" w:rsidRPr="00A922B4" w:rsidRDefault="00A922B4" w:rsidP="00A922B4">
      <w:pPr>
        <w:spacing w:after="0" w:line="240" w:lineRule="auto"/>
        <w:ind w:firstLine="709"/>
        <w:jc w:val="both"/>
        <w:rPr>
          <w:rFonts w:ascii="Times New Roman" w:eastAsia="Times New Roman" w:hAnsi="Times New Roman" w:cs="Times New Roman"/>
          <w:sz w:val="28"/>
          <w:szCs w:val="28"/>
          <w:lang w:eastAsia="ar-SA"/>
        </w:rPr>
      </w:pPr>
    </w:p>
    <w:p w14:paraId="093E4A40" w14:textId="77777777" w:rsidR="00A922B4" w:rsidRPr="00A922B4" w:rsidRDefault="00A922B4" w:rsidP="006B71E3">
      <w:pPr>
        <w:spacing w:after="0" w:line="240" w:lineRule="auto"/>
        <w:ind w:firstLine="709"/>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Анализ выполнения заданий администраторами доходов по поступлению налоговых и неналоговых доходов в республиканский бюджет Республики Дагестан за 2021 год показал, что установленные задания выполнены 12 администраторами, при этом, 7 администраторами не обеспечено выполнение назначений, в связи с чем в республиканский бюджет Республики Дагестан недопоступило 611 332,4 тыс. рублей, из них не обеспечены поступления:</w:t>
      </w:r>
    </w:p>
    <w:p w14:paraId="35B334AB"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Управлением Федеральной налоговой службы по Республике Дагестан – на 186 836,0 тыс. рублей;</w:t>
      </w:r>
    </w:p>
    <w:p w14:paraId="36F85F89"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Управлением Федеральной службы по надзору в сфере природопользования по Республике Дагестан – на 959,8 тыс. рублей;</w:t>
      </w:r>
    </w:p>
    <w:p w14:paraId="7175D552"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Управлением Федеральной службы государственной регистрации, кадастра и картографии по Республике Дагестан – на 7 607,0 тыс. рублей;</w:t>
      </w:r>
    </w:p>
    <w:p w14:paraId="5085A0BA"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Министерством природных ресурсов и экологии Республики Дагестан – на 24 599,5 тыс. рублей;</w:t>
      </w:r>
    </w:p>
    <w:p w14:paraId="3173D5D0"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Министерством образования и науки Республики Дагестан – на 49 738,8 тыс. рублей;</w:t>
      </w:r>
    </w:p>
    <w:p w14:paraId="43DE6906" w14:textId="0600CD4F"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 Министерством по земельным и имущественным отношениям </w:t>
      </w:r>
      <w:r w:rsidR="007639C4" w:rsidRPr="007639C4">
        <w:rPr>
          <w:rFonts w:ascii="Times New Roman" w:eastAsia="Times New Roman" w:hAnsi="Times New Roman" w:cs="Times New Roman"/>
          <w:sz w:val="28"/>
          <w:szCs w:val="28"/>
          <w:lang w:eastAsia="ru-RU"/>
        </w:rPr>
        <w:t>Республики Дагестан</w:t>
      </w:r>
      <w:r w:rsidRPr="00A922B4">
        <w:rPr>
          <w:rFonts w:ascii="Times New Roman" w:eastAsia="Times New Roman" w:hAnsi="Times New Roman" w:cs="Times New Roman"/>
          <w:sz w:val="28"/>
          <w:szCs w:val="28"/>
          <w:lang w:eastAsia="ar-SA"/>
        </w:rPr>
        <w:t xml:space="preserve"> – на 341 578,9 тыс. рублей;</w:t>
      </w:r>
    </w:p>
    <w:p w14:paraId="466FEA90"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Министерством экономики и территориального развития Республики Дагестан – на 12,5 тыс. рублей.</w:t>
      </w:r>
    </w:p>
    <w:p w14:paraId="4E8678EB"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Следует отметить, что установленные задания по 6 администраторам выполнены более чем в 3 раза, что указывает на установление заниженных показателей на 2021 год, в частности по следующим администраторам:</w:t>
      </w:r>
    </w:p>
    <w:p w14:paraId="17D9AAB6"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Министерство финансов Республики Дагестан – выполнение в 2 раза больше, чем установленное задание (план – 593 345,1 тыс. рублей; факт – 1 192 643,0 тыс. рублей);</w:t>
      </w:r>
    </w:p>
    <w:p w14:paraId="1476CBB5"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Комитет по лесному хозяйству Республики Дагестан – в 2,2 раза (план – 3 042,2 тыс. рублей; факт – 6 605,4 тыс. рублей);</w:t>
      </w:r>
    </w:p>
    <w:p w14:paraId="2C718C16"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lastRenderedPageBreak/>
        <w:t>- Государственная жилищная инспекция Республики Дагестан – в 2,7 раза (план – 504,1 тыс. рублей; факт – 1 342,1 тыс. рублей);</w:t>
      </w:r>
    </w:p>
    <w:p w14:paraId="1B17FDB6"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Министерство труда и социального развития Республики Дагестан – в 2 раза (план – 19 708 тыс. рублей; факт – 39 980,5 тыс. рублей);</w:t>
      </w:r>
    </w:p>
    <w:p w14:paraId="026D012B"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Управление Министерства юстиции Российской Федерации по Республики Дагестан – в 35 раз (план – 4,0 тыс. рублей; факт – 138,9 тыс. рублей);</w:t>
      </w:r>
    </w:p>
    <w:p w14:paraId="2AD27E21"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 - Государственная инспекция по надзору за техническим состоянием самоходных машин – в 3,1 раза (план – 2 712,3 тыс. рублей; факт – 8 419,3 тыс. рублей).</w:t>
      </w:r>
    </w:p>
    <w:p w14:paraId="683D719C"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Проведенный анализ показал, что при прогнозировании поступлений неналоговых доходов в разрезе администраторов доходов, не учитываются фактические поступления за прошедший отчетный период и другие показатели, влияющие на увеличение поступлений доходов (в частности задолженность, индекс инфляции).   </w:t>
      </w:r>
    </w:p>
    <w:p w14:paraId="183C524E" w14:textId="5E6476BD" w:rsidR="00A922B4" w:rsidRPr="00A922B4" w:rsidRDefault="006B71E3" w:rsidP="006B71E3">
      <w:pPr>
        <w:spacing w:after="0" w:line="240" w:lineRule="auto"/>
        <w:ind w:firstLine="708"/>
        <w:jc w:val="both"/>
        <w:rPr>
          <w:rFonts w:ascii="Times New Roman" w:eastAsia="Times New Roman" w:hAnsi="Times New Roman" w:cs="Times New Roman"/>
          <w:sz w:val="28"/>
          <w:szCs w:val="28"/>
          <w:lang w:eastAsia="ar-SA"/>
        </w:rPr>
      </w:pPr>
      <w:r w:rsidRPr="006B71E3">
        <w:rPr>
          <w:rFonts w:ascii="Times New Roman" w:eastAsia="Times New Roman" w:hAnsi="Times New Roman" w:cs="Times New Roman"/>
          <w:b/>
          <w:bCs/>
          <w:color w:val="002060"/>
          <w:sz w:val="28"/>
          <w:szCs w:val="28"/>
          <w:lang w:eastAsia="ru-RU"/>
        </w:rPr>
        <w:t>4.1.4.</w:t>
      </w:r>
      <w:r>
        <w:rPr>
          <w:rFonts w:ascii="Times New Roman" w:eastAsia="Times New Roman" w:hAnsi="Times New Roman" w:cs="Times New Roman"/>
          <w:b/>
          <w:bCs/>
          <w:color w:val="002060"/>
          <w:sz w:val="28"/>
          <w:szCs w:val="28"/>
          <w:lang w:eastAsia="ru-RU"/>
        </w:rPr>
        <w:t xml:space="preserve">2. </w:t>
      </w:r>
      <w:r w:rsidR="00A922B4" w:rsidRPr="00A922B4">
        <w:rPr>
          <w:rFonts w:ascii="Times New Roman" w:eastAsia="Times New Roman" w:hAnsi="Times New Roman" w:cs="Times New Roman"/>
          <w:sz w:val="28"/>
          <w:szCs w:val="28"/>
          <w:lang w:eastAsia="ar-SA"/>
        </w:rPr>
        <w:t xml:space="preserve">В нарушение приказа Министерства финансов Российской Федерации от 6 июня 2019 года № 85н «О порядке формирования и применения кодов бюджетной классификации Российской Федерации, их структуре и принципах назначения» Министерством финансов Республики Дагестан при составлении приложения № 6 «Перечень главных администраторов доходов республиканского бюджета Республики Дагестан – органов государственной власти» к Закону Республики Дагестан «О республиканском бюджете Республики Дагестан на 2021 год и плановый период 2022 и 2023 годов» по администратору  доходов «Министерство имущественных и земельных отношений Республики Дагестан» учтены не все коды бюджетной классификации для зачисления доходов от сдачи в аренду имущества. </w:t>
      </w:r>
    </w:p>
    <w:p w14:paraId="5D2E2BA3"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В частности, отсутствует код бюджетной классификации «Доходы от сдачи в аренду имущества, составляющего государственную (муниципальную) казну» (00011105070000000120). </w:t>
      </w:r>
    </w:p>
    <w:p w14:paraId="4F4CF9FC"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В связи с этим, доходы от сдачи в аренду объектов имущества казны Республики Дагестан, а также имущества, находящегося в оперативном управлении (71 853,8 тыс. рублей) полностью отнесены на код бюджетной классификации 00011105032020000120  «Доходы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 При этом, большая часть суммы, отраженная на данном коде бюджетной классификации, составляют доходы от аренды имущества, составляющего государственную казну Республики Дагестан. </w:t>
      </w:r>
    </w:p>
    <w:p w14:paraId="571F165B"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 xml:space="preserve">Кроме того, в приложении № 6 «Перечень главных администраторов доходов республиканского бюджета Республики Дагестан – органов государственной власти» к Закону Республики Дагестан «О республиканском </w:t>
      </w:r>
      <w:r w:rsidRPr="00A922B4">
        <w:rPr>
          <w:rFonts w:ascii="Times New Roman" w:eastAsia="Times New Roman" w:hAnsi="Times New Roman" w:cs="Times New Roman"/>
          <w:sz w:val="28"/>
          <w:szCs w:val="28"/>
          <w:lang w:eastAsia="ar-SA"/>
        </w:rPr>
        <w:lastRenderedPageBreak/>
        <w:t>бюджете Республики Дагестан на 2021 год и плановый период 2022 и 2023 годов» в графе «коды бюджетной классификации доходов республиканского бюджета Республики Дагестан» по отдельным главным администраторам доходов учтены коды для зачисления неналоговых доходов в федеральный бюджет, в бюджеты муниципальных районов и городских округов, а также в бюджеты сельских и городских поселений (Комитет по лесному хозяйству Республики Дагестан, Министерство строительства Республики Дагестан, Государственная жилищная инспекция Республики Дагестан и др.)</w:t>
      </w:r>
    </w:p>
    <w:p w14:paraId="5EA98AC8" w14:textId="77777777" w:rsidR="00A922B4" w:rsidRPr="00A922B4" w:rsidRDefault="00A922B4" w:rsidP="006B71E3">
      <w:pPr>
        <w:spacing w:after="0" w:line="240" w:lineRule="auto"/>
        <w:ind w:firstLine="708"/>
        <w:jc w:val="both"/>
        <w:rPr>
          <w:rFonts w:ascii="Times New Roman" w:eastAsia="Times New Roman" w:hAnsi="Times New Roman" w:cs="Times New Roman"/>
          <w:sz w:val="28"/>
          <w:szCs w:val="28"/>
          <w:lang w:eastAsia="ar-SA"/>
        </w:rPr>
      </w:pPr>
      <w:r w:rsidRPr="00A922B4">
        <w:rPr>
          <w:rFonts w:ascii="Times New Roman" w:eastAsia="Times New Roman" w:hAnsi="Times New Roman" w:cs="Times New Roman"/>
          <w:sz w:val="28"/>
          <w:szCs w:val="28"/>
          <w:lang w:eastAsia="ar-SA"/>
        </w:rPr>
        <w:t>Аналогичные нарушения допущены при утверждении перечня главных администраторов доходов республиканского бюджета Республики Дагестан» на 2022 год (постановление Правительства Республики Дагестан от 30 декабря 2021 года № 370).</w:t>
      </w:r>
    </w:p>
    <w:p w14:paraId="4F53D74B" w14:textId="5E774797"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102428D" w14:textId="7BF7BDD5"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A3AA031" w14:textId="662075E7"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65813A9" w14:textId="7BF6EDB8"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B0A95F1" w14:textId="7027202E"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80A788D" w14:textId="34BF8C2B"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3712A62" w14:textId="1773C68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F92C842" w14:textId="4D1968D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2D6CF6C" w14:textId="65E05699"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A6708CA" w14:textId="0DC92C17"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9AD27BF" w14:textId="02DACFD7"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F640B8D" w14:textId="5C1BECA7"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65297A3" w14:textId="1990214F"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95A860D" w14:textId="30D57CF6"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927B3D9" w14:textId="532B547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05326E7" w14:textId="51083A11"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3A88953" w14:textId="33A9054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63B48C1" w14:textId="5B631284"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2CA3C48" w14:textId="23773FF8"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0DDCE36" w14:textId="483CB22D"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B8C49E7" w14:textId="2FFC0FCA"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3F68F4C" w14:textId="54E44B6C"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52E4EF7" w14:textId="6C9846AC"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8DC38BC" w14:textId="23794EB4"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FCD1106" w14:textId="791317E0"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C87E096" w14:textId="327EAB79"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08506DE" w14:textId="4A65382E" w:rsidR="002E57D3" w:rsidRDefault="002E57D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8292C22" w14:textId="4E8ECBA6" w:rsidR="002E57D3" w:rsidRDefault="002E57D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7277B17" w14:textId="20AA0EC1" w:rsidR="002E57D3" w:rsidRDefault="002E57D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704BD15" w14:textId="77777777" w:rsidR="002E57D3" w:rsidRDefault="002E57D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E036BE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val="x-none" w:eastAsia="ru-RU"/>
        </w:rPr>
      </w:pPr>
      <w:r w:rsidRPr="007A77E7">
        <w:rPr>
          <w:rFonts w:ascii="Times New Roman" w:eastAsia="Times New Roman" w:hAnsi="Times New Roman" w:cs="Times New Roman"/>
          <w:b/>
          <w:color w:val="002060"/>
          <w:sz w:val="28"/>
          <w:szCs w:val="28"/>
          <w:lang w:eastAsia="ru-RU"/>
        </w:rPr>
        <w:lastRenderedPageBreak/>
        <w:t>4.2</w:t>
      </w:r>
      <w:r w:rsidRPr="007A77E7">
        <w:rPr>
          <w:rFonts w:ascii="Times New Roman" w:eastAsia="Times New Roman" w:hAnsi="Times New Roman" w:cs="Times New Roman"/>
          <w:b/>
          <w:color w:val="002060"/>
          <w:sz w:val="28"/>
          <w:szCs w:val="28"/>
          <w:lang w:val="x-none" w:eastAsia="ru-RU"/>
        </w:rPr>
        <w:t xml:space="preserve">. Исполнение расходной части </w:t>
      </w:r>
    </w:p>
    <w:p w14:paraId="244EEC4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val="x-none" w:eastAsia="ru-RU"/>
        </w:rPr>
      </w:pPr>
      <w:r w:rsidRPr="007A77E7">
        <w:rPr>
          <w:rFonts w:ascii="Times New Roman" w:eastAsia="Times New Roman" w:hAnsi="Times New Roman" w:cs="Times New Roman"/>
          <w:b/>
          <w:color w:val="002060"/>
          <w:sz w:val="28"/>
          <w:szCs w:val="28"/>
          <w:lang w:val="x-none" w:eastAsia="ru-RU"/>
        </w:rPr>
        <w:t>республиканского бюджета Республики Дагестан</w:t>
      </w:r>
    </w:p>
    <w:p w14:paraId="02CB79ED" w14:textId="77777777" w:rsidR="007A77E7" w:rsidRPr="007A77E7" w:rsidRDefault="007A77E7" w:rsidP="007A77E7">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val="x-none" w:eastAsia="ru-RU"/>
        </w:rPr>
      </w:pPr>
    </w:p>
    <w:p w14:paraId="53111E90" w14:textId="11B565F2" w:rsid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2060"/>
          <w:sz w:val="28"/>
          <w:szCs w:val="28"/>
          <w:lang w:eastAsia="ru-RU"/>
        </w:rPr>
      </w:pPr>
      <w:r w:rsidRPr="007A77E7">
        <w:rPr>
          <w:rFonts w:ascii="Times New Roman" w:eastAsia="Times New Roman" w:hAnsi="Times New Roman" w:cs="Times New Roman"/>
          <w:b/>
          <w:bCs/>
          <w:color w:val="002060"/>
          <w:sz w:val="28"/>
          <w:szCs w:val="28"/>
          <w:lang w:eastAsia="ru-RU"/>
        </w:rPr>
        <w:t>4.2.1.</w:t>
      </w:r>
      <w:r w:rsidRPr="007A77E7">
        <w:rPr>
          <w:rFonts w:ascii="Times New Roman" w:eastAsia="Times New Roman" w:hAnsi="Times New Roman" w:cs="Times New Roman"/>
          <w:color w:val="002060"/>
          <w:sz w:val="28"/>
          <w:szCs w:val="28"/>
          <w:lang w:eastAsia="ru-RU"/>
        </w:rPr>
        <w:t xml:space="preserve"> </w:t>
      </w:r>
      <w:r w:rsidRPr="007A77E7">
        <w:rPr>
          <w:rFonts w:ascii="Times New Roman" w:eastAsia="Times New Roman" w:hAnsi="Times New Roman" w:cs="Times New Roman"/>
          <w:b/>
          <w:bCs/>
          <w:color w:val="002060"/>
          <w:sz w:val="28"/>
          <w:szCs w:val="28"/>
          <w:lang w:eastAsia="ru-RU"/>
        </w:rPr>
        <w:t>Анализ исполнения расходной части республиканского бюджета Республики Дагестан.</w:t>
      </w:r>
      <w:r w:rsidRPr="007A77E7">
        <w:rPr>
          <w:rFonts w:ascii="Times New Roman" w:eastAsia="Times New Roman" w:hAnsi="Times New Roman" w:cs="Times New Roman"/>
          <w:color w:val="002060"/>
          <w:sz w:val="28"/>
          <w:szCs w:val="28"/>
          <w:lang w:eastAsia="ru-RU"/>
        </w:rPr>
        <w:t xml:space="preserve"> </w:t>
      </w:r>
    </w:p>
    <w:p w14:paraId="7714AAEF" w14:textId="77777777" w:rsidR="00FC228C" w:rsidRPr="007A77E7" w:rsidRDefault="00FC228C"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2060"/>
          <w:sz w:val="28"/>
          <w:szCs w:val="28"/>
          <w:lang w:eastAsia="ru-RU"/>
        </w:rPr>
      </w:pPr>
    </w:p>
    <w:p w14:paraId="52CE4D42" w14:textId="219A72AA" w:rsidR="007A77E7" w:rsidRPr="007A77E7" w:rsidRDefault="005F37BC" w:rsidP="00FC22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F37BC">
        <w:rPr>
          <w:rFonts w:ascii="Times New Roman" w:eastAsia="Times New Roman" w:hAnsi="Times New Roman" w:cs="Times New Roman"/>
          <w:b/>
          <w:bCs/>
          <w:color w:val="002060"/>
          <w:sz w:val="28"/>
          <w:szCs w:val="28"/>
          <w:lang w:eastAsia="ru-RU"/>
        </w:rPr>
        <w:t>4.2.1.1.</w:t>
      </w:r>
      <w:r>
        <w:rPr>
          <w:rFonts w:ascii="Times New Roman" w:eastAsia="Times New Roman" w:hAnsi="Times New Roman" w:cs="Times New Roman"/>
          <w:sz w:val="28"/>
          <w:szCs w:val="28"/>
          <w:lang w:eastAsia="ru-RU"/>
        </w:rPr>
        <w:t xml:space="preserve"> </w:t>
      </w:r>
      <w:r w:rsidR="007A77E7" w:rsidRPr="007A77E7">
        <w:rPr>
          <w:rFonts w:ascii="Times New Roman" w:eastAsia="Times New Roman" w:hAnsi="Times New Roman" w:cs="Times New Roman"/>
          <w:sz w:val="28"/>
          <w:szCs w:val="28"/>
          <w:lang w:eastAsia="ru-RU"/>
        </w:rPr>
        <w:t>Первоначально Законом Республики Дагестан от 28 декабря 2020 года № 103 «О республиканском бюджете Республики Дагестан на 2021 год и на плановый период 2022 и 2023 годов» общий объем расходов республиканского бюджета Республики Дагестан на 2021 год был утвержден в сумме 159 617 767,9 тыс. рублей.</w:t>
      </w:r>
    </w:p>
    <w:p w14:paraId="4F76D0BD" w14:textId="77777777" w:rsidR="007A77E7" w:rsidRPr="007A77E7" w:rsidRDefault="007A77E7" w:rsidP="00FC22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процессе исполнения в расходную часть республиканского бюджета Республики Дагестан были внесены ряд изменений и дополнений, с учетом которых (в редакции Закона Республики Дагестан </w:t>
      </w:r>
      <w:r w:rsidRPr="007A77E7">
        <w:rPr>
          <w:rFonts w:ascii="Times New Roman" w:eastAsia="Times New Roman" w:hAnsi="Times New Roman" w:cs="Times New Roman"/>
          <w:bCs/>
          <w:sz w:val="28"/>
          <w:szCs w:val="28"/>
          <w:lang w:eastAsia="ru-RU"/>
        </w:rPr>
        <w:t xml:space="preserve">от 8 ноября 2021 года </w:t>
      </w:r>
      <w:r w:rsidRPr="007A77E7">
        <w:rPr>
          <w:rFonts w:ascii="Times New Roman" w:eastAsia="Times New Roman" w:hAnsi="Times New Roman" w:cs="Times New Roman"/>
          <w:bCs/>
          <w:sz w:val="28"/>
          <w:szCs w:val="28"/>
          <w:lang w:eastAsia="ru-RU"/>
        </w:rPr>
        <w:br/>
        <w:t xml:space="preserve">№ 63) </w:t>
      </w:r>
      <w:r w:rsidRPr="007A77E7">
        <w:rPr>
          <w:rFonts w:ascii="Times New Roman" w:eastAsia="Times New Roman" w:hAnsi="Times New Roman" w:cs="Times New Roman"/>
          <w:sz w:val="28"/>
          <w:szCs w:val="28"/>
          <w:lang w:eastAsia="ru-RU"/>
        </w:rPr>
        <w:t>о</w:t>
      </w:r>
      <w:r w:rsidRPr="007A77E7">
        <w:rPr>
          <w:rFonts w:ascii="Times New Roman" w:eastAsia="Times New Roman" w:hAnsi="Times New Roman" w:cs="Times New Roman"/>
          <w:color w:val="000000"/>
          <w:sz w:val="28"/>
          <w:szCs w:val="28"/>
          <w:lang w:eastAsia="ru-RU"/>
        </w:rPr>
        <w:t>бщий объем расходов на 2021 год утвержден в сумме 175 986 374,0</w:t>
      </w:r>
      <w:r w:rsidRPr="007A77E7">
        <w:rPr>
          <w:rFonts w:ascii="Times New Roman" w:eastAsia="Times New Roman" w:hAnsi="Times New Roman" w:cs="Times New Roman"/>
          <w:sz w:val="28"/>
          <w:szCs w:val="28"/>
          <w:lang w:eastAsia="ru-RU"/>
        </w:rPr>
        <w:t xml:space="preserve"> тыс. рублей, что на 16 368 606,1 тыс. рублей, или на 10,2 %</w:t>
      </w:r>
      <w:r w:rsidRPr="007A77E7">
        <w:rPr>
          <w:rFonts w:ascii="Times New Roman" w:eastAsia="Times New Roman" w:hAnsi="Times New Roman" w:cs="Times New Roman"/>
          <w:color w:val="000000"/>
          <w:sz w:val="28"/>
          <w:szCs w:val="28"/>
          <w:lang w:eastAsia="ru-RU"/>
        </w:rPr>
        <w:t xml:space="preserve"> больше первоначально утвержденных назначений</w:t>
      </w:r>
      <w:r w:rsidRPr="007A77E7">
        <w:rPr>
          <w:rFonts w:ascii="Times New Roman" w:eastAsia="Times New Roman" w:hAnsi="Times New Roman" w:cs="Times New Roman"/>
          <w:sz w:val="28"/>
          <w:szCs w:val="28"/>
          <w:lang w:eastAsia="ru-RU"/>
        </w:rPr>
        <w:t xml:space="preserve">. </w:t>
      </w:r>
    </w:p>
    <w:p w14:paraId="1C32D4DA" w14:textId="77777777" w:rsidR="007A77E7" w:rsidRPr="007A77E7" w:rsidRDefault="007A77E7" w:rsidP="00FC228C">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При этом следует отметить, что в связи с дополнительным поступлением налоговых и неналоговых доходов (501 693,8 тыс. рублей), а также дотаций на поддержку мер по обеспечению сбалансированности бюджетов (335 200,0 тыс. рублей), субвенций (1 141 612,5 тыс. рублей) и иных межбюджетных трансфертов (3 194 531,1 тыс. рублей) из федерального бюджета по сравнению с объемами, утвержденными Законом Республики Дагестан о республиканском бюджете Республики Дагестан на 2021 год, уточненной сводной бюджетной росписью общий объем расходов республиканского бюджета Республики Дагестан на 2021 год по сравнению с объемом расходов, утвержденным Законом Республики Дагестан о республиканском бюджете Республики Дагестан на 2021 год, увеличен на 6 968 354,2 тыс. рублей и утвержден в сумме 182 954 728,2 тыс. рублей.</w:t>
      </w:r>
    </w:p>
    <w:p w14:paraId="651C8224" w14:textId="77777777" w:rsidR="007A77E7" w:rsidRPr="007A77E7" w:rsidRDefault="007A77E7" w:rsidP="00FC228C">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Указанные изменения в сводную бюджетную роспись внесены в соответствии с полномочиями, предоставленными руководителю финансового органа абзацем восьмым пункта 3 статьи 217 Бюджетного кодекса Российской Федерации. </w:t>
      </w:r>
    </w:p>
    <w:p w14:paraId="11B97BD8" w14:textId="01D58314" w:rsidR="007A77E7" w:rsidRDefault="007A77E7" w:rsidP="00FC228C">
      <w:pPr>
        <w:widowControl w:val="0"/>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Отклонение плановых назначений по разделам бюджетной классификации расходов, утвержденных законом о бюджете и сводной бюджетной росписью на 2021 год, представлено следующей таблицей.</w:t>
      </w:r>
    </w:p>
    <w:p w14:paraId="77123CDA" w14:textId="77777777" w:rsidR="00FC228C" w:rsidRPr="007A77E7" w:rsidRDefault="00FC228C" w:rsidP="007A77E7">
      <w:pPr>
        <w:widowControl w:val="0"/>
        <w:autoSpaceDE w:val="0"/>
        <w:autoSpaceDN w:val="0"/>
        <w:adjustRightInd w:val="0"/>
        <w:spacing w:after="0" w:line="240" w:lineRule="auto"/>
        <w:ind w:firstLine="700"/>
        <w:jc w:val="both"/>
        <w:outlineLvl w:val="3"/>
        <w:rPr>
          <w:rFonts w:ascii="Times New Roman" w:eastAsia="Times New Roman" w:hAnsi="Times New Roman" w:cs="Times New Roman"/>
          <w:sz w:val="28"/>
          <w:szCs w:val="28"/>
          <w:lang w:eastAsia="ru-RU"/>
        </w:rPr>
      </w:pPr>
    </w:p>
    <w:p w14:paraId="13D0BC01"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b/>
          <w:bCs/>
          <w:color w:val="002060"/>
          <w:spacing w:val="1"/>
          <w:sz w:val="24"/>
          <w:szCs w:val="24"/>
          <w:lang w:eastAsia="ru-RU"/>
        </w:rPr>
      </w:pPr>
      <w:r w:rsidRPr="007A77E7">
        <w:rPr>
          <w:rFonts w:ascii="Times New Roman" w:eastAsia="Times New Roman" w:hAnsi="Times New Roman" w:cs="Times New Roman"/>
          <w:b/>
          <w:bCs/>
          <w:color w:val="002060"/>
          <w:spacing w:val="1"/>
          <w:sz w:val="24"/>
          <w:szCs w:val="24"/>
          <w:lang w:eastAsia="ru-RU"/>
        </w:rPr>
        <w:t xml:space="preserve">тыс. рублей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134"/>
        <w:gridCol w:w="1560"/>
        <w:gridCol w:w="1417"/>
        <w:gridCol w:w="1276"/>
      </w:tblGrid>
      <w:tr w:rsidR="007A77E7" w:rsidRPr="007A77E7" w14:paraId="2151EDD6" w14:textId="77777777" w:rsidTr="00156793">
        <w:trPr>
          <w:tblHeader/>
        </w:trPr>
        <w:tc>
          <w:tcPr>
            <w:tcW w:w="3969" w:type="dxa"/>
            <w:shd w:val="clear" w:color="auto" w:fill="D9E2F3" w:themeFill="accent1" w:themeFillTint="33"/>
          </w:tcPr>
          <w:p w14:paraId="49C91E1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Наименование расходов</w:t>
            </w:r>
          </w:p>
        </w:tc>
        <w:tc>
          <w:tcPr>
            <w:tcW w:w="1134" w:type="dxa"/>
            <w:shd w:val="clear" w:color="auto" w:fill="D9E2F3" w:themeFill="accent1" w:themeFillTint="33"/>
          </w:tcPr>
          <w:p w14:paraId="43956819" w14:textId="77777777" w:rsidR="007A77E7" w:rsidRPr="007A77E7" w:rsidRDefault="007A77E7" w:rsidP="007A77E7">
            <w:pPr>
              <w:widowControl w:val="0"/>
              <w:autoSpaceDE w:val="0"/>
              <w:autoSpaceDN w:val="0"/>
              <w:adjustRightInd w:val="0"/>
              <w:spacing w:after="0" w:line="240" w:lineRule="auto"/>
              <w:ind w:left="-103" w:right="-167"/>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Раздел, подраздел</w:t>
            </w:r>
          </w:p>
        </w:tc>
        <w:tc>
          <w:tcPr>
            <w:tcW w:w="1560" w:type="dxa"/>
            <w:shd w:val="clear" w:color="auto" w:fill="D9E2F3" w:themeFill="accent1" w:themeFillTint="33"/>
          </w:tcPr>
          <w:p w14:paraId="55C762F1" w14:textId="77777777" w:rsidR="007A77E7" w:rsidRPr="007A77E7" w:rsidRDefault="007A77E7" w:rsidP="007A77E7">
            <w:pPr>
              <w:widowControl w:val="0"/>
              <w:tabs>
                <w:tab w:val="left" w:pos="-6375"/>
              </w:tabs>
              <w:autoSpaceDE w:val="0"/>
              <w:autoSpaceDN w:val="0"/>
              <w:adjustRightInd w:val="0"/>
              <w:spacing w:after="0" w:line="240" w:lineRule="auto"/>
              <w:ind w:left="-109" w:right="-108"/>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 xml:space="preserve">Утверждено </w:t>
            </w:r>
          </w:p>
          <w:p w14:paraId="5D2BABEA"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законом о бюджете</w:t>
            </w:r>
          </w:p>
        </w:tc>
        <w:tc>
          <w:tcPr>
            <w:tcW w:w="1417" w:type="dxa"/>
            <w:shd w:val="clear" w:color="auto" w:fill="D9E2F3" w:themeFill="accent1" w:themeFillTint="33"/>
          </w:tcPr>
          <w:p w14:paraId="6F6F0D37"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Утверждено бюджетной росписью (уточненная)</w:t>
            </w:r>
          </w:p>
        </w:tc>
        <w:tc>
          <w:tcPr>
            <w:tcW w:w="1276" w:type="dxa"/>
            <w:shd w:val="clear" w:color="auto" w:fill="D9E2F3" w:themeFill="accent1" w:themeFillTint="33"/>
          </w:tcPr>
          <w:p w14:paraId="125AF5B0"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Отклонения</w:t>
            </w:r>
          </w:p>
          <w:p w14:paraId="46901A68"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 -)</w:t>
            </w:r>
          </w:p>
        </w:tc>
      </w:tr>
      <w:tr w:rsidR="007A77E7" w:rsidRPr="007A77E7" w14:paraId="3DFA59B1" w14:textId="77777777" w:rsidTr="00545B6E">
        <w:trPr>
          <w:trHeight w:val="250"/>
        </w:trPr>
        <w:tc>
          <w:tcPr>
            <w:tcW w:w="3969" w:type="dxa"/>
          </w:tcPr>
          <w:p w14:paraId="5F1DED5A"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Расходы – всего</w:t>
            </w:r>
          </w:p>
        </w:tc>
        <w:tc>
          <w:tcPr>
            <w:tcW w:w="1134" w:type="dxa"/>
          </w:tcPr>
          <w:p w14:paraId="1A2781E5"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p>
        </w:tc>
        <w:tc>
          <w:tcPr>
            <w:tcW w:w="1560" w:type="dxa"/>
          </w:tcPr>
          <w:p w14:paraId="78AEECC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175 986 374,0</w:t>
            </w:r>
          </w:p>
        </w:tc>
        <w:tc>
          <w:tcPr>
            <w:tcW w:w="1417" w:type="dxa"/>
            <w:vAlign w:val="center"/>
          </w:tcPr>
          <w:p w14:paraId="69BD9BA7" w14:textId="77777777" w:rsidR="007A77E7" w:rsidRPr="007A77E7" w:rsidRDefault="007A77E7" w:rsidP="007A77E7">
            <w:pPr>
              <w:widowControl w:val="0"/>
              <w:autoSpaceDE w:val="0"/>
              <w:autoSpaceDN w:val="0"/>
              <w:adjustRightInd w:val="0"/>
              <w:spacing w:after="0" w:line="240" w:lineRule="auto"/>
              <w:ind w:left="-105" w:right="-57"/>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182 954 728,2</w:t>
            </w:r>
          </w:p>
        </w:tc>
        <w:tc>
          <w:tcPr>
            <w:tcW w:w="1276" w:type="dxa"/>
          </w:tcPr>
          <w:p w14:paraId="2A09331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+6 968 354,2</w:t>
            </w:r>
          </w:p>
        </w:tc>
      </w:tr>
      <w:tr w:rsidR="007A77E7" w:rsidRPr="007A77E7" w14:paraId="484A9D61" w14:textId="77777777" w:rsidTr="00545B6E">
        <w:trPr>
          <w:trHeight w:val="143"/>
        </w:trPr>
        <w:tc>
          <w:tcPr>
            <w:tcW w:w="3969" w:type="dxa"/>
          </w:tcPr>
          <w:p w14:paraId="484FAEB2"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Общегосударственные вопросы</w:t>
            </w:r>
          </w:p>
        </w:tc>
        <w:tc>
          <w:tcPr>
            <w:tcW w:w="1134" w:type="dxa"/>
          </w:tcPr>
          <w:p w14:paraId="33EDC2E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0100</w:t>
            </w:r>
          </w:p>
        </w:tc>
        <w:tc>
          <w:tcPr>
            <w:tcW w:w="1560" w:type="dxa"/>
          </w:tcPr>
          <w:p w14:paraId="4359C78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5 238 003,6</w:t>
            </w:r>
          </w:p>
        </w:tc>
        <w:tc>
          <w:tcPr>
            <w:tcW w:w="1417" w:type="dxa"/>
            <w:vAlign w:val="center"/>
          </w:tcPr>
          <w:p w14:paraId="6648F3D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4 894 353,2</w:t>
            </w:r>
          </w:p>
        </w:tc>
        <w:tc>
          <w:tcPr>
            <w:tcW w:w="1276" w:type="dxa"/>
          </w:tcPr>
          <w:p w14:paraId="17C0535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-343 650,4</w:t>
            </w:r>
          </w:p>
        </w:tc>
      </w:tr>
      <w:tr w:rsidR="007A77E7" w:rsidRPr="007A77E7" w14:paraId="037923EC" w14:textId="77777777" w:rsidTr="00545B6E">
        <w:tc>
          <w:tcPr>
            <w:tcW w:w="3969" w:type="dxa"/>
          </w:tcPr>
          <w:p w14:paraId="71846B7A"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Национальная оборона</w:t>
            </w:r>
          </w:p>
        </w:tc>
        <w:tc>
          <w:tcPr>
            <w:tcW w:w="1134" w:type="dxa"/>
          </w:tcPr>
          <w:p w14:paraId="001C0DF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0200</w:t>
            </w:r>
          </w:p>
        </w:tc>
        <w:tc>
          <w:tcPr>
            <w:tcW w:w="1560" w:type="dxa"/>
          </w:tcPr>
          <w:p w14:paraId="4F50DD9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112 082,4</w:t>
            </w:r>
          </w:p>
        </w:tc>
        <w:tc>
          <w:tcPr>
            <w:tcW w:w="1417" w:type="dxa"/>
            <w:vAlign w:val="center"/>
          </w:tcPr>
          <w:p w14:paraId="6C52361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112 082,4</w:t>
            </w:r>
          </w:p>
        </w:tc>
        <w:tc>
          <w:tcPr>
            <w:tcW w:w="1276" w:type="dxa"/>
          </w:tcPr>
          <w:p w14:paraId="28F2BE3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r>
      <w:tr w:rsidR="007A77E7" w:rsidRPr="007A77E7" w14:paraId="3A6C2E0C" w14:textId="77777777" w:rsidTr="00545B6E">
        <w:tc>
          <w:tcPr>
            <w:tcW w:w="3969" w:type="dxa"/>
          </w:tcPr>
          <w:p w14:paraId="5963CE94"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77E7">
              <w:rPr>
                <w:rFonts w:ascii="Times New Roman" w:eastAsia="Times New Roman" w:hAnsi="Times New Roman" w:cs="Times New Roman"/>
                <w:bCs/>
                <w:sz w:val="20"/>
                <w:szCs w:val="20"/>
                <w:lang w:eastAsia="ru-RU"/>
              </w:rPr>
              <w:t xml:space="preserve">Национальная безопасность и </w:t>
            </w:r>
            <w:r w:rsidRPr="007A77E7">
              <w:rPr>
                <w:rFonts w:ascii="Times New Roman" w:eastAsia="Times New Roman" w:hAnsi="Times New Roman" w:cs="Times New Roman"/>
                <w:bCs/>
                <w:sz w:val="20"/>
                <w:szCs w:val="20"/>
                <w:lang w:eastAsia="ru-RU"/>
              </w:rPr>
              <w:lastRenderedPageBreak/>
              <w:t>правоохранительная деятельность</w:t>
            </w:r>
          </w:p>
        </w:tc>
        <w:tc>
          <w:tcPr>
            <w:tcW w:w="1134" w:type="dxa"/>
          </w:tcPr>
          <w:p w14:paraId="64F8E64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lastRenderedPageBreak/>
              <w:t>0300</w:t>
            </w:r>
          </w:p>
        </w:tc>
        <w:tc>
          <w:tcPr>
            <w:tcW w:w="1560" w:type="dxa"/>
          </w:tcPr>
          <w:p w14:paraId="3BA7C5F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2 348 185,6</w:t>
            </w:r>
          </w:p>
        </w:tc>
        <w:tc>
          <w:tcPr>
            <w:tcW w:w="1417" w:type="dxa"/>
            <w:vAlign w:val="center"/>
          </w:tcPr>
          <w:p w14:paraId="2E62F5E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2 358 123,6</w:t>
            </w:r>
          </w:p>
        </w:tc>
        <w:tc>
          <w:tcPr>
            <w:tcW w:w="1276" w:type="dxa"/>
          </w:tcPr>
          <w:p w14:paraId="257FFF2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+9 938,0</w:t>
            </w:r>
          </w:p>
        </w:tc>
      </w:tr>
      <w:tr w:rsidR="007A77E7" w:rsidRPr="007A77E7" w14:paraId="255CA520" w14:textId="77777777" w:rsidTr="00545B6E">
        <w:tc>
          <w:tcPr>
            <w:tcW w:w="3969" w:type="dxa"/>
          </w:tcPr>
          <w:p w14:paraId="632F42A5"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Национальная экономика</w:t>
            </w:r>
          </w:p>
        </w:tc>
        <w:tc>
          <w:tcPr>
            <w:tcW w:w="1134" w:type="dxa"/>
          </w:tcPr>
          <w:p w14:paraId="271CAE4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0400</w:t>
            </w:r>
          </w:p>
        </w:tc>
        <w:tc>
          <w:tcPr>
            <w:tcW w:w="1560" w:type="dxa"/>
          </w:tcPr>
          <w:p w14:paraId="12578B3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20 608 389,4</w:t>
            </w:r>
          </w:p>
        </w:tc>
        <w:tc>
          <w:tcPr>
            <w:tcW w:w="1417" w:type="dxa"/>
            <w:vAlign w:val="center"/>
          </w:tcPr>
          <w:p w14:paraId="43840B7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20 872 590,4</w:t>
            </w:r>
          </w:p>
        </w:tc>
        <w:tc>
          <w:tcPr>
            <w:tcW w:w="1276" w:type="dxa"/>
          </w:tcPr>
          <w:p w14:paraId="3BB8388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+264 201.0</w:t>
            </w:r>
          </w:p>
        </w:tc>
      </w:tr>
      <w:tr w:rsidR="007A77E7" w:rsidRPr="007A77E7" w14:paraId="21077ED0" w14:textId="77777777" w:rsidTr="00545B6E">
        <w:tc>
          <w:tcPr>
            <w:tcW w:w="3969" w:type="dxa"/>
          </w:tcPr>
          <w:p w14:paraId="6E37848E"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Жилищно-коммунальное хозяйство</w:t>
            </w:r>
          </w:p>
        </w:tc>
        <w:tc>
          <w:tcPr>
            <w:tcW w:w="1134" w:type="dxa"/>
          </w:tcPr>
          <w:p w14:paraId="62E523C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0500</w:t>
            </w:r>
          </w:p>
        </w:tc>
        <w:tc>
          <w:tcPr>
            <w:tcW w:w="1560" w:type="dxa"/>
          </w:tcPr>
          <w:p w14:paraId="0B9BAF8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8 016 610,0</w:t>
            </w:r>
          </w:p>
        </w:tc>
        <w:tc>
          <w:tcPr>
            <w:tcW w:w="1417" w:type="dxa"/>
            <w:vAlign w:val="center"/>
          </w:tcPr>
          <w:p w14:paraId="6EA9235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8 006 854,9</w:t>
            </w:r>
          </w:p>
        </w:tc>
        <w:tc>
          <w:tcPr>
            <w:tcW w:w="1276" w:type="dxa"/>
          </w:tcPr>
          <w:p w14:paraId="69BD5F8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-9 755,1</w:t>
            </w:r>
          </w:p>
        </w:tc>
      </w:tr>
      <w:tr w:rsidR="007A77E7" w:rsidRPr="007A77E7" w14:paraId="65A7AD22" w14:textId="77777777" w:rsidTr="00545B6E">
        <w:tc>
          <w:tcPr>
            <w:tcW w:w="3969" w:type="dxa"/>
          </w:tcPr>
          <w:p w14:paraId="3798BC31"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Охрана окружающей среды</w:t>
            </w:r>
          </w:p>
        </w:tc>
        <w:tc>
          <w:tcPr>
            <w:tcW w:w="1134" w:type="dxa"/>
          </w:tcPr>
          <w:p w14:paraId="79787A5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0600</w:t>
            </w:r>
          </w:p>
        </w:tc>
        <w:tc>
          <w:tcPr>
            <w:tcW w:w="1560" w:type="dxa"/>
          </w:tcPr>
          <w:p w14:paraId="1DFA53F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257 673,1</w:t>
            </w:r>
          </w:p>
        </w:tc>
        <w:tc>
          <w:tcPr>
            <w:tcW w:w="1417" w:type="dxa"/>
            <w:vAlign w:val="center"/>
          </w:tcPr>
          <w:p w14:paraId="2773139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249 534,7</w:t>
            </w:r>
          </w:p>
        </w:tc>
        <w:tc>
          <w:tcPr>
            <w:tcW w:w="1276" w:type="dxa"/>
          </w:tcPr>
          <w:p w14:paraId="04C3C6A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-8 138,4</w:t>
            </w:r>
          </w:p>
        </w:tc>
      </w:tr>
      <w:tr w:rsidR="007A77E7" w:rsidRPr="007A77E7" w14:paraId="5AE44EA1" w14:textId="77777777" w:rsidTr="00545B6E">
        <w:tc>
          <w:tcPr>
            <w:tcW w:w="3969" w:type="dxa"/>
          </w:tcPr>
          <w:p w14:paraId="6CA9D65A"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Образование</w:t>
            </w:r>
          </w:p>
        </w:tc>
        <w:tc>
          <w:tcPr>
            <w:tcW w:w="1134" w:type="dxa"/>
          </w:tcPr>
          <w:p w14:paraId="4A91353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0700</w:t>
            </w:r>
          </w:p>
        </w:tc>
        <w:tc>
          <w:tcPr>
            <w:tcW w:w="1560" w:type="dxa"/>
          </w:tcPr>
          <w:p w14:paraId="3FB2E52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59 333 975,5</w:t>
            </w:r>
          </w:p>
        </w:tc>
        <w:tc>
          <w:tcPr>
            <w:tcW w:w="1417" w:type="dxa"/>
            <w:vAlign w:val="center"/>
          </w:tcPr>
          <w:p w14:paraId="4D0D09A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59 194 515,2</w:t>
            </w:r>
          </w:p>
        </w:tc>
        <w:tc>
          <w:tcPr>
            <w:tcW w:w="1276" w:type="dxa"/>
          </w:tcPr>
          <w:p w14:paraId="0837AC9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-139 460,3</w:t>
            </w:r>
          </w:p>
        </w:tc>
      </w:tr>
      <w:tr w:rsidR="007A77E7" w:rsidRPr="007A77E7" w14:paraId="304A252F" w14:textId="77777777" w:rsidTr="00545B6E">
        <w:tc>
          <w:tcPr>
            <w:tcW w:w="3969" w:type="dxa"/>
          </w:tcPr>
          <w:p w14:paraId="03A95E6B"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 xml:space="preserve">Культура и кинематография </w:t>
            </w:r>
          </w:p>
        </w:tc>
        <w:tc>
          <w:tcPr>
            <w:tcW w:w="1134" w:type="dxa"/>
          </w:tcPr>
          <w:p w14:paraId="1397DFE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0800</w:t>
            </w:r>
          </w:p>
        </w:tc>
        <w:tc>
          <w:tcPr>
            <w:tcW w:w="1560" w:type="dxa"/>
          </w:tcPr>
          <w:p w14:paraId="4474664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2 364 443.9</w:t>
            </w:r>
          </w:p>
        </w:tc>
        <w:tc>
          <w:tcPr>
            <w:tcW w:w="1417" w:type="dxa"/>
            <w:vAlign w:val="center"/>
          </w:tcPr>
          <w:p w14:paraId="4084535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2 366 355,5</w:t>
            </w:r>
          </w:p>
        </w:tc>
        <w:tc>
          <w:tcPr>
            <w:tcW w:w="1276" w:type="dxa"/>
          </w:tcPr>
          <w:p w14:paraId="2F7ED8A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+1 911,6</w:t>
            </w:r>
          </w:p>
        </w:tc>
      </w:tr>
      <w:tr w:rsidR="007A77E7" w:rsidRPr="007A77E7" w14:paraId="08032324" w14:textId="77777777" w:rsidTr="00545B6E">
        <w:tc>
          <w:tcPr>
            <w:tcW w:w="3969" w:type="dxa"/>
          </w:tcPr>
          <w:p w14:paraId="27813D7D"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 xml:space="preserve">Здравоохранение </w:t>
            </w:r>
          </w:p>
        </w:tc>
        <w:tc>
          <w:tcPr>
            <w:tcW w:w="1134" w:type="dxa"/>
          </w:tcPr>
          <w:p w14:paraId="2420ADD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0900</w:t>
            </w:r>
          </w:p>
        </w:tc>
        <w:tc>
          <w:tcPr>
            <w:tcW w:w="1560" w:type="dxa"/>
          </w:tcPr>
          <w:p w14:paraId="14B9EB3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12 590 909,6</w:t>
            </w:r>
          </w:p>
        </w:tc>
        <w:tc>
          <w:tcPr>
            <w:tcW w:w="1417" w:type="dxa"/>
            <w:vAlign w:val="center"/>
          </w:tcPr>
          <w:p w14:paraId="3B82971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15 773 915,1</w:t>
            </w:r>
          </w:p>
        </w:tc>
        <w:tc>
          <w:tcPr>
            <w:tcW w:w="1276" w:type="dxa"/>
          </w:tcPr>
          <w:p w14:paraId="1BEA567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+3 183 005,5</w:t>
            </w:r>
          </w:p>
        </w:tc>
      </w:tr>
      <w:tr w:rsidR="007A77E7" w:rsidRPr="007A77E7" w14:paraId="76538F25" w14:textId="77777777" w:rsidTr="00545B6E">
        <w:tc>
          <w:tcPr>
            <w:tcW w:w="3969" w:type="dxa"/>
          </w:tcPr>
          <w:p w14:paraId="7B67D9BE"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Социальная политика</w:t>
            </w:r>
          </w:p>
        </w:tc>
        <w:tc>
          <w:tcPr>
            <w:tcW w:w="1134" w:type="dxa"/>
          </w:tcPr>
          <w:p w14:paraId="5A193AA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1000</w:t>
            </w:r>
          </w:p>
        </w:tc>
        <w:tc>
          <w:tcPr>
            <w:tcW w:w="1560" w:type="dxa"/>
          </w:tcPr>
          <w:p w14:paraId="14EC9AA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51 637 362,4</w:t>
            </w:r>
          </w:p>
        </w:tc>
        <w:tc>
          <w:tcPr>
            <w:tcW w:w="1417" w:type="dxa"/>
            <w:vAlign w:val="center"/>
          </w:tcPr>
          <w:p w14:paraId="53F594B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55 651 376,2</w:t>
            </w:r>
          </w:p>
        </w:tc>
        <w:tc>
          <w:tcPr>
            <w:tcW w:w="1276" w:type="dxa"/>
          </w:tcPr>
          <w:p w14:paraId="0F56219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+4 014 013,8</w:t>
            </w:r>
          </w:p>
        </w:tc>
      </w:tr>
      <w:tr w:rsidR="007A77E7" w:rsidRPr="007A77E7" w14:paraId="0746DA71" w14:textId="77777777" w:rsidTr="00545B6E">
        <w:tc>
          <w:tcPr>
            <w:tcW w:w="3969" w:type="dxa"/>
          </w:tcPr>
          <w:p w14:paraId="7EA770DA"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Физическая культура и спорт</w:t>
            </w:r>
          </w:p>
        </w:tc>
        <w:tc>
          <w:tcPr>
            <w:tcW w:w="1134" w:type="dxa"/>
          </w:tcPr>
          <w:p w14:paraId="78A1697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1100</w:t>
            </w:r>
          </w:p>
        </w:tc>
        <w:tc>
          <w:tcPr>
            <w:tcW w:w="1560" w:type="dxa"/>
          </w:tcPr>
          <w:p w14:paraId="6358917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3 228 952,8</w:t>
            </w:r>
          </w:p>
        </w:tc>
        <w:tc>
          <w:tcPr>
            <w:tcW w:w="1417" w:type="dxa"/>
            <w:vAlign w:val="center"/>
          </w:tcPr>
          <w:p w14:paraId="57D2415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3 225 206.4</w:t>
            </w:r>
          </w:p>
        </w:tc>
        <w:tc>
          <w:tcPr>
            <w:tcW w:w="1276" w:type="dxa"/>
          </w:tcPr>
          <w:p w14:paraId="3821E47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-3 746,4</w:t>
            </w:r>
          </w:p>
        </w:tc>
      </w:tr>
      <w:tr w:rsidR="007A77E7" w:rsidRPr="007A77E7" w14:paraId="351488F9" w14:textId="77777777" w:rsidTr="00545B6E">
        <w:tc>
          <w:tcPr>
            <w:tcW w:w="3969" w:type="dxa"/>
          </w:tcPr>
          <w:p w14:paraId="4436C46B"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Средства массовой информации</w:t>
            </w:r>
          </w:p>
        </w:tc>
        <w:tc>
          <w:tcPr>
            <w:tcW w:w="1134" w:type="dxa"/>
          </w:tcPr>
          <w:p w14:paraId="041A0C8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1200</w:t>
            </w:r>
          </w:p>
        </w:tc>
        <w:tc>
          <w:tcPr>
            <w:tcW w:w="1560" w:type="dxa"/>
          </w:tcPr>
          <w:p w14:paraId="765F276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492 110,2</w:t>
            </w:r>
          </w:p>
        </w:tc>
        <w:tc>
          <w:tcPr>
            <w:tcW w:w="1417" w:type="dxa"/>
            <w:vAlign w:val="center"/>
          </w:tcPr>
          <w:p w14:paraId="3B767EA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492 145,1</w:t>
            </w:r>
          </w:p>
        </w:tc>
        <w:tc>
          <w:tcPr>
            <w:tcW w:w="1276" w:type="dxa"/>
          </w:tcPr>
          <w:p w14:paraId="4BE541A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+34,9</w:t>
            </w:r>
          </w:p>
        </w:tc>
      </w:tr>
      <w:tr w:rsidR="007A77E7" w:rsidRPr="007A77E7" w14:paraId="635661FA" w14:textId="77777777" w:rsidTr="00545B6E">
        <w:tc>
          <w:tcPr>
            <w:tcW w:w="3969" w:type="dxa"/>
          </w:tcPr>
          <w:p w14:paraId="6FD7821C"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Обслуживание государственного долга</w:t>
            </w:r>
          </w:p>
        </w:tc>
        <w:tc>
          <w:tcPr>
            <w:tcW w:w="1134" w:type="dxa"/>
          </w:tcPr>
          <w:p w14:paraId="39A75B3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1300</w:t>
            </w:r>
          </w:p>
        </w:tc>
        <w:tc>
          <w:tcPr>
            <w:tcW w:w="1560" w:type="dxa"/>
          </w:tcPr>
          <w:p w14:paraId="64632E4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8 770,8</w:t>
            </w:r>
          </w:p>
        </w:tc>
        <w:tc>
          <w:tcPr>
            <w:tcW w:w="1417" w:type="dxa"/>
            <w:vAlign w:val="center"/>
          </w:tcPr>
          <w:p w14:paraId="4BF48B0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sz w:val="20"/>
                <w:szCs w:val="20"/>
                <w:lang w:eastAsia="ru-RU"/>
              </w:rPr>
              <w:t>8 770,8</w:t>
            </w:r>
          </w:p>
        </w:tc>
        <w:tc>
          <w:tcPr>
            <w:tcW w:w="1276" w:type="dxa"/>
          </w:tcPr>
          <w:p w14:paraId="7F866ED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r>
      <w:tr w:rsidR="007A77E7" w:rsidRPr="007A77E7" w14:paraId="1DF6D8C2" w14:textId="77777777" w:rsidTr="00545B6E">
        <w:tc>
          <w:tcPr>
            <w:tcW w:w="3969" w:type="dxa"/>
          </w:tcPr>
          <w:p w14:paraId="03F99F0C"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Межбюджетные трансферты</w:t>
            </w:r>
          </w:p>
        </w:tc>
        <w:tc>
          <w:tcPr>
            <w:tcW w:w="1134" w:type="dxa"/>
          </w:tcPr>
          <w:p w14:paraId="1A57401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1400</w:t>
            </w:r>
          </w:p>
        </w:tc>
        <w:tc>
          <w:tcPr>
            <w:tcW w:w="1560" w:type="dxa"/>
          </w:tcPr>
          <w:p w14:paraId="2041823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9 748 904,7</w:t>
            </w:r>
          </w:p>
        </w:tc>
        <w:tc>
          <w:tcPr>
            <w:tcW w:w="1417" w:type="dxa"/>
            <w:vAlign w:val="center"/>
          </w:tcPr>
          <w:p w14:paraId="0C2CB6F2" w14:textId="77777777" w:rsidR="007A77E7" w:rsidRPr="007A77E7" w:rsidRDefault="007A77E7" w:rsidP="007A77E7">
            <w:pPr>
              <w:widowControl w:val="0"/>
              <w:autoSpaceDE w:val="0"/>
              <w:autoSpaceDN w:val="0"/>
              <w:adjustRightInd w:val="0"/>
              <w:spacing w:after="0" w:line="240" w:lineRule="auto"/>
              <w:ind w:left="-105" w:right="-57"/>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Cs/>
                <w:sz w:val="20"/>
                <w:szCs w:val="20"/>
                <w:lang w:eastAsia="ru-RU"/>
              </w:rPr>
              <w:t>9 748 904,7</w:t>
            </w:r>
          </w:p>
        </w:tc>
        <w:tc>
          <w:tcPr>
            <w:tcW w:w="1276" w:type="dxa"/>
          </w:tcPr>
          <w:p w14:paraId="2A73224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Cs/>
                <w:sz w:val="20"/>
                <w:szCs w:val="20"/>
                <w:lang w:eastAsia="ru-RU"/>
              </w:rPr>
            </w:pPr>
            <w:r w:rsidRPr="007A77E7">
              <w:rPr>
                <w:rFonts w:ascii="Times New Roman" w:eastAsia="Times New Roman" w:hAnsi="Times New Roman" w:cs="Times New Roman"/>
                <w:bCs/>
                <w:sz w:val="20"/>
                <w:szCs w:val="20"/>
                <w:lang w:eastAsia="ru-RU"/>
              </w:rPr>
              <w:t>0,0</w:t>
            </w:r>
          </w:p>
        </w:tc>
      </w:tr>
    </w:tbl>
    <w:p w14:paraId="21E6519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BD4A96E" w14:textId="77777777" w:rsidR="007A77E7" w:rsidRPr="007A77E7" w:rsidRDefault="007A77E7" w:rsidP="00EF65E4">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связи с увеличением в 2021 году объема поступлений из федерального бюджета субвенций на осуществление ежемесячных выплат на детей от 3-х до 7 лет (на 2 713 820,2 тыс. рублей), субвенций на осуществление ежемесячных выплат в связи с рождением первого ребенка (на 936 135,5 тыс. рублей), субвенций на осуществление социальных выплат безработным гражданам (на 302 540.8 тыс. рублей), а также межбюджетных трансфертов за счет средств резервного фонда Правительства Российской Федерации (на 3 194 531,1 тыс. рублей) уточненной сводной бюджетной росписью на 2021 год наиболее значительно увеличены расходы по разделу «Социальная политика» - на 4 014 013.8 тыс. рублей, или на 7,8 % и по разделу «Здравоохранение» - на 3 182 005.5 тыс. рублей, или на 25,3 %.</w:t>
      </w:r>
    </w:p>
    <w:p w14:paraId="4874B4CE" w14:textId="77777777" w:rsidR="007A77E7" w:rsidRPr="007A77E7" w:rsidRDefault="007A77E7" w:rsidP="00EF65E4">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2021 году при утвержденных назначениях по расходам в сумме 182 954 728,2 тыс. рублей Министерством финансов Республики Дагестан расходы главных распорядителей и получателей бюджетных средств были профинансированы в сумме 181 735 590,5 тыс. рублей, или на 99,3 %. </w:t>
      </w:r>
    </w:p>
    <w:p w14:paraId="4049267E" w14:textId="77777777" w:rsidR="007A77E7" w:rsidRPr="007A77E7" w:rsidRDefault="007A77E7" w:rsidP="00EF65E4">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Общий объем недофинансирования за 2021 год составил 1 219 137,7 тыс. рублей, в том числе по разделам:</w:t>
      </w:r>
    </w:p>
    <w:p w14:paraId="51567994" w14:textId="77777777" w:rsidR="007A77E7" w:rsidRP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«Общегосударственные вопросы» (0100) – 113 056,5 тыс. рублей;</w:t>
      </w:r>
    </w:p>
    <w:p w14:paraId="7D82F961" w14:textId="77777777" w:rsidR="007A77E7" w:rsidRP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«Национальная безопасность и правоохранительная деятельность» – 61 862,5 тыс. рублей;</w:t>
      </w:r>
    </w:p>
    <w:p w14:paraId="24A5FD8B" w14:textId="77777777" w:rsidR="007A77E7" w:rsidRP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«Национальная экономика» (0400) – 318 840,2 тыс. рублей;</w:t>
      </w:r>
    </w:p>
    <w:p w14:paraId="0EFC885A" w14:textId="77777777" w:rsidR="007A77E7" w:rsidRP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«Жилищно-коммунальное хозяйство» (0500) – 40 000,0 тыс. рублей; </w:t>
      </w:r>
    </w:p>
    <w:p w14:paraId="0907A9C8" w14:textId="77777777" w:rsidR="007A77E7" w:rsidRP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«Образование» (0700) – 565 376,3 тыс. рублей;</w:t>
      </w:r>
    </w:p>
    <w:p w14:paraId="06092345" w14:textId="77777777" w:rsidR="007A77E7" w:rsidRP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«Здравоохранение» (0900) – 120 002,1 тыс. рублей. </w:t>
      </w:r>
    </w:p>
    <w:p w14:paraId="7587341B" w14:textId="77777777" w:rsidR="007A77E7" w:rsidRP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Так, поступление межбюджетных трансфертов из федерального бюджета в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квартале 2021 года составило 26 980 199,1 тыс. рублей, или </w:t>
      </w:r>
      <w:r w:rsidRPr="007A77E7">
        <w:rPr>
          <w:rFonts w:ascii="Times New Roman" w:eastAsia="Times New Roman" w:hAnsi="Times New Roman" w:cs="Times New Roman"/>
          <w:sz w:val="28"/>
          <w:szCs w:val="28"/>
          <w:lang w:eastAsia="ru-RU"/>
        </w:rPr>
        <w:br/>
        <w:t xml:space="preserve">20,8 % к общему объему поступивших межбюджетных трансфертов (130 016 254,9 тыс. рублей) и собственных доходов – 6 905 758,2 тыс. рублей, </w:t>
      </w:r>
      <w:r w:rsidRPr="007A77E7">
        <w:rPr>
          <w:rFonts w:ascii="Times New Roman" w:eastAsia="Times New Roman" w:hAnsi="Times New Roman" w:cs="Times New Roman"/>
          <w:sz w:val="28"/>
          <w:szCs w:val="28"/>
          <w:lang w:eastAsia="ru-RU"/>
        </w:rPr>
        <w:lastRenderedPageBreak/>
        <w:t xml:space="preserve">или 16,5 % к общему объему поступивших доходов (41 734 515,7 тыс. рублей), во </w:t>
      </w:r>
      <w:r w:rsidRPr="007A77E7">
        <w:rPr>
          <w:rFonts w:ascii="Times New Roman" w:eastAsia="Times New Roman" w:hAnsi="Times New Roman" w:cs="Times New Roman"/>
          <w:sz w:val="28"/>
          <w:szCs w:val="28"/>
          <w:lang w:val="en-US" w:eastAsia="ru-RU"/>
        </w:rPr>
        <w:t>II</w:t>
      </w:r>
      <w:r w:rsidRPr="007A77E7">
        <w:rPr>
          <w:rFonts w:ascii="Times New Roman" w:eastAsia="Times New Roman" w:hAnsi="Times New Roman" w:cs="Times New Roman"/>
          <w:sz w:val="28"/>
          <w:szCs w:val="28"/>
          <w:lang w:eastAsia="ru-RU"/>
        </w:rPr>
        <w:t xml:space="preserve"> квартале 2021 года – соответственно 29 812 476,5 тыс. рублей, или 22,9 % и 12 377 997,6 тыс. рублей, или 29,7%, в </w:t>
      </w:r>
      <w:r w:rsidRPr="007A77E7">
        <w:rPr>
          <w:rFonts w:ascii="Times New Roman" w:eastAsia="Times New Roman" w:hAnsi="Times New Roman" w:cs="Times New Roman"/>
          <w:sz w:val="28"/>
          <w:szCs w:val="28"/>
          <w:lang w:val="en-US" w:eastAsia="ru-RU"/>
        </w:rPr>
        <w:t>III</w:t>
      </w:r>
      <w:r w:rsidRPr="007A77E7">
        <w:rPr>
          <w:rFonts w:ascii="Times New Roman" w:eastAsia="Times New Roman" w:hAnsi="Times New Roman" w:cs="Times New Roman"/>
          <w:sz w:val="28"/>
          <w:szCs w:val="28"/>
          <w:lang w:eastAsia="ru-RU"/>
        </w:rPr>
        <w:t xml:space="preserve"> квартале 2021 года – соответственно 32 109 782,5 тыс. рублей, или 24,7 % и 8 359 951,1 тыс. рублей, или 20,0 %, в </w:t>
      </w:r>
      <w:r w:rsidRPr="007A77E7">
        <w:rPr>
          <w:rFonts w:ascii="Times New Roman" w:eastAsia="Times New Roman" w:hAnsi="Times New Roman" w:cs="Times New Roman"/>
          <w:sz w:val="28"/>
          <w:szCs w:val="28"/>
          <w:lang w:val="en-US" w:eastAsia="ru-RU"/>
        </w:rPr>
        <w:t>IV</w:t>
      </w:r>
      <w:r w:rsidRPr="007A77E7">
        <w:rPr>
          <w:rFonts w:ascii="Times New Roman" w:eastAsia="Times New Roman" w:hAnsi="Times New Roman" w:cs="Times New Roman"/>
          <w:sz w:val="28"/>
          <w:szCs w:val="28"/>
          <w:lang w:eastAsia="ru-RU"/>
        </w:rPr>
        <w:t xml:space="preserve"> квартале 2020 года – соответственно 41 113 796,8 тыс. рублей, или 31,6% и 14 090 808,8 тыс. рублей, или 33,8%.  </w:t>
      </w:r>
    </w:p>
    <w:p w14:paraId="5EE6F255" w14:textId="6557C58C" w:rsidR="007A77E7" w:rsidRPr="007A77E7" w:rsidRDefault="006E435F"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7A77E7" w:rsidRPr="007A77E7">
        <w:rPr>
          <w:rFonts w:ascii="Times New Roman" w:eastAsia="Times New Roman" w:hAnsi="Times New Roman" w:cs="Times New Roman"/>
          <w:sz w:val="28"/>
          <w:szCs w:val="28"/>
          <w:lang w:eastAsia="ru-RU"/>
        </w:rPr>
        <w:t xml:space="preserve">асходы главных распорядителей и получателей средств республиканского бюджета </w:t>
      </w:r>
      <w:r w:rsidR="007A77E7" w:rsidRPr="007A77E7">
        <w:rPr>
          <w:rFonts w:ascii="Times New Roman" w:eastAsia="Times New Roman" w:hAnsi="Times New Roman" w:cs="Times New Roman"/>
          <w:sz w:val="28"/>
          <w:szCs w:val="28"/>
          <w:lang w:eastAsia="ar-SA"/>
        </w:rPr>
        <w:t>Республики Дагестан</w:t>
      </w:r>
      <w:r w:rsidR="007A77E7" w:rsidRPr="007A77E7">
        <w:rPr>
          <w:rFonts w:ascii="Times New Roman" w:eastAsia="Times New Roman" w:hAnsi="Times New Roman" w:cs="Times New Roman"/>
          <w:sz w:val="28"/>
          <w:szCs w:val="28"/>
          <w:lang w:eastAsia="ru-RU"/>
        </w:rPr>
        <w:t xml:space="preserve"> в </w:t>
      </w:r>
      <w:r w:rsidR="007A77E7" w:rsidRPr="007A77E7">
        <w:rPr>
          <w:rFonts w:ascii="Times New Roman" w:eastAsia="Times New Roman" w:hAnsi="Times New Roman" w:cs="Times New Roman"/>
          <w:sz w:val="28"/>
          <w:szCs w:val="28"/>
          <w:lang w:val="en-US" w:eastAsia="ru-RU"/>
        </w:rPr>
        <w:t>I</w:t>
      </w:r>
      <w:r w:rsidR="007A77E7" w:rsidRPr="007A77E7">
        <w:rPr>
          <w:rFonts w:ascii="Times New Roman" w:eastAsia="Times New Roman" w:hAnsi="Times New Roman" w:cs="Times New Roman"/>
          <w:sz w:val="28"/>
          <w:szCs w:val="28"/>
          <w:lang w:eastAsia="ru-RU"/>
        </w:rPr>
        <w:t xml:space="preserve"> квартале 2021 года Министерством финансов Республики Дагестан профинансированы в общей сумме 34 670 873,8 тыс. рублей, что составляет 19,1 % к общему объему профинансированных расходов (181 735 590,5 тыс. рублей), во </w:t>
      </w:r>
      <w:r w:rsidR="007A77E7" w:rsidRPr="007A77E7">
        <w:rPr>
          <w:rFonts w:ascii="Times New Roman" w:eastAsia="Times New Roman" w:hAnsi="Times New Roman" w:cs="Times New Roman"/>
          <w:sz w:val="28"/>
          <w:szCs w:val="28"/>
          <w:lang w:val="en-US" w:eastAsia="ru-RU"/>
        </w:rPr>
        <w:t>II</w:t>
      </w:r>
      <w:r w:rsidR="007A77E7" w:rsidRPr="007A77E7">
        <w:rPr>
          <w:rFonts w:ascii="Times New Roman" w:eastAsia="Times New Roman" w:hAnsi="Times New Roman" w:cs="Times New Roman"/>
          <w:sz w:val="28"/>
          <w:szCs w:val="28"/>
          <w:lang w:eastAsia="ru-RU"/>
        </w:rPr>
        <w:t xml:space="preserve"> квартале 2021 года – в общей сумме 46 415 672,8 тыс. рублей, или 25,5 %, в </w:t>
      </w:r>
      <w:r w:rsidR="007A77E7" w:rsidRPr="007A77E7">
        <w:rPr>
          <w:rFonts w:ascii="Times New Roman" w:eastAsia="Times New Roman" w:hAnsi="Times New Roman" w:cs="Times New Roman"/>
          <w:sz w:val="28"/>
          <w:szCs w:val="28"/>
          <w:lang w:val="en-US" w:eastAsia="ru-RU"/>
        </w:rPr>
        <w:t>III</w:t>
      </w:r>
      <w:r w:rsidR="007A77E7" w:rsidRPr="007A77E7">
        <w:rPr>
          <w:rFonts w:ascii="Times New Roman" w:eastAsia="Times New Roman" w:hAnsi="Times New Roman" w:cs="Times New Roman"/>
          <w:sz w:val="28"/>
          <w:szCs w:val="28"/>
          <w:lang w:eastAsia="ru-RU"/>
        </w:rPr>
        <w:t xml:space="preserve"> квартале 2021 года – в общей сумме 42 090 943,8 тыс. рублей, или 23,2 % и в </w:t>
      </w:r>
      <w:r w:rsidR="007A77E7" w:rsidRPr="007A77E7">
        <w:rPr>
          <w:rFonts w:ascii="Times New Roman" w:eastAsia="Times New Roman" w:hAnsi="Times New Roman" w:cs="Times New Roman"/>
          <w:sz w:val="28"/>
          <w:szCs w:val="28"/>
          <w:lang w:val="en-US" w:eastAsia="ru-RU"/>
        </w:rPr>
        <w:t>IV</w:t>
      </w:r>
      <w:r w:rsidR="007A77E7" w:rsidRPr="007A77E7">
        <w:rPr>
          <w:rFonts w:ascii="Times New Roman" w:eastAsia="Times New Roman" w:hAnsi="Times New Roman" w:cs="Times New Roman"/>
          <w:sz w:val="28"/>
          <w:szCs w:val="28"/>
          <w:lang w:eastAsia="ru-RU"/>
        </w:rPr>
        <w:t xml:space="preserve"> квартале 2021 года – 58 558 100,1 тыс. рублей, или 32,2 %.</w:t>
      </w:r>
    </w:p>
    <w:p w14:paraId="5CEB90E7" w14:textId="754A7D14" w:rsidR="007A77E7"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Кассовые расходы за 2021 год составили 169 203 793,6 тыс. рублей, или 93,1 % к объему профинансированных расходов. Не исполнены бюджетные назначения в сумме 12 531 796,9 тыс. рублей.</w:t>
      </w:r>
    </w:p>
    <w:p w14:paraId="5422C895" w14:textId="4875226A" w:rsidR="007A77E7" w:rsidRPr="00475DAD" w:rsidRDefault="007A77E7" w:rsidP="00EF65E4">
      <w:pPr>
        <w:widowControl w:val="0"/>
        <w:shd w:val="clear" w:color="auto" w:fill="FFFFFF"/>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Исполнение расходов республиканского бюджета Республики Дагестан за 2021 год по разделам и подразделам бюджетной классификации расходов приведено в следующей таблице.</w:t>
      </w:r>
    </w:p>
    <w:p w14:paraId="50B61B84" w14:textId="4E46A144" w:rsidR="00E160D0" w:rsidRDefault="00475DAD" w:rsidP="00475DAD">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bCs/>
          <w:color w:val="002060"/>
          <w:sz w:val="20"/>
          <w:szCs w:val="20"/>
          <w:lang w:eastAsia="ru-RU"/>
        </w:rPr>
      </w:pPr>
      <w:r w:rsidRPr="00475DAD">
        <w:rPr>
          <w:rFonts w:ascii="Times New Roman" w:eastAsia="Times New Roman" w:hAnsi="Times New Roman" w:cs="Times New Roman"/>
          <w:b/>
          <w:bCs/>
          <w:color w:val="002060"/>
          <w:sz w:val="20"/>
          <w:szCs w:val="20"/>
          <w:lang w:eastAsia="ru-RU"/>
        </w:rPr>
        <w:t>тыс. рублей</w:t>
      </w:r>
    </w:p>
    <w:p w14:paraId="06A57A82" w14:textId="77777777" w:rsidR="00EF65E4" w:rsidRPr="007A77E7" w:rsidRDefault="00EF65E4" w:rsidP="00475DAD">
      <w:pPr>
        <w:widowControl w:val="0"/>
        <w:shd w:val="clear" w:color="auto" w:fill="FFFFFF"/>
        <w:autoSpaceDE w:val="0"/>
        <w:autoSpaceDN w:val="0"/>
        <w:adjustRightInd w:val="0"/>
        <w:spacing w:after="0" w:line="240" w:lineRule="auto"/>
        <w:ind w:firstLine="709"/>
        <w:jc w:val="right"/>
        <w:rPr>
          <w:rFonts w:ascii="Times New Roman" w:eastAsia="Times New Roman" w:hAnsi="Times New Roman" w:cs="Times New Roman"/>
          <w:b/>
          <w:bCs/>
          <w:color w:val="002060"/>
          <w:sz w:val="20"/>
          <w:szCs w:val="20"/>
          <w:lang w:eastAsia="ru-RU"/>
        </w:rPr>
      </w:pPr>
    </w:p>
    <w:tbl>
      <w:tblPr>
        <w:tblW w:w="959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646"/>
        <w:gridCol w:w="769"/>
        <w:gridCol w:w="1216"/>
        <w:gridCol w:w="1134"/>
        <w:gridCol w:w="850"/>
        <w:gridCol w:w="1135"/>
        <w:gridCol w:w="992"/>
        <w:gridCol w:w="850"/>
      </w:tblGrid>
      <w:tr w:rsidR="007A77E7" w:rsidRPr="007A77E7" w14:paraId="094A0E61" w14:textId="77777777" w:rsidTr="00156793">
        <w:trPr>
          <w:tblHeader/>
        </w:trPr>
        <w:tc>
          <w:tcPr>
            <w:tcW w:w="2646" w:type="dxa"/>
            <w:shd w:val="clear" w:color="auto" w:fill="D9E2F3" w:themeFill="accent1" w:themeFillTint="33"/>
          </w:tcPr>
          <w:p w14:paraId="5575CDB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 xml:space="preserve">Наименование </w:t>
            </w:r>
          </w:p>
          <w:p w14:paraId="23622AF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расходов</w:t>
            </w:r>
          </w:p>
        </w:tc>
        <w:tc>
          <w:tcPr>
            <w:tcW w:w="769" w:type="dxa"/>
            <w:shd w:val="clear" w:color="auto" w:fill="D9E2F3" w:themeFill="accent1" w:themeFillTint="33"/>
          </w:tcPr>
          <w:p w14:paraId="081824A0" w14:textId="77777777" w:rsidR="007A77E7" w:rsidRPr="007A77E7" w:rsidRDefault="007A77E7" w:rsidP="007A77E7">
            <w:pPr>
              <w:widowControl w:val="0"/>
              <w:autoSpaceDE w:val="0"/>
              <w:autoSpaceDN w:val="0"/>
              <w:adjustRightInd w:val="0"/>
              <w:spacing w:after="0" w:line="240" w:lineRule="auto"/>
              <w:ind w:left="-64" w:right="-74"/>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Раздел/ под-раздел</w:t>
            </w:r>
          </w:p>
        </w:tc>
        <w:tc>
          <w:tcPr>
            <w:tcW w:w="1216" w:type="dxa"/>
            <w:shd w:val="clear" w:color="auto" w:fill="D9E2F3" w:themeFill="accent1" w:themeFillTint="33"/>
          </w:tcPr>
          <w:p w14:paraId="2141B324"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 xml:space="preserve">Утверждено (уточнено) бюджетной росписью </w:t>
            </w:r>
          </w:p>
          <w:p w14:paraId="70823B93"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 xml:space="preserve">на 2021 год </w:t>
            </w:r>
          </w:p>
        </w:tc>
        <w:tc>
          <w:tcPr>
            <w:tcW w:w="1134" w:type="dxa"/>
            <w:shd w:val="clear" w:color="auto" w:fill="D9E2F3" w:themeFill="accent1" w:themeFillTint="33"/>
          </w:tcPr>
          <w:p w14:paraId="4F346BE4" w14:textId="77777777" w:rsidR="007A77E7" w:rsidRPr="007A77E7" w:rsidRDefault="007A77E7" w:rsidP="007A77E7">
            <w:pPr>
              <w:widowControl w:val="0"/>
              <w:tabs>
                <w:tab w:val="left" w:pos="-6375"/>
              </w:tabs>
              <w:autoSpaceDE w:val="0"/>
              <w:autoSpaceDN w:val="0"/>
              <w:adjustRightInd w:val="0"/>
              <w:spacing w:after="0" w:line="240" w:lineRule="auto"/>
              <w:ind w:left="-109"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Фактически профинан-сировано</w:t>
            </w:r>
          </w:p>
          <w:p w14:paraId="291BDC7A" w14:textId="77777777" w:rsidR="007A77E7" w:rsidRPr="007A77E7" w:rsidRDefault="007A77E7" w:rsidP="007A77E7">
            <w:pPr>
              <w:widowControl w:val="0"/>
              <w:tabs>
                <w:tab w:val="left" w:pos="-6375"/>
              </w:tabs>
              <w:autoSpaceDE w:val="0"/>
              <w:autoSpaceDN w:val="0"/>
              <w:adjustRightInd w:val="0"/>
              <w:spacing w:after="0" w:line="240" w:lineRule="auto"/>
              <w:ind w:left="-109"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в 2021 году</w:t>
            </w:r>
          </w:p>
        </w:tc>
        <w:tc>
          <w:tcPr>
            <w:tcW w:w="850" w:type="dxa"/>
            <w:shd w:val="clear" w:color="auto" w:fill="D9E2F3" w:themeFill="accent1" w:themeFillTint="33"/>
          </w:tcPr>
          <w:p w14:paraId="2CE5F536"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Недофи-нансиро-вано</w:t>
            </w:r>
          </w:p>
          <w:p w14:paraId="0CFCD7A3"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(гр.4-гр.3)</w:t>
            </w:r>
          </w:p>
        </w:tc>
        <w:tc>
          <w:tcPr>
            <w:tcW w:w="1135" w:type="dxa"/>
            <w:shd w:val="clear" w:color="auto" w:fill="D9E2F3" w:themeFill="accent1" w:themeFillTint="33"/>
          </w:tcPr>
          <w:p w14:paraId="5AE93279"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 xml:space="preserve">Исполнено </w:t>
            </w:r>
          </w:p>
          <w:p w14:paraId="3F4236E1"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за 2021 год</w:t>
            </w:r>
          </w:p>
        </w:tc>
        <w:tc>
          <w:tcPr>
            <w:tcW w:w="992" w:type="dxa"/>
            <w:shd w:val="clear" w:color="auto" w:fill="D9E2F3" w:themeFill="accent1" w:themeFillTint="33"/>
          </w:tcPr>
          <w:p w14:paraId="6A40374B"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Неиспол-ненные назначения</w:t>
            </w:r>
          </w:p>
          <w:p w14:paraId="3C96251E"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(гр.6-гр.4)</w:t>
            </w:r>
          </w:p>
        </w:tc>
        <w:tc>
          <w:tcPr>
            <w:tcW w:w="850" w:type="dxa"/>
            <w:shd w:val="clear" w:color="auto" w:fill="D9E2F3" w:themeFill="accent1" w:themeFillTint="33"/>
          </w:tcPr>
          <w:p w14:paraId="671AC6D0" w14:textId="77777777" w:rsidR="007A77E7" w:rsidRPr="007A77E7" w:rsidRDefault="007A77E7" w:rsidP="007A77E7">
            <w:pPr>
              <w:widowControl w:val="0"/>
              <w:autoSpaceDE w:val="0"/>
              <w:autoSpaceDN w:val="0"/>
              <w:adjustRightInd w:val="0"/>
              <w:spacing w:after="0" w:line="240" w:lineRule="auto"/>
              <w:ind w:left="-96" w:right="-96"/>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В % к объему профи-нансиро-ванных расходов</w:t>
            </w:r>
          </w:p>
        </w:tc>
      </w:tr>
      <w:tr w:rsidR="007A77E7" w:rsidRPr="007A77E7" w14:paraId="7998A145" w14:textId="77777777" w:rsidTr="00156793">
        <w:trPr>
          <w:trHeight w:val="193"/>
        </w:trPr>
        <w:tc>
          <w:tcPr>
            <w:tcW w:w="2646" w:type="dxa"/>
            <w:shd w:val="clear" w:color="auto" w:fill="D9E2F3" w:themeFill="accent1" w:themeFillTint="33"/>
          </w:tcPr>
          <w:p w14:paraId="7916598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w:t>
            </w:r>
          </w:p>
        </w:tc>
        <w:tc>
          <w:tcPr>
            <w:tcW w:w="769" w:type="dxa"/>
            <w:shd w:val="clear" w:color="auto" w:fill="D9E2F3" w:themeFill="accent1" w:themeFillTint="33"/>
          </w:tcPr>
          <w:p w14:paraId="69759C6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2</w:t>
            </w:r>
          </w:p>
        </w:tc>
        <w:tc>
          <w:tcPr>
            <w:tcW w:w="1216" w:type="dxa"/>
            <w:shd w:val="clear" w:color="auto" w:fill="D9E2F3" w:themeFill="accent1" w:themeFillTint="33"/>
          </w:tcPr>
          <w:p w14:paraId="5FFD3DAE"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3</w:t>
            </w:r>
          </w:p>
        </w:tc>
        <w:tc>
          <w:tcPr>
            <w:tcW w:w="1134" w:type="dxa"/>
            <w:shd w:val="clear" w:color="auto" w:fill="D9E2F3" w:themeFill="accent1" w:themeFillTint="33"/>
          </w:tcPr>
          <w:p w14:paraId="11343380" w14:textId="77777777" w:rsidR="007A77E7" w:rsidRPr="007A77E7" w:rsidRDefault="007A77E7" w:rsidP="007A77E7">
            <w:pPr>
              <w:widowControl w:val="0"/>
              <w:autoSpaceDE w:val="0"/>
              <w:autoSpaceDN w:val="0"/>
              <w:adjustRightInd w:val="0"/>
              <w:spacing w:after="0" w:line="240" w:lineRule="auto"/>
              <w:ind w:left="-109" w:right="-108"/>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4</w:t>
            </w:r>
          </w:p>
        </w:tc>
        <w:tc>
          <w:tcPr>
            <w:tcW w:w="850" w:type="dxa"/>
            <w:shd w:val="clear" w:color="auto" w:fill="D9E2F3" w:themeFill="accent1" w:themeFillTint="33"/>
          </w:tcPr>
          <w:p w14:paraId="1AA86F92"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w:t>
            </w:r>
          </w:p>
        </w:tc>
        <w:tc>
          <w:tcPr>
            <w:tcW w:w="1135" w:type="dxa"/>
            <w:shd w:val="clear" w:color="auto" w:fill="D9E2F3" w:themeFill="accent1" w:themeFillTint="33"/>
          </w:tcPr>
          <w:p w14:paraId="4ACD051C"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6</w:t>
            </w:r>
          </w:p>
        </w:tc>
        <w:tc>
          <w:tcPr>
            <w:tcW w:w="992" w:type="dxa"/>
            <w:shd w:val="clear" w:color="auto" w:fill="D9E2F3" w:themeFill="accent1" w:themeFillTint="33"/>
          </w:tcPr>
          <w:p w14:paraId="3649F18B"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7</w:t>
            </w:r>
          </w:p>
        </w:tc>
        <w:tc>
          <w:tcPr>
            <w:tcW w:w="850" w:type="dxa"/>
            <w:shd w:val="clear" w:color="auto" w:fill="D9E2F3" w:themeFill="accent1" w:themeFillTint="33"/>
          </w:tcPr>
          <w:p w14:paraId="4DC42A53" w14:textId="77777777" w:rsidR="007A77E7" w:rsidRPr="007A77E7" w:rsidRDefault="007A77E7" w:rsidP="007A77E7">
            <w:pPr>
              <w:widowControl w:val="0"/>
              <w:autoSpaceDE w:val="0"/>
              <w:autoSpaceDN w:val="0"/>
              <w:adjustRightInd w:val="0"/>
              <w:spacing w:after="0" w:line="240" w:lineRule="auto"/>
              <w:ind w:left="-96" w:right="-96"/>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8</w:t>
            </w:r>
          </w:p>
        </w:tc>
      </w:tr>
      <w:tr w:rsidR="007A77E7" w:rsidRPr="007A77E7" w14:paraId="0A2E70DF" w14:textId="77777777" w:rsidTr="00545B6E">
        <w:trPr>
          <w:trHeight w:val="193"/>
        </w:trPr>
        <w:tc>
          <w:tcPr>
            <w:tcW w:w="2646" w:type="dxa"/>
          </w:tcPr>
          <w:p w14:paraId="6F6FBC37"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Расходы – всего</w:t>
            </w:r>
          </w:p>
        </w:tc>
        <w:tc>
          <w:tcPr>
            <w:tcW w:w="769" w:type="dxa"/>
            <w:vAlign w:val="center"/>
          </w:tcPr>
          <w:p w14:paraId="2C947667"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b/>
                <w:sz w:val="18"/>
                <w:szCs w:val="18"/>
                <w:lang w:eastAsia="ru-RU"/>
              </w:rPr>
            </w:pPr>
          </w:p>
        </w:tc>
        <w:tc>
          <w:tcPr>
            <w:tcW w:w="1216" w:type="dxa"/>
            <w:vAlign w:val="center"/>
          </w:tcPr>
          <w:p w14:paraId="568F20F6" w14:textId="77777777" w:rsidR="007A77E7" w:rsidRPr="007A77E7" w:rsidRDefault="007A77E7" w:rsidP="007A77E7">
            <w:pPr>
              <w:widowControl w:val="0"/>
              <w:autoSpaceDE w:val="0"/>
              <w:autoSpaceDN w:val="0"/>
              <w:adjustRightInd w:val="0"/>
              <w:spacing w:after="0" w:line="240" w:lineRule="auto"/>
              <w:ind w:left="-105"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182 954 728,2</w:t>
            </w:r>
          </w:p>
        </w:tc>
        <w:tc>
          <w:tcPr>
            <w:tcW w:w="1134" w:type="dxa"/>
            <w:vAlign w:val="center"/>
          </w:tcPr>
          <w:p w14:paraId="4BF06B83" w14:textId="77777777" w:rsidR="007A77E7" w:rsidRPr="007A77E7" w:rsidRDefault="007A77E7" w:rsidP="007A77E7">
            <w:pPr>
              <w:widowControl w:val="0"/>
              <w:autoSpaceDE w:val="0"/>
              <w:autoSpaceDN w:val="0"/>
              <w:adjustRightInd w:val="0"/>
              <w:spacing w:after="0" w:line="240" w:lineRule="auto"/>
              <w:ind w:left="-109"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181 735 590,5</w:t>
            </w:r>
          </w:p>
        </w:tc>
        <w:tc>
          <w:tcPr>
            <w:tcW w:w="850" w:type="dxa"/>
            <w:vAlign w:val="center"/>
          </w:tcPr>
          <w:p w14:paraId="61595AE0" w14:textId="77777777" w:rsidR="007A77E7" w:rsidRPr="007A77E7" w:rsidRDefault="007A77E7" w:rsidP="007A77E7">
            <w:pPr>
              <w:widowControl w:val="0"/>
              <w:autoSpaceDE w:val="0"/>
              <w:autoSpaceDN w:val="0"/>
              <w:adjustRightInd w:val="0"/>
              <w:spacing w:after="0" w:line="240" w:lineRule="auto"/>
              <w:ind w:left="-108"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1219137,7</w:t>
            </w:r>
          </w:p>
        </w:tc>
        <w:tc>
          <w:tcPr>
            <w:tcW w:w="1135" w:type="dxa"/>
            <w:vAlign w:val="center"/>
          </w:tcPr>
          <w:p w14:paraId="3C003EDB" w14:textId="77777777" w:rsidR="007A77E7" w:rsidRPr="007A77E7" w:rsidRDefault="007A77E7" w:rsidP="007A77E7">
            <w:pPr>
              <w:widowControl w:val="0"/>
              <w:autoSpaceDE w:val="0"/>
              <w:autoSpaceDN w:val="0"/>
              <w:adjustRightInd w:val="0"/>
              <w:spacing w:after="0" w:line="240" w:lineRule="auto"/>
              <w:ind w:left="-161"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169 203 793,6</w:t>
            </w:r>
          </w:p>
        </w:tc>
        <w:tc>
          <w:tcPr>
            <w:tcW w:w="992" w:type="dxa"/>
            <w:vAlign w:val="center"/>
          </w:tcPr>
          <w:p w14:paraId="70783E95" w14:textId="77777777" w:rsidR="007A77E7" w:rsidRPr="007A77E7" w:rsidRDefault="007A77E7" w:rsidP="007A77E7">
            <w:pPr>
              <w:widowControl w:val="0"/>
              <w:autoSpaceDE w:val="0"/>
              <w:autoSpaceDN w:val="0"/>
              <w:adjustRightInd w:val="0"/>
              <w:spacing w:after="0" w:line="240" w:lineRule="auto"/>
              <w:ind w:left="-153"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12 531 796,9</w:t>
            </w:r>
          </w:p>
        </w:tc>
        <w:tc>
          <w:tcPr>
            <w:tcW w:w="850" w:type="dxa"/>
            <w:vAlign w:val="center"/>
          </w:tcPr>
          <w:p w14:paraId="5005D0F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93,1</w:t>
            </w:r>
          </w:p>
        </w:tc>
      </w:tr>
      <w:tr w:rsidR="007A77E7" w:rsidRPr="007A77E7" w14:paraId="5274CCBA" w14:textId="77777777" w:rsidTr="00545B6E">
        <w:trPr>
          <w:trHeight w:val="373"/>
        </w:trPr>
        <w:tc>
          <w:tcPr>
            <w:tcW w:w="2646" w:type="dxa"/>
          </w:tcPr>
          <w:p w14:paraId="32ACC606"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Общегосударственные вопросы</w:t>
            </w:r>
          </w:p>
        </w:tc>
        <w:tc>
          <w:tcPr>
            <w:tcW w:w="769" w:type="dxa"/>
            <w:vAlign w:val="center"/>
          </w:tcPr>
          <w:p w14:paraId="293591B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p>
          <w:p w14:paraId="0723386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0100</w:t>
            </w:r>
          </w:p>
        </w:tc>
        <w:tc>
          <w:tcPr>
            <w:tcW w:w="1216" w:type="dxa"/>
            <w:vAlign w:val="center"/>
          </w:tcPr>
          <w:p w14:paraId="6D36852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4 894 353,2</w:t>
            </w:r>
          </w:p>
        </w:tc>
        <w:tc>
          <w:tcPr>
            <w:tcW w:w="1134" w:type="dxa"/>
            <w:vAlign w:val="center"/>
          </w:tcPr>
          <w:p w14:paraId="5F9E1D0D" w14:textId="77777777" w:rsidR="007A77E7" w:rsidRPr="007A77E7" w:rsidRDefault="007A77E7" w:rsidP="007A77E7">
            <w:pPr>
              <w:widowControl w:val="0"/>
              <w:autoSpaceDE w:val="0"/>
              <w:autoSpaceDN w:val="0"/>
              <w:adjustRightInd w:val="0"/>
              <w:spacing w:after="0" w:line="240" w:lineRule="auto"/>
              <w:ind w:left="-109"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4 781 296,7</w:t>
            </w:r>
          </w:p>
        </w:tc>
        <w:tc>
          <w:tcPr>
            <w:tcW w:w="850" w:type="dxa"/>
            <w:vAlign w:val="center"/>
          </w:tcPr>
          <w:p w14:paraId="4FCD6273" w14:textId="77777777" w:rsidR="007A77E7" w:rsidRPr="007A77E7" w:rsidRDefault="007A77E7" w:rsidP="007A77E7">
            <w:pPr>
              <w:widowControl w:val="0"/>
              <w:autoSpaceDE w:val="0"/>
              <w:autoSpaceDN w:val="0"/>
              <w:adjustRightInd w:val="0"/>
              <w:spacing w:after="0" w:line="240" w:lineRule="auto"/>
              <w:ind w:left="-137"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113 056,5</w:t>
            </w:r>
          </w:p>
        </w:tc>
        <w:tc>
          <w:tcPr>
            <w:tcW w:w="1135" w:type="dxa"/>
            <w:vAlign w:val="center"/>
          </w:tcPr>
          <w:p w14:paraId="1546B0B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4 657 821,5</w:t>
            </w:r>
          </w:p>
        </w:tc>
        <w:tc>
          <w:tcPr>
            <w:tcW w:w="992" w:type="dxa"/>
            <w:vAlign w:val="center"/>
          </w:tcPr>
          <w:p w14:paraId="53F7302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123 475,2</w:t>
            </w:r>
          </w:p>
        </w:tc>
        <w:tc>
          <w:tcPr>
            <w:tcW w:w="850" w:type="dxa"/>
            <w:vAlign w:val="center"/>
          </w:tcPr>
          <w:p w14:paraId="4CFE4A4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97,4</w:t>
            </w:r>
          </w:p>
        </w:tc>
      </w:tr>
      <w:tr w:rsidR="007A77E7" w:rsidRPr="007A77E7" w14:paraId="69E2CB61" w14:textId="77777777" w:rsidTr="00545B6E">
        <w:tc>
          <w:tcPr>
            <w:tcW w:w="2646" w:type="dxa"/>
          </w:tcPr>
          <w:p w14:paraId="65DEDF39" w14:textId="601F5220"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Функционирование высшего должностного лица субъекта Р</w:t>
            </w:r>
            <w:r w:rsidR="003248F9">
              <w:rPr>
                <w:rFonts w:ascii="Times New Roman" w:eastAsia="Times New Roman" w:hAnsi="Times New Roman" w:cs="Times New Roman"/>
                <w:sz w:val="18"/>
                <w:szCs w:val="18"/>
                <w:lang w:eastAsia="ru-RU"/>
              </w:rPr>
              <w:t>Ф</w:t>
            </w:r>
            <w:r w:rsidRPr="007A77E7">
              <w:rPr>
                <w:rFonts w:ascii="Times New Roman" w:eastAsia="Times New Roman" w:hAnsi="Times New Roman" w:cs="Times New Roman"/>
                <w:sz w:val="18"/>
                <w:szCs w:val="18"/>
                <w:lang w:eastAsia="ru-RU"/>
              </w:rPr>
              <w:t xml:space="preserve"> и органа местного самоуправления</w:t>
            </w:r>
          </w:p>
        </w:tc>
        <w:tc>
          <w:tcPr>
            <w:tcW w:w="769" w:type="dxa"/>
            <w:vAlign w:val="center"/>
          </w:tcPr>
          <w:p w14:paraId="32267DE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0102</w:t>
            </w:r>
          </w:p>
        </w:tc>
        <w:tc>
          <w:tcPr>
            <w:tcW w:w="1216" w:type="dxa"/>
            <w:vAlign w:val="center"/>
          </w:tcPr>
          <w:p w14:paraId="09B7D0F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3 359,9</w:t>
            </w:r>
          </w:p>
        </w:tc>
        <w:tc>
          <w:tcPr>
            <w:tcW w:w="1134" w:type="dxa"/>
            <w:vAlign w:val="center"/>
          </w:tcPr>
          <w:p w14:paraId="6BD9793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3 359,9</w:t>
            </w:r>
          </w:p>
        </w:tc>
        <w:tc>
          <w:tcPr>
            <w:tcW w:w="850" w:type="dxa"/>
            <w:vAlign w:val="center"/>
          </w:tcPr>
          <w:p w14:paraId="110BFDC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412E01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3 262,3</w:t>
            </w:r>
          </w:p>
        </w:tc>
        <w:tc>
          <w:tcPr>
            <w:tcW w:w="992" w:type="dxa"/>
            <w:vAlign w:val="center"/>
          </w:tcPr>
          <w:p w14:paraId="332C437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97,6</w:t>
            </w:r>
          </w:p>
        </w:tc>
        <w:tc>
          <w:tcPr>
            <w:tcW w:w="850" w:type="dxa"/>
            <w:vAlign w:val="center"/>
          </w:tcPr>
          <w:p w14:paraId="442566B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97,1</w:t>
            </w:r>
          </w:p>
        </w:tc>
      </w:tr>
      <w:tr w:rsidR="007A77E7" w:rsidRPr="007A77E7" w14:paraId="76046024" w14:textId="77777777" w:rsidTr="00545B6E">
        <w:tc>
          <w:tcPr>
            <w:tcW w:w="2646" w:type="dxa"/>
          </w:tcPr>
          <w:p w14:paraId="3CA131F6"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Функционирование законодательных (представительных) органов государственной власти и местного самоуправления</w:t>
            </w:r>
          </w:p>
        </w:tc>
        <w:tc>
          <w:tcPr>
            <w:tcW w:w="769" w:type="dxa"/>
            <w:vAlign w:val="center"/>
          </w:tcPr>
          <w:p w14:paraId="0F068F8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0103</w:t>
            </w:r>
          </w:p>
        </w:tc>
        <w:tc>
          <w:tcPr>
            <w:tcW w:w="1216" w:type="dxa"/>
            <w:vAlign w:val="center"/>
          </w:tcPr>
          <w:p w14:paraId="09BCC36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221 678,6</w:t>
            </w:r>
          </w:p>
        </w:tc>
        <w:tc>
          <w:tcPr>
            <w:tcW w:w="1134" w:type="dxa"/>
            <w:vAlign w:val="center"/>
          </w:tcPr>
          <w:p w14:paraId="29A0F0F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211 075.6</w:t>
            </w:r>
          </w:p>
        </w:tc>
        <w:tc>
          <w:tcPr>
            <w:tcW w:w="850" w:type="dxa"/>
            <w:vAlign w:val="center"/>
          </w:tcPr>
          <w:p w14:paraId="1E49874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10 603,0</w:t>
            </w:r>
          </w:p>
        </w:tc>
        <w:tc>
          <w:tcPr>
            <w:tcW w:w="1135" w:type="dxa"/>
            <w:vAlign w:val="center"/>
          </w:tcPr>
          <w:p w14:paraId="05D699B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209 767,8</w:t>
            </w:r>
          </w:p>
        </w:tc>
        <w:tc>
          <w:tcPr>
            <w:tcW w:w="992" w:type="dxa"/>
            <w:vAlign w:val="center"/>
          </w:tcPr>
          <w:p w14:paraId="14D2BCF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1 307,8</w:t>
            </w:r>
          </w:p>
        </w:tc>
        <w:tc>
          <w:tcPr>
            <w:tcW w:w="850" w:type="dxa"/>
            <w:vAlign w:val="center"/>
          </w:tcPr>
          <w:p w14:paraId="73A758B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99,4</w:t>
            </w:r>
          </w:p>
        </w:tc>
      </w:tr>
      <w:tr w:rsidR="007A77E7" w:rsidRPr="007A77E7" w14:paraId="569D80C2" w14:textId="77777777" w:rsidTr="00545B6E">
        <w:tc>
          <w:tcPr>
            <w:tcW w:w="2646" w:type="dxa"/>
          </w:tcPr>
          <w:p w14:paraId="20E92D4E" w14:textId="5A4FE20B"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Функционирование Правительства Р</w:t>
            </w:r>
            <w:r w:rsidR="003248F9">
              <w:rPr>
                <w:rFonts w:ascii="Times New Roman" w:eastAsia="Times New Roman" w:hAnsi="Times New Roman" w:cs="Times New Roman"/>
                <w:sz w:val="18"/>
                <w:szCs w:val="18"/>
                <w:lang w:eastAsia="ru-RU"/>
              </w:rPr>
              <w:t>Ф</w:t>
            </w:r>
            <w:r w:rsidRPr="007A77E7">
              <w:rPr>
                <w:rFonts w:ascii="Times New Roman" w:eastAsia="Times New Roman" w:hAnsi="Times New Roman" w:cs="Times New Roman"/>
                <w:sz w:val="18"/>
                <w:szCs w:val="18"/>
                <w:lang w:eastAsia="ru-RU"/>
              </w:rPr>
              <w:t>, высших органов исполнительной власти субъектов Российской Федерации, местных администраций</w:t>
            </w:r>
          </w:p>
        </w:tc>
        <w:tc>
          <w:tcPr>
            <w:tcW w:w="769" w:type="dxa"/>
            <w:vAlign w:val="center"/>
          </w:tcPr>
          <w:p w14:paraId="2C7BD64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0104</w:t>
            </w:r>
          </w:p>
        </w:tc>
        <w:tc>
          <w:tcPr>
            <w:tcW w:w="1216" w:type="dxa"/>
            <w:vAlign w:val="center"/>
          </w:tcPr>
          <w:p w14:paraId="25D89D4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675 400,2</w:t>
            </w:r>
          </w:p>
        </w:tc>
        <w:tc>
          <w:tcPr>
            <w:tcW w:w="1134" w:type="dxa"/>
            <w:vAlign w:val="center"/>
          </w:tcPr>
          <w:p w14:paraId="0215FF0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675 400,2</w:t>
            </w:r>
          </w:p>
        </w:tc>
        <w:tc>
          <w:tcPr>
            <w:tcW w:w="850" w:type="dxa"/>
            <w:vAlign w:val="center"/>
          </w:tcPr>
          <w:p w14:paraId="20E4F09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09EF2DF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637 969,3</w:t>
            </w:r>
          </w:p>
        </w:tc>
        <w:tc>
          <w:tcPr>
            <w:tcW w:w="992" w:type="dxa"/>
            <w:vAlign w:val="center"/>
          </w:tcPr>
          <w:p w14:paraId="37C374C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37 430,9</w:t>
            </w:r>
          </w:p>
        </w:tc>
        <w:tc>
          <w:tcPr>
            <w:tcW w:w="850" w:type="dxa"/>
            <w:vAlign w:val="center"/>
          </w:tcPr>
          <w:p w14:paraId="6063255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94,4</w:t>
            </w:r>
          </w:p>
        </w:tc>
      </w:tr>
      <w:tr w:rsidR="007A77E7" w:rsidRPr="007A77E7" w14:paraId="4FB194D8" w14:textId="77777777" w:rsidTr="00545B6E">
        <w:tc>
          <w:tcPr>
            <w:tcW w:w="2646" w:type="dxa"/>
          </w:tcPr>
          <w:p w14:paraId="736164BF"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Судебная система</w:t>
            </w:r>
          </w:p>
        </w:tc>
        <w:tc>
          <w:tcPr>
            <w:tcW w:w="769" w:type="dxa"/>
            <w:vAlign w:val="center"/>
          </w:tcPr>
          <w:p w14:paraId="7A62DE2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0105</w:t>
            </w:r>
          </w:p>
        </w:tc>
        <w:tc>
          <w:tcPr>
            <w:tcW w:w="1216" w:type="dxa"/>
            <w:vAlign w:val="center"/>
          </w:tcPr>
          <w:p w14:paraId="3DF19E9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464 226,3</w:t>
            </w:r>
          </w:p>
        </w:tc>
        <w:tc>
          <w:tcPr>
            <w:tcW w:w="1134" w:type="dxa"/>
            <w:vAlign w:val="center"/>
          </w:tcPr>
          <w:p w14:paraId="795DDCA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463 914,4</w:t>
            </w:r>
          </w:p>
        </w:tc>
        <w:tc>
          <w:tcPr>
            <w:tcW w:w="850" w:type="dxa"/>
            <w:vAlign w:val="center"/>
          </w:tcPr>
          <w:p w14:paraId="20E6A55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311,9</w:t>
            </w:r>
          </w:p>
        </w:tc>
        <w:tc>
          <w:tcPr>
            <w:tcW w:w="1135" w:type="dxa"/>
            <w:vAlign w:val="center"/>
          </w:tcPr>
          <w:p w14:paraId="4B610C8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457 247,2</w:t>
            </w:r>
          </w:p>
        </w:tc>
        <w:tc>
          <w:tcPr>
            <w:tcW w:w="992" w:type="dxa"/>
            <w:vAlign w:val="center"/>
          </w:tcPr>
          <w:p w14:paraId="652AC42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6 667,2</w:t>
            </w:r>
          </w:p>
        </w:tc>
        <w:tc>
          <w:tcPr>
            <w:tcW w:w="850" w:type="dxa"/>
            <w:vAlign w:val="center"/>
          </w:tcPr>
          <w:p w14:paraId="34B2F01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98,6</w:t>
            </w:r>
          </w:p>
        </w:tc>
      </w:tr>
      <w:tr w:rsidR="007A77E7" w:rsidRPr="007A77E7" w14:paraId="2FF1C1B4" w14:textId="77777777" w:rsidTr="00545B6E">
        <w:tc>
          <w:tcPr>
            <w:tcW w:w="2646" w:type="dxa"/>
          </w:tcPr>
          <w:p w14:paraId="6AA8114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Обеспечение деятельности финансовых, налоговых и таможенных органов и органов надзора</w:t>
            </w:r>
          </w:p>
        </w:tc>
        <w:tc>
          <w:tcPr>
            <w:tcW w:w="769" w:type="dxa"/>
            <w:vAlign w:val="center"/>
          </w:tcPr>
          <w:p w14:paraId="4CAC102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0106</w:t>
            </w:r>
          </w:p>
        </w:tc>
        <w:tc>
          <w:tcPr>
            <w:tcW w:w="1216" w:type="dxa"/>
            <w:vAlign w:val="center"/>
          </w:tcPr>
          <w:p w14:paraId="7FF4CB4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256 191,8</w:t>
            </w:r>
          </w:p>
        </w:tc>
        <w:tc>
          <w:tcPr>
            <w:tcW w:w="1134" w:type="dxa"/>
            <w:vAlign w:val="center"/>
          </w:tcPr>
          <w:p w14:paraId="6D2799E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256 191,8</w:t>
            </w:r>
          </w:p>
        </w:tc>
        <w:tc>
          <w:tcPr>
            <w:tcW w:w="850" w:type="dxa"/>
            <w:vAlign w:val="center"/>
          </w:tcPr>
          <w:p w14:paraId="2348A38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4B5BC0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250 840,0</w:t>
            </w:r>
          </w:p>
        </w:tc>
        <w:tc>
          <w:tcPr>
            <w:tcW w:w="992" w:type="dxa"/>
            <w:vAlign w:val="center"/>
          </w:tcPr>
          <w:p w14:paraId="3AFAE71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5 351,8</w:t>
            </w:r>
          </w:p>
        </w:tc>
        <w:tc>
          <w:tcPr>
            <w:tcW w:w="850" w:type="dxa"/>
            <w:vAlign w:val="center"/>
          </w:tcPr>
          <w:p w14:paraId="467FCD3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97,9</w:t>
            </w:r>
          </w:p>
        </w:tc>
      </w:tr>
      <w:tr w:rsidR="007A77E7" w:rsidRPr="007A77E7" w14:paraId="5E17E701" w14:textId="77777777" w:rsidTr="00545B6E">
        <w:tc>
          <w:tcPr>
            <w:tcW w:w="2646" w:type="dxa"/>
          </w:tcPr>
          <w:p w14:paraId="68A0EBBB"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Обеспечение проведения выборов и референдумов</w:t>
            </w:r>
          </w:p>
        </w:tc>
        <w:tc>
          <w:tcPr>
            <w:tcW w:w="769" w:type="dxa"/>
            <w:vAlign w:val="center"/>
          </w:tcPr>
          <w:p w14:paraId="008060D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0107</w:t>
            </w:r>
          </w:p>
        </w:tc>
        <w:tc>
          <w:tcPr>
            <w:tcW w:w="1216" w:type="dxa"/>
            <w:vAlign w:val="center"/>
          </w:tcPr>
          <w:p w14:paraId="5810E8C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349 232,3</w:t>
            </w:r>
          </w:p>
        </w:tc>
        <w:tc>
          <w:tcPr>
            <w:tcW w:w="1134" w:type="dxa"/>
            <w:vAlign w:val="center"/>
          </w:tcPr>
          <w:p w14:paraId="1BBE389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349 232,3</w:t>
            </w:r>
          </w:p>
        </w:tc>
        <w:tc>
          <w:tcPr>
            <w:tcW w:w="850" w:type="dxa"/>
            <w:vAlign w:val="center"/>
          </w:tcPr>
          <w:p w14:paraId="6B8DBD3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79FCD7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348 611,6</w:t>
            </w:r>
          </w:p>
        </w:tc>
        <w:tc>
          <w:tcPr>
            <w:tcW w:w="992" w:type="dxa"/>
            <w:vAlign w:val="center"/>
          </w:tcPr>
          <w:p w14:paraId="0899AE1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620,7</w:t>
            </w:r>
          </w:p>
        </w:tc>
        <w:tc>
          <w:tcPr>
            <w:tcW w:w="850" w:type="dxa"/>
            <w:vAlign w:val="center"/>
          </w:tcPr>
          <w:p w14:paraId="0AB85EC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99,8</w:t>
            </w:r>
          </w:p>
        </w:tc>
      </w:tr>
      <w:tr w:rsidR="007A77E7" w:rsidRPr="007A77E7" w14:paraId="0A578AD0" w14:textId="77777777" w:rsidTr="00545B6E">
        <w:tc>
          <w:tcPr>
            <w:tcW w:w="2646" w:type="dxa"/>
          </w:tcPr>
          <w:p w14:paraId="560609D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lastRenderedPageBreak/>
              <w:t>Резервные фонды</w:t>
            </w:r>
          </w:p>
        </w:tc>
        <w:tc>
          <w:tcPr>
            <w:tcW w:w="769" w:type="dxa"/>
            <w:vAlign w:val="center"/>
          </w:tcPr>
          <w:p w14:paraId="40B4A6A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0111</w:t>
            </w:r>
          </w:p>
        </w:tc>
        <w:tc>
          <w:tcPr>
            <w:tcW w:w="1216" w:type="dxa"/>
            <w:vAlign w:val="center"/>
          </w:tcPr>
          <w:p w14:paraId="6D6AC9F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80 842,6</w:t>
            </w:r>
          </w:p>
        </w:tc>
        <w:tc>
          <w:tcPr>
            <w:tcW w:w="1134" w:type="dxa"/>
            <w:vAlign w:val="center"/>
          </w:tcPr>
          <w:p w14:paraId="34D3968C" w14:textId="77777777" w:rsidR="007A77E7" w:rsidRPr="007A77E7" w:rsidRDefault="007A77E7" w:rsidP="007A77E7">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34435625" w14:textId="77777777" w:rsidR="007A77E7" w:rsidRPr="007A77E7" w:rsidRDefault="007A77E7" w:rsidP="007A77E7">
            <w:pPr>
              <w:widowControl w:val="0"/>
              <w:autoSpaceDE w:val="0"/>
              <w:autoSpaceDN w:val="0"/>
              <w:adjustRightInd w:val="0"/>
              <w:spacing w:after="0" w:line="240" w:lineRule="auto"/>
              <w:ind w:left="-137"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80 842,6</w:t>
            </w:r>
          </w:p>
        </w:tc>
        <w:tc>
          <w:tcPr>
            <w:tcW w:w="1135" w:type="dxa"/>
            <w:vAlign w:val="center"/>
          </w:tcPr>
          <w:p w14:paraId="164CA8C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992" w:type="dxa"/>
            <w:vAlign w:val="center"/>
          </w:tcPr>
          <w:p w14:paraId="15F2A96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19591A6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r>
      <w:tr w:rsidR="007A77E7" w:rsidRPr="007A77E7" w14:paraId="6FE84828" w14:textId="77777777" w:rsidTr="00545B6E">
        <w:tc>
          <w:tcPr>
            <w:tcW w:w="2646" w:type="dxa"/>
          </w:tcPr>
          <w:p w14:paraId="5B74FE6A"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Прикладные научные исследования в области общегосударственных вопросов</w:t>
            </w:r>
          </w:p>
        </w:tc>
        <w:tc>
          <w:tcPr>
            <w:tcW w:w="769" w:type="dxa"/>
            <w:vAlign w:val="center"/>
          </w:tcPr>
          <w:p w14:paraId="325112D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0112</w:t>
            </w:r>
          </w:p>
        </w:tc>
        <w:tc>
          <w:tcPr>
            <w:tcW w:w="1216" w:type="dxa"/>
            <w:vAlign w:val="center"/>
          </w:tcPr>
          <w:p w14:paraId="6B4C458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25 311,2</w:t>
            </w:r>
          </w:p>
        </w:tc>
        <w:tc>
          <w:tcPr>
            <w:tcW w:w="1134" w:type="dxa"/>
            <w:vAlign w:val="center"/>
          </w:tcPr>
          <w:p w14:paraId="681519B2" w14:textId="77777777" w:rsidR="007A77E7" w:rsidRPr="007A77E7" w:rsidRDefault="007A77E7" w:rsidP="007A77E7">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25 311,2</w:t>
            </w:r>
          </w:p>
        </w:tc>
        <w:tc>
          <w:tcPr>
            <w:tcW w:w="850" w:type="dxa"/>
            <w:vAlign w:val="center"/>
          </w:tcPr>
          <w:p w14:paraId="0C87BC0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E44FD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25 311,2</w:t>
            </w:r>
          </w:p>
        </w:tc>
        <w:tc>
          <w:tcPr>
            <w:tcW w:w="992" w:type="dxa"/>
            <w:vAlign w:val="center"/>
          </w:tcPr>
          <w:p w14:paraId="47BA66B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5503051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37B836FA" w14:textId="77777777" w:rsidTr="00545B6E">
        <w:tc>
          <w:tcPr>
            <w:tcW w:w="2646" w:type="dxa"/>
          </w:tcPr>
          <w:p w14:paraId="3D2514D4"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общегосударственные вопросы</w:t>
            </w:r>
          </w:p>
        </w:tc>
        <w:tc>
          <w:tcPr>
            <w:tcW w:w="769" w:type="dxa"/>
            <w:vAlign w:val="center"/>
          </w:tcPr>
          <w:p w14:paraId="529CCAE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0113</w:t>
            </w:r>
          </w:p>
        </w:tc>
        <w:tc>
          <w:tcPr>
            <w:tcW w:w="1216" w:type="dxa"/>
            <w:vAlign w:val="center"/>
          </w:tcPr>
          <w:p w14:paraId="641FE69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2 818 110,3</w:t>
            </w:r>
          </w:p>
        </w:tc>
        <w:tc>
          <w:tcPr>
            <w:tcW w:w="1134" w:type="dxa"/>
            <w:vAlign w:val="center"/>
          </w:tcPr>
          <w:p w14:paraId="36DEFCD0" w14:textId="77777777" w:rsidR="007A77E7" w:rsidRPr="007A77E7" w:rsidRDefault="007A77E7" w:rsidP="007A77E7">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2 796 811,3</w:t>
            </w:r>
          </w:p>
        </w:tc>
        <w:tc>
          <w:tcPr>
            <w:tcW w:w="850" w:type="dxa"/>
            <w:vAlign w:val="center"/>
          </w:tcPr>
          <w:p w14:paraId="239580F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21 299,0</w:t>
            </w:r>
          </w:p>
        </w:tc>
        <w:tc>
          <w:tcPr>
            <w:tcW w:w="1135" w:type="dxa"/>
            <w:vAlign w:val="center"/>
          </w:tcPr>
          <w:p w14:paraId="39826A6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2 724 812.2</w:t>
            </w:r>
          </w:p>
        </w:tc>
        <w:tc>
          <w:tcPr>
            <w:tcW w:w="992" w:type="dxa"/>
            <w:vAlign w:val="center"/>
          </w:tcPr>
          <w:p w14:paraId="5B392BB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71 999,1</w:t>
            </w:r>
          </w:p>
        </w:tc>
        <w:tc>
          <w:tcPr>
            <w:tcW w:w="850" w:type="dxa"/>
            <w:vAlign w:val="center"/>
          </w:tcPr>
          <w:p w14:paraId="3B4DEE3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97.4</w:t>
            </w:r>
          </w:p>
        </w:tc>
      </w:tr>
      <w:tr w:rsidR="007A77E7" w:rsidRPr="007A77E7" w14:paraId="0D883604" w14:textId="77777777" w:rsidTr="00545B6E">
        <w:tc>
          <w:tcPr>
            <w:tcW w:w="2646" w:type="dxa"/>
          </w:tcPr>
          <w:p w14:paraId="3121F8DA"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Национальная оборона</w:t>
            </w:r>
          </w:p>
        </w:tc>
        <w:tc>
          <w:tcPr>
            <w:tcW w:w="769" w:type="dxa"/>
            <w:vAlign w:val="center"/>
          </w:tcPr>
          <w:p w14:paraId="7F54897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0200</w:t>
            </w:r>
          </w:p>
        </w:tc>
        <w:tc>
          <w:tcPr>
            <w:tcW w:w="1216" w:type="dxa"/>
            <w:vAlign w:val="center"/>
          </w:tcPr>
          <w:p w14:paraId="692AF5B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112 082,4</w:t>
            </w:r>
          </w:p>
        </w:tc>
        <w:tc>
          <w:tcPr>
            <w:tcW w:w="1134" w:type="dxa"/>
            <w:vAlign w:val="center"/>
          </w:tcPr>
          <w:p w14:paraId="3020888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112 082,4</w:t>
            </w:r>
          </w:p>
        </w:tc>
        <w:tc>
          <w:tcPr>
            <w:tcW w:w="850" w:type="dxa"/>
            <w:vAlign w:val="center"/>
          </w:tcPr>
          <w:p w14:paraId="6B236FB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0,0</w:t>
            </w:r>
          </w:p>
        </w:tc>
        <w:tc>
          <w:tcPr>
            <w:tcW w:w="1135" w:type="dxa"/>
            <w:vAlign w:val="center"/>
          </w:tcPr>
          <w:p w14:paraId="4981F8A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112 082,4</w:t>
            </w:r>
          </w:p>
        </w:tc>
        <w:tc>
          <w:tcPr>
            <w:tcW w:w="992" w:type="dxa"/>
            <w:vAlign w:val="center"/>
          </w:tcPr>
          <w:p w14:paraId="1A2C0C0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0,0</w:t>
            </w:r>
          </w:p>
        </w:tc>
        <w:tc>
          <w:tcPr>
            <w:tcW w:w="850" w:type="dxa"/>
            <w:vAlign w:val="center"/>
          </w:tcPr>
          <w:p w14:paraId="26D67D0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100,0</w:t>
            </w:r>
          </w:p>
        </w:tc>
      </w:tr>
      <w:tr w:rsidR="007A77E7" w:rsidRPr="007A77E7" w14:paraId="10659E37" w14:textId="77777777" w:rsidTr="00545B6E">
        <w:tc>
          <w:tcPr>
            <w:tcW w:w="2646" w:type="dxa"/>
          </w:tcPr>
          <w:p w14:paraId="3D8CE63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Мобилизационная и вневойсковая подготовка</w:t>
            </w:r>
          </w:p>
        </w:tc>
        <w:tc>
          <w:tcPr>
            <w:tcW w:w="769" w:type="dxa"/>
            <w:vAlign w:val="center"/>
          </w:tcPr>
          <w:p w14:paraId="6168664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0203</w:t>
            </w:r>
          </w:p>
        </w:tc>
        <w:tc>
          <w:tcPr>
            <w:tcW w:w="1216" w:type="dxa"/>
            <w:vAlign w:val="center"/>
          </w:tcPr>
          <w:p w14:paraId="7D28A8A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112 082,4</w:t>
            </w:r>
          </w:p>
        </w:tc>
        <w:tc>
          <w:tcPr>
            <w:tcW w:w="1134" w:type="dxa"/>
            <w:vAlign w:val="center"/>
          </w:tcPr>
          <w:p w14:paraId="1BDA057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112 082,4</w:t>
            </w:r>
          </w:p>
        </w:tc>
        <w:tc>
          <w:tcPr>
            <w:tcW w:w="850" w:type="dxa"/>
            <w:vAlign w:val="center"/>
          </w:tcPr>
          <w:p w14:paraId="1610DCD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FF4A41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112 082,4</w:t>
            </w:r>
          </w:p>
        </w:tc>
        <w:tc>
          <w:tcPr>
            <w:tcW w:w="992" w:type="dxa"/>
            <w:vAlign w:val="center"/>
          </w:tcPr>
          <w:p w14:paraId="074879A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026FA6F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26E61570" w14:textId="77777777" w:rsidTr="00545B6E">
        <w:tc>
          <w:tcPr>
            <w:tcW w:w="2646" w:type="dxa"/>
          </w:tcPr>
          <w:p w14:paraId="25734BD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Национальная безопасность и правоохранительная деятельность</w:t>
            </w:r>
          </w:p>
        </w:tc>
        <w:tc>
          <w:tcPr>
            <w:tcW w:w="769" w:type="dxa"/>
            <w:vAlign w:val="center"/>
          </w:tcPr>
          <w:p w14:paraId="5331803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0300</w:t>
            </w:r>
          </w:p>
        </w:tc>
        <w:tc>
          <w:tcPr>
            <w:tcW w:w="1216" w:type="dxa"/>
            <w:vAlign w:val="center"/>
          </w:tcPr>
          <w:p w14:paraId="2D10F3F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2 358 123,6</w:t>
            </w:r>
          </w:p>
        </w:tc>
        <w:tc>
          <w:tcPr>
            <w:tcW w:w="1134" w:type="dxa"/>
            <w:vAlign w:val="center"/>
          </w:tcPr>
          <w:p w14:paraId="7E6CC5E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2 296 261,1</w:t>
            </w:r>
          </w:p>
        </w:tc>
        <w:tc>
          <w:tcPr>
            <w:tcW w:w="850" w:type="dxa"/>
            <w:vAlign w:val="center"/>
          </w:tcPr>
          <w:p w14:paraId="2DF0904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61 862,5</w:t>
            </w:r>
          </w:p>
        </w:tc>
        <w:tc>
          <w:tcPr>
            <w:tcW w:w="1135" w:type="dxa"/>
            <w:vAlign w:val="center"/>
          </w:tcPr>
          <w:p w14:paraId="00DB9C2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2 263 324,2</w:t>
            </w:r>
          </w:p>
        </w:tc>
        <w:tc>
          <w:tcPr>
            <w:tcW w:w="992" w:type="dxa"/>
            <w:vAlign w:val="center"/>
          </w:tcPr>
          <w:p w14:paraId="040366E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32 936,9</w:t>
            </w:r>
          </w:p>
        </w:tc>
        <w:tc>
          <w:tcPr>
            <w:tcW w:w="850" w:type="dxa"/>
            <w:vAlign w:val="center"/>
          </w:tcPr>
          <w:p w14:paraId="118E9B3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98,6</w:t>
            </w:r>
          </w:p>
        </w:tc>
      </w:tr>
      <w:tr w:rsidR="007A77E7" w:rsidRPr="007A77E7" w14:paraId="263127F9" w14:textId="77777777" w:rsidTr="00545B6E">
        <w:trPr>
          <w:trHeight w:val="43"/>
        </w:trPr>
        <w:tc>
          <w:tcPr>
            <w:tcW w:w="2646" w:type="dxa"/>
          </w:tcPr>
          <w:p w14:paraId="63D12C94"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Органы юстиции</w:t>
            </w:r>
          </w:p>
        </w:tc>
        <w:tc>
          <w:tcPr>
            <w:tcW w:w="769" w:type="dxa"/>
            <w:vAlign w:val="center"/>
          </w:tcPr>
          <w:p w14:paraId="6AA8135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0304</w:t>
            </w:r>
          </w:p>
        </w:tc>
        <w:tc>
          <w:tcPr>
            <w:tcW w:w="1216" w:type="dxa"/>
            <w:vAlign w:val="center"/>
          </w:tcPr>
          <w:p w14:paraId="4CFAC7D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92 070,8</w:t>
            </w:r>
          </w:p>
        </w:tc>
        <w:tc>
          <w:tcPr>
            <w:tcW w:w="1134" w:type="dxa"/>
            <w:vAlign w:val="center"/>
          </w:tcPr>
          <w:p w14:paraId="4BD0AD9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92 070,8</w:t>
            </w:r>
          </w:p>
        </w:tc>
        <w:tc>
          <w:tcPr>
            <w:tcW w:w="850" w:type="dxa"/>
            <w:vAlign w:val="center"/>
          </w:tcPr>
          <w:p w14:paraId="1FA1303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05C348B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91 034,7</w:t>
            </w:r>
          </w:p>
        </w:tc>
        <w:tc>
          <w:tcPr>
            <w:tcW w:w="992" w:type="dxa"/>
            <w:vAlign w:val="center"/>
          </w:tcPr>
          <w:p w14:paraId="2FCA01D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1 036,1</w:t>
            </w:r>
          </w:p>
        </w:tc>
        <w:tc>
          <w:tcPr>
            <w:tcW w:w="850" w:type="dxa"/>
            <w:vAlign w:val="center"/>
          </w:tcPr>
          <w:p w14:paraId="73B5F2D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98,9</w:t>
            </w:r>
          </w:p>
        </w:tc>
      </w:tr>
      <w:tr w:rsidR="007A77E7" w:rsidRPr="007A77E7" w14:paraId="19CB3881" w14:textId="77777777" w:rsidTr="00545B6E">
        <w:tc>
          <w:tcPr>
            <w:tcW w:w="2646" w:type="dxa"/>
          </w:tcPr>
          <w:p w14:paraId="46D7529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Защита населения и территории от чрезвычайных ситуаций природного и техногенного характера, гражданская оборона</w:t>
            </w:r>
          </w:p>
        </w:tc>
        <w:tc>
          <w:tcPr>
            <w:tcW w:w="769" w:type="dxa"/>
            <w:vAlign w:val="center"/>
          </w:tcPr>
          <w:p w14:paraId="4D889AF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0309</w:t>
            </w:r>
          </w:p>
        </w:tc>
        <w:tc>
          <w:tcPr>
            <w:tcW w:w="1216" w:type="dxa"/>
            <w:vAlign w:val="center"/>
          </w:tcPr>
          <w:p w14:paraId="0CACBD7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214 914,0</w:t>
            </w:r>
          </w:p>
        </w:tc>
        <w:tc>
          <w:tcPr>
            <w:tcW w:w="1134" w:type="dxa"/>
            <w:vAlign w:val="center"/>
          </w:tcPr>
          <w:p w14:paraId="59EDFEC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214 914,0</w:t>
            </w:r>
          </w:p>
        </w:tc>
        <w:tc>
          <w:tcPr>
            <w:tcW w:w="850" w:type="dxa"/>
            <w:vAlign w:val="center"/>
          </w:tcPr>
          <w:p w14:paraId="1A543C7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2CA053B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209 559,1</w:t>
            </w:r>
          </w:p>
        </w:tc>
        <w:tc>
          <w:tcPr>
            <w:tcW w:w="992" w:type="dxa"/>
            <w:vAlign w:val="center"/>
          </w:tcPr>
          <w:p w14:paraId="1DB9171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5 354,9</w:t>
            </w:r>
          </w:p>
        </w:tc>
        <w:tc>
          <w:tcPr>
            <w:tcW w:w="850" w:type="dxa"/>
            <w:vAlign w:val="center"/>
          </w:tcPr>
          <w:p w14:paraId="60B84F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97,5</w:t>
            </w:r>
          </w:p>
        </w:tc>
      </w:tr>
      <w:tr w:rsidR="007A77E7" w:rsidRPr="007A77E7" w14:paraId="24A6DF22" w14:textId="77777777" w:rsidTr="00545B6E">
        <w:tc>
          <w:tcPr>
            <w:tcW w:w="2646" w:type="dxa"/>
          </w:tcPr>
          <w:p w14:paraId="244359AC"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Обеспечение пожарной безопасности</w:t>
            </w:r>
          </w:p>
        </w:tc>
        <w:tc>
          <w:tcPr>
            <w:tcW w:w="769" w:type="dxa"/>
            <w:vAlign w:val="center"/>
          </w:tcPr>
          <w:p w14:paraId="46D3E6C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0310</w:t>
            </w:r>
          </w:p>
        </w:tc>
        <w:tc>
          <w:tcPr>
            <w:tcW w:w="1216" w:type="dxa"/>
            <w:vAlign w:val="center"/>
          </w:tcPr>
          <w:p w14:paraId="4A499BE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1 171 656,4</w:t>
            </w:r>
          </w:p>
        </w:tc>
        <w:tc>
          <w:tcPr>
            <w:tcW w:w="1134" w:type="dxa"/>
            <w:vAlign w:val="center"/>
          </w:tcPr>
          <w:p w14:paraId="04EF334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1 171 656,4</w:t>
            </w:r>
          </w:p>
        </w:tc>
        <w:tc>
          <w:tcPr>
            <w:tcW w:w="850" w:type="dxa"/>
            <w:vAlign w:val="center"/>
          </w:tcPr>
          <w:p w14:paraId="678E16E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5110C6E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1 149 898,2</w:t>
            </w:r>
          </w:p>
        </w:tc>
        <w:tc>
          <w:tcPr>
            <w:tcW w:w="992" w:type="dxa"/>
            <w:vAlign w:val="center"/>
          </w:tcPr>
          <w:p w14:paraId="0BAA530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21 758,2</w:t>
            </w:r>
          </w:p>
        </w:tc>
        <w:tc>
          <w:tcPr>
            <w:tcW w:w="850" w:type="dxa"/>
            <w:vAlign w:val="center"/>
          </w:tcPr>
          <w:p w14:paraId="203ECF6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98,1</w:t>
            </w:r>
          </w:p>
        </w:tc>
      </w:tr>
      <w:tr w:rsidR="007A77E7" w:rsidRPr="007A77E7" w14:paraId="41D28D2B" w14:textId="77777777" w:rsidTr="00545B6E">
        <w:tc>
          <w:tcPr>
            <w:tcW w:w="2646" w:type="dxa"/>
          </w:tcPr>
          <w:p w14:paraId="30CAF0D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Миграционная политика</w:t>
            </w:r>
          </w:p>
        </w:tc>
        <w:tc>
          <w:tcPr>
            <w:tcW w:w="769" w:type="dxa"/>
            <w:vAlign w:val="center"/>
          </w:tcPr>
          <w:p w14:paraId="748671F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0311</w:t>
            </w:r>
          </w:p>
        </w:tc>
        <w:tc>
          <w:tcPr>
            <w:tcW w:w="1216" w:type="dxa"/>
            <w:vAlign w:val="center"/>
          </w:tcPr>
          <w:p w14:paraId="64CF3FB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624,0</w:t>
            </w:r>
          </w:p>
        </w:tc>
        <w:tc>
          <w:tcPr>
            <w:tcW w:w="1134" w:type="dxa"/>
            <w:vAlign w:val="center"/>
          </w:tcPr>
          <w:p w14:paraId="7DCB21D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624,0</w:t>
            </w:r>
          </w:p>
        </w:tc>
        <w:tc>
          <w:tcPr>
            <w:tcW w:w="850" w:type="dxa"/>
            <w:vAlign w:val="center"/>
          </w:tcPr>
          <w:p w14:paraId="74DF472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4BA30D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616,6</w:t>
            </w:r>
          </w:p>
        </w:tc>
        <w:tc>
          <w:tcPr>
            <w:tcW w:w="992" w:type="dxa"/>
            <w:vAlign w:val="center"/>
          </w:tcPr>
          <w:p w14:paraId="65F0511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7,4</w:t>
            </w:r>
          </w:p>
        </w:tc>
        <w:tc>
          <w:tcPr>
            <w:tcW w:w="850" w:type="dxa"/>
            <w:vAlign w:val="center"/>
          </w:tcPr>
          <w:p w14:paraId="4F63C6E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98,8</w:t>
            </w:r>
          </w:p>
        </w:tc>
      </w:tr>
      <w:tr w:rsidR="007A77E7" w:rsidRPr="007A77E7" w14:paraId="3CFFC05C" w14:textId="77777777" w:rsidTr="00545B6E">
        <w:tc>
          <w:tcPr>
            <w:tcW w:w="2646" w:type="dxa"/>
          </w:tcPr>
          <w:p w14:paraId="457E911F"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национальной безопасности и правоохранительной деятельности</w:t>
            </w:r>
          </w:p>
        </w:tc>
        <w:tc>
          <w:tcPr>
            <w:tcW w:w="769" w:type="dxa"/>
            <w:vAlign w:val="center"/>
          </w:tcPr>
          <w:p w14:paraId="23923EA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0314</w:t>
            </w:r>
          </w:p>
        </w:tc>
        <w:tc>
          <w:tcPr>
            <w:tcW w:w="1216" w:type="dxa"/>
            <w:vAlign w:val="center"/>
          </w:tcPr>
          <w:p w14:paraId="3C7B930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878 858,4</w:t>
            </w:r>
          </w:p>
        </w:tc>
        <w:tc>
          <w:tcPr>
            <w:tcW w:w="1134" w:type="dxa"/>
            <w:vAlign w:val="center"/>
          </w:tcPr>
          <w:p w14:paraId="6BC4F42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816 995,9</w:t>
            </w:r>
          </w:p>
        </w:tc>
        <w:tc>
          <w:tcPr>
            <w:tcW w:w="850" w:type="dxa"/>
            <w:vAlign w:val="center"/>
          </w:tcPr>
          <w:p w14:paraId="7DD81A6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61 862,5</w:t>
            </w:r>
          </w:p>
        </w:tc>
        <w:tc>
          <w:tcPr>
            <w:tcW w:w="1135" w:type="dxa"/>
            <w:vAlign w:val="center"/>
          </w:tcPr>
          <w:p w14:paraId="6679696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812 215,6</w:t>
            </w:r>
          </w:p>
        </w:tc>
        <w:tc>
          <w:tcPr>
            <w:tcW w:w="992" w:type="dxa"/>
            <w:vAlign w:val="center"/>
          </w:tcPr>
          <w:p w14:paraId="5ACEB1F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4 780,3</w:t>
            </w:r>
          </w:p>
        </w:tc>
        <w:tc>
          <w:tcPr>
            <w:tcW w:w="850" w:type="dxa"/>
            <w:vAlign w:val="center"/>
          </w:tcPr>
          <w:p w14:paraId="468D7CF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99,4</w:t>
            </w:r>
          </w:p>
        </w:tc>
      </w:tr>
      <w:tr w:rsidR="007A77E7" w:rsidRPr="007A77E7" w14:paraId="184EC37E" w14:textId="77777777" w:rsidTr="00545B6E">
        <w:tc>
          <w:tcPr>
            <w:tcW w:w="2646" w:type="dxa"/>
          </w:tcPr>
          <w:p w14:paraId="3A835ED7"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Национальная экономика</w:t>
            </w:r>
          </w:p>
        </w:tc>
        <w:tc>
          <w:tcPr>
            <w:tcW w:w="769" w:type="dxa"/>
            <w:vAlign w:val="center"/>
          </w:tcPr>
          <w:p w14:paraId="5CDA3AA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0400</w:t>
            </w:r>
          </w:p>
        </w:tc>
        <w:tc>
          <w:tcPr>
            <w:tcW w:w="1216" w:type="dxa"/>
            <w:vAlign w:val="center"/>
          </w:tcPr>
          <w:p w14:paraId="3B088BE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20 872 590,4</w:t>
            </w:r>
          </w:p>
        </w:tc>
        <w:tc>
          <w:tcPr>
            <w:tcW w:w="1134" w:type="dxa"/>
            <w:vAlign w:val="center"/>
          </w:tcPr>
          <w:p w14:paraId="51ED07F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20 553 750.2</w:t>
            </w:r>
          </w:p>
        </w:tc>
        <w:tc>
          <w:tcPr>
            <w:tcW w:w="850" w:type="dxa"/>
            <w:vAlign w:val="center"/>
          </w:tcPr>
          <w:p w14:paraId="0D56AAA1" w14:textId="77777777" w:rsidR="007A77E7" w:rsidRPr="007A77E7" w:rsidRDefault="007A77E7" w:rsidP="007A77E7">
            <w:pPr>
              <w:widowControl w:val="0"/>
              <w:autoSpaceDE w:val="0"/>
              <w:autoSpaceDN w:val="0"/>
              <w:adjustRightInd w:val="0"/>
              <w:spacing w:after="0" w:line="240" w:lineRule="auto"/>
              <w:ind w:right="-57" w:hanging="90"/>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318 840,2</w:t>
            </w:r>
          </w:p>
        </w:tc>
        <w:tc>
          <w:tcPr>
            <w:tcW w:w="1135" w:type="dxa"/>
            <w:vAlign w:val="center"/>
          </w:tcPr>
          <w:p w14:paraId="50DCA28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18 308 531,2</w:t>
            </w:r>
          </w:p>
        </w:tc>
        <w:tc>
          <w:tcPr>
            <w:tcW w:w="992" w:type="dxa"/>
            <w:vAlign w:val="center"/>
          </w:tcPr>
          <w:p w14:paraId="3B54E0AD" w14:textId="77777777" w:rsidR="007A77E7" w:rsidRPr="007A77E7" w:rsidRDefault="007A77E7" w:rsidP="007A77E7">
            <w:pPr>
              <w:widowControl w:val="0"/>
              <w:autoSpaceDE w:val="0"/>
              <w:autoSpaceDN w:val="0"/>
              <w:adjustRightInd w:val="0"/>
              <w:spacing w:after="0" w:line="240" w:lineRule="auto"/>
              <w:ind w:left="-111"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2 245 219,0</w:t>
            </w:r>
          </w:p>
        </w:tc>
        <w:tc>
          <w:tcPr>
            <w:tcW w:w="850" w:type="dxa"/>
            <w:vAlign w:val="center"/>
          </w:tcPr>
          <w:p w14:paraId="423C247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89,1</w:t>
            </w:r>
          </w:p>
        </w:tc>
      </w:tr>
      <w:tr w:rsidR="007A77E7" w:rsidRPr="007A77E7" w14:paraId="2D109E9F" w14:textId="77777777" w:rsidTr="00545B6E">
        <w:tc>
          <w:tcPr>
            <w:tcW w:w="2646" w:type="dxa"/>
          </w:tcPr>
          <w:p w14:paraId="20AE7458"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Общеэкономические вопросы</w:t>
            </w:r>
          </w:p>
        </w:tc>
        <w:tc>
          <w:tcPr>
            <w:tcW w:w="769" w:type="dxa"/>
            <w:vAlign w:val="center"/>
          </w:tcPr>
          <w:p w14:paraId="5FB216F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0401</w:t>
            </w:r>
          </w:p>
        </w:tc>
        <w:tc>
          <w:tcPr>
            <w:tcW w:w="1216" w:type="dxa"/>
            <w:vAlign w:val="center"/>
          </w:tcPr>
          <w:p w14:paraId="4E27775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402 260,7</w:t>
            </w:r>
          </w:p>
        </w:tc>
        <w:tc>
          <w:tcPr>
            <w:tcW w:w="1134" w:type="dxa"/>
            <w:vAlign w:val="center"/>
          </w:tcPr>
          <w:p w14:paraId="5B192EB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402 260,7</w:t>
            </w:r>
          </w:p>
        </w:tc>
        <w:tc>
          <w:tcPr>
            <w:tcW w:w="850" w:type="dxa"/>
            <w:vAlign w:val="center"/>
          </w:tcPr>
          <w:p w14:paraId="70234AC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4F9662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401 010,1</w:t>
            </w:r>
          </w:p>
        </w:tc>
        <w:tc>
          <w:tcPr>
            <w:tcW w:w="992" w:type="dxa"/>
            <w:vAlign w:val="center"/>
          </w:tcPr>
          <w:p w14:paraId="3ED0AB5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1 250,6</w:t>
            </w:r>
          </w:p>
        </w:tc>
        <w:tc>
          <w:tcPr>
            <w:tcW w:w="850" w:type="dxa"/>
            <w:vAlign w:val="center"/>
          </w:tcPr>
          <w:p w14:paraId="6649821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99,7</w:t>
            </w:r>
          </w:p>
        </w:tc>
      </w:tr>
      <w:tr w:rsidR="007A77E7" w:rsidRPr="007A77E7" w14:paraId="77E4F122" w14:textId="77777777" w:rsidTr="00545B6E">
        <w:tc>
          <w:tcPr>
            <w:tcW w:w="2646" w:type="dxa"/>
          </w:tcPr>
          <w:p w14:paraId="71A213AC"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Топливно-энергетический комплекс</w:t>
            </w:r>
          </w:p>
        </w:tc>
        <w:tc>
          <w:tcPr>
            <w:tcW w:w="769" w:type="dxa"/>
            <w:vAlign w:val="center"/>
          </w:tcPr>
          <w:p w14:paraId="71D9AC7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0402</w:t>
            </w:r>
          </w:p>
        </w:tc>
        <w:tc>
          <w:tcPr>
            <w:tcW w:w="1216" w:type="dxa"/>
            <w:vAlign w:val="center"/>
          </w:tcPr>
          <w:p w14:paraId="46BB0CC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63 043,7</w:t>
            </w:r>
          </w:p>
        </w:tc>
        <w:tc>
          <w:tcPr>
            <w:tcW w:w="1134" w:type="dxa"/>
            <w:vAlign w:val="center"/>
          </w:tcPr>
          <w:p w14:paraId="10E51DC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63 043,7</w:t>
            </w:r>
          </w:p>
        </w:tc>
        <w:tc>
          <w:tcPr>
            <w:tcW w:w="850" w:type="dxa"/>
            <w:vAlign w:val="center"/>
          </w:tcPr>
          <w:p w14:paraId="40B3668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D722F9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62 607,3</w:t>
            </w:r>
          </w:p>
        </w:tc>
        <w:tc>
          <w:tcPr>
            <w:tcW w:w="992" w:type="dxa"/>
            <w:vAlign w:val="center"/>
          </w:tcPr>
          <w:p w14:paraId="6097FA0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436,4</w:t>
            </w:r>
          </w:p>
        </w:tc>
        <w:tc>
          <w:tcPr>
            <w:tcW w:w="850" w:type="dxa"/>
            <w:vAlign w:val="center"/>
          </w:tcPr>
          <w:p w14:paraId="415F163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99.3</w:t>
            </w:r>
          </w:p>
        </w:tc>
      </w:tr>
      <w:tr w:rsidR="007A77E7" w:rsidRPr="007A77E7" w14:paraId="7E1E3CA9" w14:textId="77777777" w:rsidTr="00545B6E">
        <w:tc>
          <w:tcPr>
            <w:tcW w:w="2646" w:type="dxa"/>
          </w:tcPr>
          <w:p w14:paraId="2503906D"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Воспроизводство минерально-сырьевой базы</w:t>
            </w:r>
          </w:p>
        </w:tc>
        <w:tc>
          <w:tcPr>
            <w:tcW w:w="769" w:type="dxa"/>
            <w:vAlign w:val="center"/>
          </w:tcPr>
          <w:p w14:paraId="14C86EC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0404</w:t>
            </w:r>
          </w:p>
        </w:tc>
        <w:tc>
          <w:tcPr>
            <w:tcW w:w="1216" w:type="dxa"/>
            <w:vAlign w:val="center"/>
          </w:tcPr>
          <w:p w14:paraId="684F9A1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2 550,0</w:t>
            </w:r>
          </w:p>
        </w:tc>
        <w:tc>
          <w:tcPr>
            <w:tcW w:w="1134" w:type="dxa"/>
            <w:vAlign w:val="center"/>
          </w:tcPr>
          <w:p w14:paraId="50D6781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2 550,0</w:t>
            </w:r>
          </w:p>
        </w:tc>
        <w:tc>
          <w:tcPr>
            <w:tcW w:w="850" w:type="dxa"/>
            <w:vAlign w:val="center"/>
          </w:tcPr>
          <w:p w14:paraId="4EC9ABC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29CFA53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2 550,0</w:t>
            </w:r>
          </w:p>
        </w:tc>
        <w:tc>
          <w:tcPr>
            <w:tcW w:w="992" w:type="dxa"/>
            <w:vAlign w:val="center"/>
          </w:tcPr>
          <w:p w14:paraId="1E022A7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5423D7E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5F7D43A6" w14:textId="77777777" w:rsidTr="00545B6E">
        <w:tc>
          <w:tcPr>
            <w:tcW w:w="2646" w:type="dxa"/>
          </w:tcPr>
          <w:p w14:paraId="690A22BE"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Сельское хозяйство и рыболовство</w:t>
            </w:r>
          </w:p>
        </w:tc>
        <w:tc>
          <w:tcPr>
            <w:tcW w:w="769" w:type="dxa"/>
            <w:vAlign w:val="center"/>
          </w:tcPr>
          <w:p w14:paraId="44E3BCE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0405</w:t>
            </w:r>
          </w:p>
        </w:tc>
        <w:tc>
          <w:tcPr>
            <w:tcW w:w="1216" w:type="dxa"/>
            <w:vAlign w:val="center"/>
          </w:tcPr>
          <w:p w14:paraId="6FD2904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4 214 645,3</w:t>
            </w:r>
          </w:p>
        </w:tc>
        <w:tc>
          <w:tcPr>
            <w:tcW w:w="1134" w:type="dxa"/>
            <w:vAlign w:val="center"/>
          </w:tcPr>
          <w:p w14:paraId="7BF5F3F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4 214 645,3</w:t>
            </w:r>
          </w:p>
        </w:tc>
        <w:tc>
          <w:tcPr>
            <w:tcW w:w="850" w:type="dxa"/>
            <w:vAlign w:val="center"/>
          </w:tcPr>
          <w:p w14:paraId="259E4F6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558430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4 137 230.0</w:t>
            </w:r>
          </w:p>
        </w:tc>
        <w:tc>
          <w:tcPr>
            <w:tcW w:w="992" w:type="dxa"/>
            <w:vAlign w:val="center"/>
          </w:tcPr>
          <w:p w14:paraId="6610815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77 415,3</w:t>
            </w:r>
          </w:p>
        </w:tc>
        <w:tc>
          <w:tcPr>
            <w:tcW w:w="850" w:type="dxa"/>
            <w:vAlign w:val="center"/>
          </w:tcPr>
          <w:p w14:paraId="223ED4F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98,2</w:t>
            </w:r>
          </w:p>
        </w:tc>
      </w:tr>
      <w:tr w:rsidR="007A77E7" w:rsidRPr="007A77E7" w14:paraId="2FB1B347" w14:textId="77777777" w:rsidTr="00545B6E">
        <w:tc>
          <w:tcPr>
            <w:tcW w:w="2646" w:type="dxa"/>
          </w:tcPr>
          <w:p w14:paraId="6399266C"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Водное хозяйство</w:t>
            </w:r>
          </w:p>
        </w:tc>
        <w:tc>
          <w:tcPr>
            <w:tcW w:w="769" w:type="dxa"/>
            <w:vAlign w:val="center"/>
          </w:tcPr>
          <w:p w14:paraId="0563E56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0406</w:t>
            </w:r>
          </w:p>
        </w:tc>
        <w:tc>
          <w:tcPr>
            <w:tcW w:w="1216" w:type="dxa"/>
            <w:vAlign w:val="center"/>
          </w:tcPr>
          <w:p w14:paraId="6463CCD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293 085,8</w:t>
            </w:r>
          </w:p>
        </w:tc>
        <w:tc>
          <w:tcPr>
            <w:tcW w:w="1134" w:type="dxa"/>
            <w:vAlign w:val="center"/>
          </w:tcPr>
          <w:p w14:paraId="63B772E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293 085,8</w:t>
            </w:r>
          </w:p>
        </w:tc>
        <w:tc>
          <w:tcPr>
            <w:tcW w:w="850" w:type="dxa"/>
            <w:vAlign w:val="center"/>
          </w:tcPr>
          <w:p w14:paraId="0FC01DB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584039B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293 085.8</w:t>
            </w:r>
          </w:p>
        </w:tc>
        <w:tc>
          <w:tcPr>
            <w:tcW w:w="992" w:type="dxa"/>
            <w:vAlign w:val="center"/>
          </w:tcPr>
          <w:p w14:paraId="32F1F0B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06ACD69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711D6D6F" w14:textId="77777777" w:rsidTr="00545B6E">
        <w:tc>
          <w:tcPr>
            <w:tcW w:w="2646" w:type="dxa"/>
          </w:tcPr>
          <w:p w14:paraId="4F3782C2"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Лесное хозяйство</w:t>
            </w:r>
          </w:p>
        </w:tc>
        <w:tc>
          <w:tcPr>
            <w:tcW w:w="769" w:type="dxa"/>
            <w:vAlign w:val="center"/>
          </w:tcPr>
          <w:p w14:paraId="1FA02FC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0407</w:t>
            </w:r>
          </w:p>
        </w:tc>
        <w:tc>
          <w:tcPr>
            <w:tcW w:w="1216" w:type="dxa"/>
            <w:vAlign w:val="center"/>
          </w:tcPr>
          <w:p w14:paraId="5F54F2C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219 762,3</w:t>
            </w:r>
          </w:p>
        </w:tc>
        <w:tc>
          <w:tcPr>
            <w:tcW w:w="1134" w:type="dxa"/>
            <w:vAlign w:val="center"/>
          </w:tcPr>
          <w:p w14:paraId="58F38DB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219 762,3</w:t>
            </w:r>
          </w:p>
        </w:tc>
        <w:tc>
          <w:tcPr>
            <w:tcW w:w="850" w:type="dxa"/>
            <w:vAlign w:val="center"/>
          </w:tcPr>
          <w:p w14:paraId="128FBCB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2F482E5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218 896,8</w:t>
            </w:r>
          </w:p>
        </w:tc>
        <w:tc>
          <w:tcPr>
            <w:tcW w:w="992" w:type="dxa"/>
            <w:vAlign w:val="center"/>
          </w:tcPr>
          <w:p w14:paraId="7F25D83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865,5</w:t>
            </w:r>
          </w:p>
        </w:tc>
        <w:tc>
          <w:tcPr>
            <w:tcW w:w="850" w:type="dxa"/>
            <w:vAlign w:val="center"/>
          </w:tcPr>
          <w:p w14:paraId="69E4299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99,6</w:t>
            </w:r>
          </w:p>
        </w:tc>
      </w:tr>
      <w:tr w:rsidR="007A77E7" w:rsidRPr="007A77E7" w14:paraId="1EFB87EB" w14:textId="77777777" w:rsidTr="00545B6E">
        <w:tc>
          <w:tcPr>
            <w:tcW w:w="2646" w:type="dxa"/>
          </w:tcPr>
          <w:p w14:paraId="10FC2FC4"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Транспорт</w:t>
            </w:r>
          </w:p>
        </w:tc>
        <w:tc>
          <w:tcPr>
            <w:tcW w:w="769" w:type="dxa"/>
            <w:vAlign w:val="center"/>
          </w:tcPr>
          <w:p w14:paraId="35C1302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0408</w:t>
            </w:r>
          </w:p>
        </w:tc>
        <w:tc>
          <w:tcPr>
            <w:tcW w:w="1216" w:type="dxa"/>
            <w:vAlign w:val="center"/>
          </w:tcPr>
          <w:p w14:paraId="4F61C3C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392 215,8</w:t>
            </w:r>
          </w:p>
        </w:tc>
        <w:tc>
          <w:tcPr>
            <w:tcW w:w="1134" w:type="dxa"/>
            <w:vAlign w:val="center"/>
          </w:tcPr>
          <w:p w14:paraId="74A0812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331 791,7</w:t>
            </w:r>
          </w:p>
        </w:tc>
        <w:tc>
          <w:tcPr>
            <w:tcW w:w="850" w:type="dxa"/>
            <w:vAlign w:val="center"/>
          </w:tcPr>
          <w:p w14:paraId="4C88C46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60 424,1</w:t>
            </w:r>
          </w:p>
        </w:tc>
        <w:tc>
          <w:tcPr>
            <w:tcW w:w="1135" w:type="dxa"/>
            <w:vAlign w:val="center"/>
          </w:tcPr>
          <w:p w14:paraId="35E2DB6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190 585,7</w:t>
            </w:r>
          </w:p>
        </w:tc>
        <w:tc>
          <w:tcPr>
            <w:tcW w:w="992" w:type="dxa"/>
            <w:vAlign w:val="center"/>
          </w:tcPr>
          <w:p w14:paraId="5B0835F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141 206,0</w:t>
            </w:r>
          </w:p>
        </w:tc>
        <w:tc>
          <w:tcPr>
            <w:tcW w:w="850" w:type="dxa"/>
            <w:vAlign w:val="center"/>
          </w:tcPr>
          <w:p w14:paraId="650C2BD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57,4</w:t>
            </w:r>
          </w:p>
        </w:tc>
      </w:tr>
      <w:tr w:rsidR="007A77E7" w:rsidRPr="007A77E7" w14:paraId="37C6FACB" w14:textId="77777777" w:rsidTr="00545B6E">
        <w:tc>
          <w:tcPr>
            <w:tcW w:w="2646" w:type="dxa"/>
          </w:tcPr>
          <w:p w14:paraId="3299F28D"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Дорожное хозяйство (дорожные фонды)</w:t>
            </w:r>
          </w:p>
        </w:tc>
        <w:tc>
          <w:tcPr>
            <w:tcW w:w="769" w:type="dxa"/>
            <w:vAlign w:val="center"/>
          </w:tcPr>
          <w:p w14:paraId="56FADD3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0409</w:t>
            </w:r>
          </w:p>
        </w:tc>
        <w:tc>
          <w:tcPr>
            <w:tcW w:w="1216" w:type="dxa"/>
            <w:vAlign w:val="center"/>
          </w:tcPr>
          <w:p w14:paraId="7104961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13 054 398,8</w:t>
            </w:r>
          </w:p>
        </w:tc>
        <w:tc>
          <w:tcPr>
            <w:tcW w:w="1134" w:type="dxa"/>
            <w:vAlign w:val="center"/>
          </w:tcPr>
          <w:p w14:paraId="57FDC7E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13 054 398,8</w:t>
            </w:r>
          </w:p>
        </w:tc>
        <w:tc>
          <w:tcPr>
            <w:tcW w:w="850" w:type="dxa"/>
            <w:vAlign w:val="center"/>
          </w:tcPr>
          <w:p w14:paraId="3DEB4F9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075A6B0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11 267 478,6</w:t>
            </w:r>
          </w:p>
        </w:tc>
        <w:tc>
          <w:tcPr>
            <w:tcW w:w="992" w:type="dxa"/>
            <w:vAlign w:val="center"/>
          </w:tcPr>
          <w:p w14:paraId="32C853A4" w14:textId="77777777" w:rsidR="007A77E7" w:rsidRPr="007A77E7" w:rsidRDefault="007A77E7" w:rsidP="007A77E7">
            <w:pPr>
              <w:widowControl w:val="0"/>
              <w:autoSpaceDE w:val="0"/>
              <w:autoSpaceDN w:val="0"/>
              <w:adjustRightInd w:val="0"/>
              <w:spacing w:after="0" w:line="240" w:lineRule="auto"/>
              <w:ind w:right="-57" w:hanging="90"/>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1 786 920,2</w:t>
            </w:r>
          </w:p>
        </w:tc>
        <w:tc>
          <w:tcPr>
            <w:tcW w:w="850" w:type="dxa"/>
            <w:vAlign w:val="center"/>
          </w:tcPr>
          <w:p w14:paraId="4A3D969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86,3</w:t>
            </w:r>
          </w:p>
        </w:tc>
      </w:tr>
      <w:tr w:rsidR="007A77E7" w:rsidRPr="007A77E7" w14:paraId="511FD0E7" w14:textId="77777777" w:rsidTr="00545B6E">
        <w:tc>
          <w:tcPr>
            <w:tcW w:w="2646" w:type="dxa"/>
          </w:tcPr>
          <w:p w14:paraId="679012B6"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Связь и информатика</w:t>
            </w:r>
          </w:p>
        </w:tc>
        <w:tc>
          <w:tcPr>
            <w:tcW w:w="769" w:type="dxa"/>
            <w:vAlign w:val="center"/>
          </w:tcPr>
          <w:p w14:paraId="1D2ACF9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0410</w:t>
            </w:r>
          </w:p>
        </w:tc>
        <w:tc>
          <w:tcPr>
            <w:tcW w:w="1216" w:type="dxa"/>
            <w:vAlign w:val="center"/>
          </w:tcPr>
          <w:p w14:paraId="0E69ECC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354 824,7</w:t>
            </w:r>
          </w:p>
        </w:tc>
        <w:tc>
          <w:tcPr>
            <w:tcW w:w="1134" w:type="dxa"/>
            <w:vAlign w:val="center"/>
          </w:tcPr>
          <w:p w14:paraId="10AC845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354 824,7</w:t>
            </w:r>
          </w:p>
        </w:tc>
        <w:tc>
          <w:tcPr>
            <w:tcW w:w="850" w:type="dxa"/>
            <w:vAlign w:val="center"/>
          </w:tcPr>
          <w:p w14:paraId="455E3B2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B10F5F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199 440,8</w:t>
            </w:r>
          </w:p>
        </w:tc>
        <w:tc>
          <w:tcPr>
            <w:tcW w:w="992" w:type="dxa"/>
            <w:vAlign w:val="center"/>
          </w:tcPr>
          <w:p w14:paraId="64B86BD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155 383,9</w:t>
            </w:r>
          </w:p>
        </w:tc>
        <w:tc>
          <w:tcPr>
            <w:tcW w:w="850" w:type="dxa"/>
            <w:vAlign w:val="center"/>
          </w:tcPr>
          <w:p w14:paraId="120E7EB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56,2</w:t>
            </w:r>
          </w:p>
        </w:tc>
      </w:tr>
      <w:tr w:rsidR="007A77E7" w:rsidRPr="007A77E7" w14:paraId="453EA3B7" w14:textId="77777777" w:rsidTr="00545B6E">
        <w:tc>
          <w:tcPr>
            <w:tcW w:w="2646" w:type="dxa"/>
          </w:tcPr>
          <w:p w14:paraId="4C9DFE04"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национальной экономики</w:t>
            </w:r>
          </w:p>
        </w:tc>
        <w:tc>
          <w:tcPr>
            <w:tcW w:w="769" w:type="dxa"/>
            <w:vAlign w:val="center"/>
          </w:tcPr>
          <w:p w14:paraId="6426BFF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0412</w:t>
            </w:r>
          </w:p>
        </w:tc>
        <w:tc>
          <w:tcPr>
            <w:tcW w:w="1216" w:type="dxa"/>
            <w:vAlign w:val="center"/>
          </w:tcPr>
          <w:p w14:paraId="3D9F186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1 875 803,2</w:t>
            </w:r>
          </w:p>
        </w:tc>
        <w:tc>
          <w:tcPr>
            <w:tcW w:w="1134" w:type="dxa"/>
            <w:vAlign w:val="center"/>
          </w:tcPr>
          <w:p w14:paraId="1B78380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1 617 387,1</w:t>
            </w:r>
          </w:p>
        </w:tc>
        <w:tc>
          <w:tcPr>
            <w:tcW w:w="850" w:type="dxa"/>
            <w:vAlign w:val="center"/>
          </w:tcPr>
          <w:p w14:paraId="6E0A541C" w14:textId="77777777" w:rsidR="007A77E7" w:rsidRPr="007A77E7" w:rsidRDefault="007A77E7" w:rsidP="007A77E7">
            <w:pPr>
              <w:widowControl w:val="0"/>
              <w:autoSpaceDE w:val="0"/>
              <w:autoSpaceDN w:val="0"/>
              <w:adjustRightInd w:val="0"/>
              <w:spacing w:after="0" w:line="240" w:lineRule="auto"/>
              <w:ind w:right="-57" w:hanging="90"/>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258 416,1</w:t>
            </w:r>
          </w:p>
        </w:tc>
        <w:tc>
          <w:tcPr>
            <w:tcW w:w="1135" w:type="dxa"/>
            <w:vAlign w:val="center"/>
          </w:tcPr>
          <w:p w14:paraId="1D49A1C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1 535 646,1</w:t>
            </w:r>
          </w:p>
        </w:tc>
        <w:tc>
          <w:tcPr>
            <w:tcW w:w="992" w:type="dxa"/>
            <w:vAlign w:val="center"/>
          </w:tcPr>
          <w:p w14:paraId="2CCFD61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81 741,0</w:t>
            </w:r>
          </w:p>
        </w:tc>
        <w:tc>
          <w:tcPr>
            <w:tcW w:w="850" w:type="dxa"/>
            <w:vAlign w:val="center"/>
          </w:tcPr>
          <w:p w14:paraId="3C55DE5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94,9</w:t>
            </w:r>
          </w:p>
        </w:tc>
      </w:tr>
      <w:tr w:rsidR="007A77E7" w:rsidRPr="007A77E7" w14:paraId="2AA45F4E" w14:textId="77777777" w:rsidTr="00545B6E">
        <w:tc>
          <w:tcPr>
            <w:tcW w:w="2646" w:type="dxa"/>
          </w:tcPr>
          <w:p w14:paraId="0F1B789A"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Жилищно-коммунальное хозяйство</w:t>
            </w:r>
          </w:p>
        </w:tc>
        <w:tc>
          <w:tcPr>
            <w:tcW w:w="769" w:type="dxa"/>
            <w:vAlign w:val="center"/>
          </w:tcPr>
          <w:p w14:paraId="2BEE6C9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0500</w:t>
            </w:r>
          </w:p>
        </w:tc>
        <w:tc>
          <w:tcPr>
            <w:tcW w:w="1216" w:type="dxa"/>
            <w:vAlign w:val="center"/>
          </w:tcPr>
          <w:p w14:paraId="74C96D2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8 006 854,9</w:t>
            </w:r>
          </w:p>
        </w:tc>
        <w:tc>
          <w:tcPr>
            <w:tcW w:w="1134" w:type="dxa"/>
            <w:vAlign w:val="center"/>
          </w:tcPr>
          <w:p w14:paraId="6E6D016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7 966 854,9</w:t>
            </w:r>
          </w:p>
        </w:tc>
        <w:tc>
          <w:tcPr>
            <w:tcW w:w="850" w:type="dxa"/>
            <w:vAlign w:val="center"/>
          </w:tcPr>
          <w:p w14:paraId="66DC9C7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40 000,0</w:t>
            </w:r>
          </w:p>
        </w:tc>
        <w:tc>
          <w:tcPr>
            <w:tcW w:w="1135" w:type="dxa"/>
            <w:vAlign w:val="center"/>
          </w:tcPr>
          <w:p w14:paraId="386B9AC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7 217 017,6</w:t>
            </w:r>
          </w:p>
        </w:tc>
        <w:tc>
          <w:tcPr>
            <w:tcW w:w="992" w:type="dxa"/>
            <w:vAlign w:val="center"/>
          </w:tcPr>
          <w:p w14:paraId="131CE549" w14:textId="77777777" w:rsidR="007A77E7" w:rsidRPr="007A77E7" w:rsidRDefault="007A77E7" w:rsidP="007A77E7">
            <w:pPr>
              <w:widowControl w:val="0"/>
              <w:autoSpaceDE w:val="0"/>
              <w:autoSpaceDN w:val="0"/>
              <w:adjustRightInd w:val="0"/>
              <w:spacing w:after="0" w:line="240" w:lineRule="auto"/>
              <w:ind w:left="-135"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749 837,3</w:t>
            </w:r>
          </w:p>
        </w:tc>
        <w:tc>
          <w:tcPr>
            <w:tcW w:w="850" w:type="dxa"/>
            <w:vAlign w:val="center"/>
          </w:tcPr>
          <w:p w14:paraId="5694EF1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90,6</w:t>
            </w:r>
          </w:p>
        </w:tc>
      </w:tr>
      <w:tr w:rsidR="007A77E7" w:rsidRPr="007A77E7" w14:paraId="3011B291" w14:textId="77777777" w:rsidTr="00545B6E">
        <w:tc>
          <w:tcPr>
            <w:tcW w:w="2646" w:type="dxa"/>
          </w:tcPr>
          <w:p w14:paraId="7EE8FE0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Жилищное хозяйство</w:t>
            </w:r>
          </w:p>
        </w:tc>
        <w:tc>
          <w:tcPr>
            <w:tcW w:w="769" w:type="dxa"/>
            <w:vAlign w:val="center"/>
          </w:tcPr>
          <w:p w14:paraId="4B66A32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0501</w:t>
            </w:r>
          </w:p>
        </w:tc>
        <w:tc>
          <w:tcPr>
            <w:tcW w:w="1216" w:type="dxa"/>
            <w:vAlign w:val="center"/>
          </w:tcPr>
          <w:p w14:paraId="3B8D904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240 521,3</w:t>
            </w:r>
          </w:p>
        </w:tc>
        <w:tc>
          <w:tcPr>
            <w:tcW w:w="1134" w:type="dxa"/>
            <w:vAlign w:val="center"/>
          </w:tcPr>
          <w:p w14:paraId="40E55C8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200 521,3</w:t>
            </w:r>
          </w:p>
        </w:tc>
        <w:tc>
          <w:tcPr>
            <w:tcW w:w="850" w:type="dxa"/>
            <w:vAlign w:val="center"/>
          </w:tcPr>
          <w:p w14:paraId="3A1B3AE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40 000,0</w:t>
            </w:r>
          </w:p>
        </w:tc>
        <w:tc>
          <w:tcPr>
            <w:tcW w:w="1135" w:type="dxa"/>
            <w:vAlign w:val="center"/>
          </w:tcPr>
          <w:p w14:paraId="41AF689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200 400,2</w:t>
            </w:r>
          </w:p>
        </w:tc>
        <w:tc>
          <w:tcPr>
            <w:tcW w:w="992" w:type="dxa"/>
            <w:vAlign w:val="center"/>
          </w:tcPr>
          <w:p w14:paraId="014B427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121,1</w:t>
            </w:r>
          </w:p>
        </w:tc>
        <w:tc>
          <w:tcPr>
            <w:tcW w:w="850" w:type="dxa"/>
            <w:vAlign w:val="center"/>
          </w:tcPr>
          <w:p w14:paraId="3F40B2A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99,9</w:t>
            </w:r>
          </w:p>
        </w:tc>
      </w:tr>
      <w:tr w:rsidR="007A77E7" w:rsidRPr="007A77E7" w14:paraId="52DCDB4A" w14:textId="77777777" w:rsidTr="00545B6E">
        <w:tc>
          <w:tcPr>
            <w:tcW w:w="2646" w:type="dxa"/>
          </w:tcPr>
          <w:p w14:paraId="31FC2F1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Коммунальное хозяйство</w:t>
            </w:r>
          </w:p>
        </w:tc>
        <w:tc>
          <w:tcPr>
            <w:tcW w:w="769" w:type="dxa"/>
            <w:vAlign w:val="center"/>
          </w:tcPr>
          <w:p w14:paraId="32A6FA4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0502</w:t>
            </w:r>
          </w:p>
        </w:tc>
        <w:tc>
          <w:tcPr>
            <w:tcW w:w="1216" w:type="dxa"/>
            <w:vAlign w:val="center"/>
          </w:tcPr>
          <w:p w14:paraId="4ADBE10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3 073 340,0</w:t>
            </w:r>
          </w:p>
        </w:tc>
        <w:tc>
          <w:tcPr>
            <w:tcW w:w="1134" w:type="dxa"/>
            <w:vAlign w:val="center"/>
          </w:tcPr>
          <w:p w14:paraId="70550A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3 073 340,0</w:t>
            </w:r>
          </w:p>
        </w:tc>
        <w:tc>
          <w:tcPr>
            <w:tcW w:w="850" w:type="dxa"/>
            <w:vAlign w:val="center"/>
          </w:tcPr>
          <w:p w14:paraId="097D267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2138EE8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2 429 110.5</w:t>
            </w:r>
          </w:p>
        </w:tc>
        <w:tc>
          <w:tcPr>
            <w:tcW w:w="992" w:type="dxa"/>
            <w:vAlign w:val="center"/>
          </w:tcPr>
          <w:p w14:paraId="2024A331" w14:textId="77777777" w:rsidR="007A77E7" w:rsidRPr="007A77E7" w:rsidRDefault="007A77E7" w:rsidP="007A77E7">
            <w:pPr>
              <w:widowControl w:val="0"/>
              <w:autoSpaceDE w:val="0"/>
              <w:autoSpaceDN w:val="0"/>
              <w:adjustRightInd w:val="0"/>
              <w:spacing w:after="0" w:line="240" w:lineRule="auto"/>
              <w:ind w:left="-135"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644 229,5</w:t>
            </w:r>
          </w:p>
        </w:tc>
        <w:tc>
          <w:tcPr>
            <w:tcW w:w="850" w:type="dxa"/>
            <w:vAlign w:val="center"/>
          </w:tcPr>
          <w:p w14:paraId="38954DF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79,0</w:t>
            </w:r>
          </w:p>
        </w:tc>
      </w:tr>
      <w:tr w:rsidR="007A77E7" w:rsidRPr="007A77E7" w14:paraId="28059E70" w14:textId="77777777" w:rsidTr="00545B6E">
        <w:tc>
          <w:tcPr>
            <w:tcW w:w="2646" w:type="dxa"/>
          </w:tcPr>
          <w:p w14:paraId="7DD5888F"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Благоустройство</w:t>
            </w:r>
          </w:p>
        </w:tc>
        <w:tc>
          <w:tcPr>
            <w:tcW w:w="769" w:type="dxa"/>
            <w:vAlign w:val="center"/>
          </w:tcPr>
          <w:p w14:paraId="03E4DE9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0503</w:t>
            </w:r>
          </w:p>
        </w:tc>
        <w:tc>
          <w:tcPr>
            <w:tcW w:w="1216" w:type="dxa"/>
            <w:vAlign w:val="center"/>
          </w:tcPr>
          <w:p w14:paraId="7E3D393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3 146 425,5</w:t>
            </w:r>
          </w:p>
        </w:tc>
        <w:tc>
          <w:tcPr>
            <w:tcW w:w="1134" w:type="dxa"/>
            <w:vAlign w:val="center"/>
          </w:tcPr>
          <w:p w14:paraId="0DC93A2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3 146 425,5</w:t>
            </w:r>
          </w:p>
        </w:tc>
        <w:tc>
          <w:tcPr>
            <w:tcW w:w="850" w:type="dxa"/>
            <w:vAlign w:val="center"/>
          </w:tcPr>
          <w:p w14:paraId="7BC8496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DB5A5F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3 142 730,2</w:t>
            </w:r>
          </w:p>
        </w:tc>
        <w:tc>
          <w:tcPr>
            <w:tcW w:w="992" w:type="dxa"/>
            <w:vAlign w:val="center"/>
          </w:tcPr>
          <w:p w14:paraId="4CAD377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3 695,3</w:t>
            </w:r>
          </w:p>
        </w:tc>
        <w:tc>
          <w:tcPr>
            <w:tcW w:w="850" w:type="dxa"/>
            <w:vAlign w:val="center"/>
          </w:tcPr>
          <w:p w14:paraId="2C35D3A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99,9</w:t>
            </w:r>
          </w:p>
        </w:tc>
      </w:tr>
      <w:tr w:rsidR="007A77E7" w:rsidRPr="007A77E7" w14:paraId="3F2BD8C8" w14:textId="77777777" w:rsidTr="00545B6E">
        <w:tc>
          <w:tcPr>
            <w:tcW w:w="2646" w:type="dxa"/>
          </w:tcPr>
          <w:p w14:paraId="7A9BF052"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жилищно-коммунального хозяйства</w:t>
            </w:r>
          </w:p>
        </w:tc>
        <w:tc>
          <w:tcPr>
            <w:tcW w:w="769" w:type="dxa"/>
            <w:vAlign w:val="center"/>
          </w:tcPr>
          <w:p w14:paraId="4B5F7E7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0505</w:t>
            </w:r>
          </w:p>
        </w:tc>
        <w:tc>
          <w:tcPr>
            <w:tcW w:w="1216" w:type="dxa"/>
            <w:vAlign w:val="center"/>
          </w:tcPr>
          <w:p w14:paraId="29844F4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1 546 568,1</w:t>
            </w:r>
          </w:p>
        </w:tc>
        <w:tc>
          <w:tcPr>
            <w:tcW w:w="1134" w:type="dxa"/>
            <w:vAlign w:val="center"/>
          </w:tcPr>
          <w:p w14:paraId="53E18C9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1 546 568,1</w:t>
            </w:r>
          </w:p>
        </w:tc>
        <w:tc>
          <w:tcPr>
            <w:tcW w:w="850" w:type="dxa"/>
            <w:vAlign w:val="center"/>
          </w:tcPr>
          <w:p w14:paraId="0EDC439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31AE36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1 444 776,7</w:t>
            </w:r>
          </w:p>
        </w:tc>
        <w:tc>
          <w:tcPr>
            <w:tcW w:w="992" w:type="dxa"/>
            <w:vAlign w:val="center"/>
          </w:tcPr>
          <w:p w14:paraId="2992F2E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101 791,4</w:t>
            </w:r>
          </w:p>
        </w:tc>
        <w:tc>
          <w:tcPr>
            <w:tcW w:w="850" w:type="dxa"/>
            <w:vAlign w:val="center"/>
          </w:tcPr>
          <w:p w14:paraId="057D9E3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93,4</w:t>
            </w:r>
          </w:p>
        </w:tc>
      </w:tr>
      <w:tr w:rsidR="007A77E7" w:rsidRPr="007A77E7" w14:paraId="72978D6A" w14:textId="77777777" w:rsidTr="00545B6E">
        <w:tc>
          <w:tcPr>
            <w:tcW w:w="2646" w:type="dxa"/>
          </w:tcPr>
          <w:p w14:paraId="102855F6"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Охрана окружающей среды</w:t>
            </w:r>
          </w:p>
        </w:tc>
        <w:tc>
          <w:tcPr>
            <w:tcW w:w="769" w:type="dxa"/>
            <w:vAlign w:val="center"/>
          </w:tcPr>
          <w:p w14:paraId="7676880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0600</w:t>
            </w:r>
          </w:p>
        </w:tc>
        <w:tc>
          <w:tcPr>
            <w:tcW w:w="1216" w:type="dxa"/>
            <w:vAlign w:val="center"/>
          </w:tcPr>
          <w:p w14:paraId="3C4D16D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249 534,7</w:t>
            </w:r>
          </w:p>
        </w:tc>
        <w:tc>
          <w:tcPr>
            <w:tcW w:w="1134" w:type="dxa"/>
            <w:vAlign w:val="center"/>
          </w:tcPr>
          <w:p w14:paraId="7472D74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249 534,7</w:t>
            </w:r>
          </w:p>
        </w:tc>
        <w:tc>
          <w:tcPr>
            <w:tcW w:w="850" w:type="dxa"/>
            <w:vAlign w:val="center"/>
          </w:tcPr>
          <w:p w14:paraId="74B8B09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5" w:type="dxa"/>
            <w:vAlign w:val="center"/>
          </w:tcPr>
          <w:p w14:paraId="6C5B013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183 813,6</w:t>
            </w:r>
          </w:p>
        </w:tc>
        <w:tc>
          <w:tcPr>
            <w:tcW w:w="992" w:type="dxa"/>
            <w:vAlign w:val="center"/>
          </w:tcPr>
          <w:p w14:paraId="7A49B68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65 721,1</w:t>
            </w:r>
          </w:p>
        </w:tc>
        <w:tc>
          <w:tcPr>
            <w:tcW w:w="850" w:type="dxa"/>
            <w:vAlign w:val="center"/>
          </w:tcPr>
          <w:p w14:paraId="78EB368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73,7</w:t>
            </w:r>
          </w:p>
        </w:tc>
      </w:tr>
      <w:tr w:rsidR="007A77E7" w:rsidRPr="007A77E7" w14:paraId="28047BEF" w14:textId="77777777" w:rsidTr="00545B6E">
        <w:tc>
          <w:tcPr>
            <w:tcW w:w="2646" w:type="dxa"/>
          </w:tcPr>
          <w:p w14:paraId="3B191A83"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Охрана объектов растительного и животного мира и среды их обитания</w:t>
            </w:r>
          </w:p>
        </w:tc>
        <w:tc>
          <w:tcPr>
            <w:tcW w:w="769" w:type="dxa"/>
            <w:vAlign w:val="center"/>
          </w:tcPr>
          <w:p w14:paraId="4D1AE8E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7A77E7">
              <w:rPr>
                <w:rFonts w:ascii="Times New Roman" w:eastAsia="Times New Roman" w:hAnsi="Times New Roman" w:cs="Times New Roman"/>
                <w:bCs/>
                <w:sz w:val="18"/>
                <w:szCs w:val="18"/>
                <w:lang w:eastAsia="ru-RU"/>
              </w:rPr>
              <w:t>0603</w:t>
            </w:r>
          </w:p>
        </w:tc>
        <w:tc>
          <w:tcPr>
            <w:tcW w:w="1216" w:type="dxa"/>
            <w:vAlign w:val="center"/>
          </w:tcPr>
          <w:p w14:paraId="1C66EE6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140 858,1</w:t>
            </w:r>
          </w:p>
        </w:tc>
        <w:tc>
          <w:tcPr>
            <w:tcW w:w="1134" w:type="dxa"/>
            <w:vAlign w:val="center"/>
          </w:tcPr>
          <w:p w14:paraId="33D45CC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140 858,1</w:t>
            </w:r>
          </w:p>
        </w:tc>
        <w:tc>
          <w:tcPr>
            <w:tcW w:w="850" w:type="dxa"/>
            <w:vAlign w:val="center"/>
          </w:tcPr>
          <w:p w14:paraId="74F9029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0FE4ED5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75 290,8</w:t>
            </w:r>
          </w:p>
        </w:tc>
        <w:tc>
          <w:tcPr>
            <w:tcW w:w="992" w:type="dxa"/>
            <w:vAlign w:val="center"/>
          </w:tcPr>
          <w:p w14:paraId="5C72DD8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65 567,3</w:t>
            </w:r>
          </w:p>
        </w:tc>
        <w:tc>
          <w:tcPr>
            <w:tcW w:w="850" w:type="dxa"/>
            <w:vAlign w:val="center"/>
          </w:tcPr>
          <w:p w14:paraId="3DA96E9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53,5</w:t>
            </w:r>
          </w:p>
        </w:tc>
      </w:tr>
      <w:tr w:rsidR="007A77E7" w:rsidRPr="007A77E7" w14:paraId="5D22DAE6" w14:textId="77777777" w:rsidTr="00545B6E">
        <w:tc>
          <w:tcPr>
            <w:tcW w:w="2646" w:type="dxa"/>
          </w:tcPr>
          <w:p w14:paraId="4F135AF0"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охраны окружающей среды</w:t>
            </w:r>
          </w:p>
        </w:tc>
        <w:tc>
          <w:tcPr>
            <w:tcW w:w="769" w:type="dxa"/>
            <w:vAlign w:val="center"/>
          </w:tcPr>
          <w:p w14:paraId="34947E3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0605</w:t>
            </w:r>
          </w:p>
        </w:tc>
        <w:tc>
          <w:tcPr>
            <w:tcW w:w="1216" w:type="dxa"/>
            <w:vAlign w:val="center"/>
          </w:tcPr>
          <w:p w14:paraId="3FBB7D7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108 676,6</w:t>
            </w:r>
          </w:p>
        </w:tc>
        <w:tc>
          <w:tcPr>
            <w:tcW w:w="1134" w:type="dxa"/>
            <w:vAlign w:val="center"/>
          </w:tcPr>
          <w:p w14:paraId="16CA1F5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108 676,6</w:t>
            </w:r>
          </w:p>
        </w:tc>
        <w:tc>
          <w:tcPr>
            <w:tcW w:w="850" w:type="dxa"/>
            <w:vAlign w:val="center"/>
          </w:tcPr>
          <w:p w14:paraId="632235C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27540C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108 522,8</w:t>
            </w:r>
          </w:p>
        </w:tc>
        <w:tc>
          <w:tcPr>
            <w:tcW w:w="992" w:type="dxa"/>
            <w:vAlign w:val="center"/>
          </w:tcPr>
          <w:p w14:paraId="5743AC7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153,8</w:t>
            </w:r>
          </w:p>
        </w:tc>
        <w:tc>
          <w:tcPr>
            <w:tcW w:w="850" w:type="dxa"/>
            <w:vAlign w:val="center"/>
          </w:tcPr>
          <w:p w14:paraId="5A3C7A0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99,8</w:t>
            </w:r>
          </w:p>
        </w:tc>
      </w:tr>
      <w:tr w:rsidR="007A77E7" w:rsidRPr="007A77E7" w14:paraId="524B7FB1" w14:textId="77777777" w:rsidTr="00545B6E">
        <w:tc>
          <w:tcPr>
            <w:tcW w:w="2646" w:type="dxa"/>
          </w:tcPr>
          <w:p w14:paraId="1D34A0C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Образование</w:t>
            </w:r>
          </w:p>
        </w:tc>
        <w:tc>
          <w:tcPr>
            <w:tcW w:w="769" w:type="dxa"/>
            <w:vAlign w:val="center"/>
          </w:tcPr>
          <w:p w14:paraId="070858A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0700</w:t>
            </w:r>
          </w:p>
        </w:tc>
        <w:tc>
          <w:tcPr>
            <w:tcW w:w="1216" w:type="dxa"/>
            <w:vAlign w:val="center"/>
          </w:tcPr>
          <w:p w14:paraId="663E6D5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59 194 515,2</w:t>
            </w:r>
          </w:p>
        </w:tc>
        <w:tc>
          <w:tcPr>
            <w:tcW w:w="1134" w:type="dxa"/>
            <w:vAlign w:val="center"/>
          </w:tcPr>
          <w:p w14:paraId="03F48410" w14:textId="77777777" w:rsidR="007A77E7" w:rsidRPr="007A77E7" w:rsidRDefault="007A77E7" w:rsidP="007A77E7">
            <w:pPr>
              <w:widowControl w:val="0"/>
              <w:autoSpaceDE w:val="0"/>
              <w:autoSpaceDN w:val="0"/>
              <w:adjustRightInd w:val="0"/>
              <w:spacing w:after="0" w:line="240" w:lineRule="auto"/>
              <w:ind w:left="-109"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58 629 138,9</w:t>
            </w:r>
          </w:p>
        </w:tc>
        <w:tc>
          <w:tcPr>
            <w:tcW w:w="850" w:type="dxa"/>
            <w:vAlign w:val="center"/>
          </w:tcPr>
          <w:p w14:paraId="567AFFCD" w14:textId="77777777" w:rsidR="007A77E7" w:rsidRPr="007A77E7" w:rsidRDefault="007A77E7" w:rsidP="007A77E7">
            <w:pPr>
              <w:widowControl w:val="0"/>
              <w:autoSpaceDE w:val="0"/>
              <w:autoSpaceDN w:val="0"/>
              <w:adjustRightInd w:val="0"/>
              <w:spacing w:after="0" w:line="240" w:lineRule="auto"/>
              <w:ind w:left="-137"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565 376,3</w:t>
            </w:r>
          </w:p>
        </w:tc>
        <w:tc>
          <w:tcPr>
            <w:tcW w:w="1135" w:type="dxa"/>
            <w:vAlign w:val="center"/>
          </w:tcPr>
          <w:p w14:paraId="47B438D5" w14:textId="77777777" w:rsidR="007A77E7" w:rsidRPr="007A77E7" w:rsidRDefault="007A77E7" w:rsidP="007A77E7">
            <w:pPr>
              <w:widowControl w:val="0"/>
              <w:autoSpaceDE w:val="0"/>
              <w:autoSpaceDN w:val="0"/>
              <w:adjustRightInd w:val="0"/>
              <w:spacing w:after="0" w:line="240" w:lineRule="auto"/>
              <w:ind w:left="-106"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50 710 404,0</w:t>
            </w:r>
          </w:p>
        </w:tc>
        <w:tc>
          <w:tcPr>
            <w:tcW w:w="992" w:type="dxa"/>
            <w:vAlign w:val="center"/>
          </w:tcPr>
          <w:p w14:paraId="67F529A7" w14:textId="77777777" w:rsidR="007A77E7" w:rsidRPr="007A77E7" w:rsidRDefault="007A77E7" w:rsidP="007A77E7">
            <w:pPr>
              <w:widowControl w:val="0"/>
              <w:autoSpaceDE w:val="0"/>
              <w:autoSpaceDN w:val="0"/>
              <w:adjustRightInd w:val="0"/>
              <w:spacing w:after="0" w:line="240" w:lineRule="auto"/>
              <w:ind w:left="-135"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7 918 734,9</w:t>
            </w:r>
          </w:p>
        </w:tc>
        <w:tc>
          <w:tcPr>
            <w:tcW w:w="850" w:type="dxa"/>
            <w:vAlign w:val="center"/>
          </w:tcPr>
          <w:p w14:paraId="434BE98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86,5</w:t>
            </w:r>
          </w:p>
        </w:tc>
      </w:tr>
      <w:tr w:rsidR="007A77E7" w:rsidRPr="007A77E7" w14:paraId="3DDBEF1D" w14:textId="77777777" w:rsidTr="00545B6E">
        <w:tc>
          <w:tcPr>
            <w:tcW w:w="2646" w:type="dxa"/>
          </w:tcPr>
          <w:p w14:paraId="356E8F5B"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Дошкольное образование</w:t>
            </w:r>
          </w:p>
        </w:tc>
        <w:tc>
          <w:tcPr>
            <w:tcW w:w="769" w:type="dxa"/>
            <w:vAlign w:val="center"/>
          </w:tcPr>
          <w:p w14:paraId="6D7E58A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0701</w:t>
            </w:r>
          </w:p>
        </w:tc>
        <w:tc>
          <w:tcPr>
            <w:tcW w:w="1216" w:type="dxa"/>
            <w:vAlign w:val="center"/>
          </w:tcPr>
          <w:p w14:paraId="231C845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10 152 211,8</w:t>
            </w:r>
          </w:p>
        </w:tc>
        <w:tc>
          <w:tcPr>
            <w:tcW w:w="1134" w:type="dxa"/>
            <w:vAlign w:val="center"/>
          </w:tcPr>
          <w:p w14:paraId="180CFC5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10 134 950,8</w:t>
            </w:r>
          </w:p>
        </w:tc>
        <w:tc>
          <w:tcPr>
            <w:tcW w:w="850" w:type="dxa"/>
            <w:vAlign w:val="center"/>
          </w:tcPr>
          <w:p w14:paraId="4539FC3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17 261,0</w:t>
            </w:r>
          </w:p>
        </w:tc>
        <w:tc>
          <w:tcPr>
            <w:tcW w:w="1135" w:type="dxa"/>
            <w:vAlign w:val="center"/>
          </w:tcPr>
          <w:p w14:paraId="5C8E671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7 809 594,0</w:t>
            </w:r>
          </w:p>
        </w:tc>
        <w:tc>
          <w:tcPr>
            <w:tcW w:w="992" w:type="dxa"/>
            <w:vAlign w:val="center"/>
          </w:tcPr>
          <w:p w14:paraId="5E156FF0" w14:textId="77777777" w:rsidR="007A77E7" w:rsidRPr="007A77E7" w:rsidRDefault="007A77E7" w:rsidP="007A77E7">
            <w:pPr>
              <w:widowControl w:val="0"/>
              <w:autoSpaceDE w:val="0"/>
              <w:autoSpaceDN w:val="0"/>
              <w:adjustRightInd w:val="0"/>
              <w:spacing w:after="0" w:line="240" w:lineRule="auto"/>
              <w:ind w:left="-135"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2 325 356,8</w:t>
            </w:r>
          </w:p>
        </w:tc>
        <w:tc>
          <w:tcPr>
            <w:tcW w:w="850" w:type="dxa"/>
            <w:vAlign w:val="center"/>
          </w:tcPr>
          <w:p w14:paraId="777425D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77,1</w:t>
            </w:r>
          </w:p>
        </w:tc>
      </w:tr>
      <w:tr w:rsidR="007A77E7" w:rsidRPr="007A77E7" w14:paraId="5C2ADA73" w14:textId="77777777" w:rsidTr="00545B6E">
        <w:tc>
          <w:tcPr>
            <w:tcW w:w="2646" w:type="dxa"/>
          </w:tcPr>
          <w:p w14:paraId="3970EEE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Общее образование</w:t>
            </w:r>
          </w:p>
        </w:tc>
        <w:tc>
          <w:tcPr>
            <w:tcW w:w="769" w:type="dxa"/>
            <w:vAlign w:val="center"/>
          </w:tcPr>
          <w:p w14:paraId="3C89AC5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0702</w:t>
            </w:r>
          </w:p>
        </w:tc>
        <w:tc>
          <w:tcPr>
            <w:tcW w:w="1216" w:type="dxa"/>
            <w:vAlign w:val="center"/>
          </w:tcPr>
          <w:p w14:paraId="08A58E0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44 012 223,9</w:t>
            </w:r>
          </w:p>
        </w:tc>
        <w:tc>
          <w:tcPr>
            <w:tcW w:w="1134" w:type="dxa"/>
            <w:vAlign w:val="center"/>
          </w:tcPr>
          <w:p w14:paraId="524759A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43 465 944,6</w:t>
            </w:r>
          </w:p>
        </w:tc>
        <w:tc>
          <w:tcPr>
            <w:tcW w:w="850" w:type="dxa"/>
            <w:vAlign w:val="center"/>
          </w:tcPr>
          <w:p w14:paraId="1646EF61" w14:textId="77777777" w:rsidR="007A77E7" w:rsidRPr="007A77E7" w:rsidRDefault="007A77E7" w:rsidP="007A77E7">
            <w:pPr>
              <w:widowControl w:val="0"/>
              <w:autoSpaceDE w:val="0"/>
              <w:autoSpaceDN w:val="0"/>
              <w:adjustRightInd w:val="0"/>
              <w:spacing w:after="0" w:line="240" w:lineRule="auto"/>
              <w:ind w:left="-137"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546 279,3</w:t>
            </w:r>
          </w:p>
        </w:tc>
        <w:tc>
          <w:tcPr>
            <w:tcW w:w="1135" w:type="dxa"/>
            <w:vAlign w:val="center"/>
          </w:tcPr>
          <w:p w14:paraId="3A5A06F3" w14:textId="77777777" w:rsidR="007A77E7" w:rsidRPr="007A77E7" w:rsidRDefault="007A77E7" w:rsidP="007A77E7">
            <w:pPr>
              <w:widowControl w:val="0"/>
              <w:autoSpaceDE w:val="0"/>
              <w:autoSpaceDN w:val="0"/>
              <w:adjustRightInd w:val="0"/>
              <w:spacing w:after="0" w:line="240" w:lineRule="auto"/>
              <w:ind w:left="-106"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37 918 737,7</w:t>
            </w:r>
          </w:p>
        </w:tc>
        <w:tc>
          <w:tcPr>
            <w:tcW w:w="992" w:type="dxa"/>
            <w:vAlign w:val="center"/>
          </w:tcPr>
          <w:p w14:paraId="2AC96049" w14:textId="77777777" w:rsidR="007A77E7" w:rsidRPr="007A77E7" w:rsidRDefault="007A77E7" w:rsidP="007A77E7">
            <w:pPr>
              <w:widowControl w:val="0"/>
              <w:autoSpaceDE w:val="0"/>
              <w:autoSpaceDN w:val="0"/>
              <w:adjustRightInd w:val="0"/>
              <w:spacing w:after="0" w:line="240" w:lineRule="auto"/>
              <w:ind w:left="-135"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5 547 206,9</w:t>
            </w:r>
          </w:p>
        </w:tc>
        <w:tc>
          <w:tcPr>
            <w:tcW w:w="850" w:type="dxa"/>
            <w:vAlign w:val="center"/>
          </w:tcPr>
          <w:p w14:paraId="0A7F995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87,2</w:t>
            </w:r>
          </w:p>
        </w:tc>
      </w:tr>
      <w:tr w:rsidR="007A77E7" w:rsidRPr="007A77E7" w14:paraId="7CE53233" w14:textId="77777777" w:rsidTr="00545B6E">
        <w:tc>
          <w:tcPr>
            <w:tcW w:w="2646" w:type="dxa"/>
          </w:tcPr>
          <w:p w14:paraId="730B55ED"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Дополнительное образование</w:t>
            </w:r>
          </w:p>
        </w:tc>
        <w:tc>
          <w:tcPr>
            <w:tcW w:w="769" w:type="dxa"/>
            <w:vAlign w:val="center"/>
          </w:tcPr>
          <w:p w14:paraId="14EC515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0703</w:t>
            </w:r>
          </w:p>
        </w:tc>
        <w:tc>
          <w:tcPr>
            <w:tcW w:w="1216" w:type="dxa"/>
            <w:vAlign w:val="center"/>
          </w:tcPr>
          <w:p w14:paraId="48FA6F1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923 444,5</w:t>
            </w:r>
          </w:p>
        </w:tc>
        <w:tc>
          <w:tcPr>
            <w:tcW w:w="1134" w:type="dxa"/>
            <w:vAlign w:val="center"/>
          </w:tcPr>
          <w:p w14:paraId="4A85C84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923 444,5</w:t>
            </w:r>
          </w:p>
        </w:tc>
        <w:tc>
          <w:tcPr>
            <w:tcW w:w="850" w:type="dxa"/>
            <w:vAlign w:val="center"/>
          </w:tcPr>
          <w:p w14:paraId="0961721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7A61859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904 493,3</w:t>
            </w:r>
          </w:p>
        </w:tc>
        <w:tc>
          <w:tcPr>
            <w:tcW w:w="992" w:type="dxa"/>
            <w:vAlign w:val="center"/>
          </w:tcPr>
          <w:p w14:paraId="0A4F9B8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18 951,2</w:t>
            </w:r>
          </w:p>
        </w:tc>
        <w:tc>
          <w:tcPr>
            <w:tcW w:w="850" w:type="dxa"/>
            <w:vAlign w:val="center"/>
          </w:tcPr>
          <w:p w14:paraId="2B0F16A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97,9</w:t>
            </w:r>
          </w:p>
        </w:tc>
      </w:tr>
      <w:tr w:rsidR="007A77E7" w:rsidRPr="007A77E7" w14:paraId="3A837501" w14:textId="77777777" w:rsidTr="00545B6E">
        <w:tc>
          <w:tcPr>
            <w:tcW w:w="2646" w:type="dxa"/>
          </w:tcPr>
          <w:p w14:paraId="7FC3C270"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 xml:space="preserve">Среднее профессиональное образование </w:t>
            </w:r>
          </w:p>
        </w:tc>
        <w:tc>
          <w:tcPr>
            <w:tcW w:w="769" w:type="dxa"/>
            <w:vAlign w:val="center"/>
          </w:tcPr>
          <w:p w14:paraId="140742E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0704</w:t>
            </w:r>
          </w:p>
        </w:tc>
        <w:tc>
          <w:tcPr>
            <w:tcW w:w="1216" w:type="dxa"/>
            <w:vAlign w:val="center"/>
          </w:tcPr>
          <w:p w14:paraId="759DF69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2 475 630,6</w:t>
            </w:r>
          </w:p>
        </w:tc>
        <w:tc>
          <w:tcPr>
            <w:tcW w:w="1134" w:type="dxa"/>
            <w:vAlign w:val="center"/>
          </w:tcPr>
          <w:p w14:paraId="480945C3" w14:textId="77777777" w:rsidR="007A77E7" w:rsidRPr="007A77E7" w:rsidRDefault="007A77E7" w:rsidP="007A77E7">
            <w:pPr>
              <w:widowControl w:val="0"/>
              <w:autoSpaceDE w:val="0"/>
              <w:autoSpaceDN w:val="0"/>
              <w:adjustRightInd w:val="0"/>
              <w:spacing w:after="0" w:line="240" w:lineRule="auto"/>
              <w:ind w:left="-149"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2 475 630,6</w:t>
            </w:r>
          </w:p>
        </w:tc>
        <w:tc>
          <w:tcPr>
            <w:tcW w:w="850" w:type="dxa"/>
            <w:vAlign w:val="center"/>
          </w:tcPr>
          <w:p w14:paraId="26C6141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7FDB6C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2 474 704,7</w:t>
            </w:r>
          </w:p>
        </w:tc>
        <w:tc>
          <w:tcPr>
            <w:tcW w:w="992" w:type="dxa"/>
            <w:vAlign w:val="center"/>
          </w:tcPr>
          <w:p w14:paraId="7B59FD3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925,9</w:t>
            </w:r>
          </w:p>
        </w:tc>
        <w:tc>
          <w:tcPr>
            <w:tcW w:w="850" w:type="dxa"/>
            <w:vAlign w:val="center"/>
          </w:tcPr>
          <w:p w14:paraId="4654B3D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99,9</w:t>
            </w:r>
          </w:p>
        </w:tc>
      </w:tr>
      <w:tr w:rsidR="007A77E7" w:rsidRPr="007A77E7" w14:paraId="5EBC92A4" w14:textId="77777777" w:rsidTr="00545B6E">
        <w:tc>
          <w:tcPr>
            <w:tcW w:w="2646" w:type="dxa"/>
          </w:tcPr>
          <w:p w14:paraId="602C688D"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lastRenderedPageBreak/>
              <w:t>Переподготовка и повышение квалификации</w:t>
            </w:r>
          </w:p>
        </w:tc>
        <w:tc>
          <w:tcPr>
            <w:tcW w:w="769" w:type="dxa"/>
            <w:vAlign w:val="center"/>
          </w:tcPr>
          <w:p w14:paraId="22B3C41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0705</w:t>
            </w:r>
          </w:p>
        </w:tc>
        <w:tc>
          <w:tcPr>
            <w:tcW w:w="1216" w:type="dxa"/>
            <w:vAlign w:val="center"/>
          </w:tcPr>
          <w:p w14:paraId="65774CA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352 291,5</w:t>
            </w:r>
          </w:p>
        </w:tc>
        <w:tc>
          <w:tcPr>
            <w:tcW w:w="1134" w:type="dxa"/>
            <w:vAlign w:val="center"/>
          </w:tcPr>
          <w:p w14:paraId="2CC54EE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352 291,5</w:t>
            </w:r>
          </w:p>
        </w:tc>
        <w:tc>
          <w:tcPr>
            <w:tcW w:w="850" w:type="dxa"/>
            <w:vAlign w:val="center"/>
          </w:tcPr>
          <w:p w14:paraId="2870EDC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0F5DC5E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350 818,8</w:t>
            </w:r>
          </w:p>
        </w:tc>
        <w:tc>
          <w:tcPr>
            <w:tcW w:w="992" w:type="dxa"/>
            <w:vAlign w:val="center"/>
          </w:tcPr>
          <w:p w14:paraId="1B7EF38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1 472,7</w:t>
            </w:r>
          </w:p>
        </w:tc>
        <w:tc>
          <w:tcPr>
            <w:tcW w:w="850" w:type="dxa"/>
            <w:vAlign w:val="center"/>
          </w:tcPr>
          <w:p w14:paraId="705096F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99,6</w:t>
            </w:r>
          </w:p>
        </w:tc>
      </w:tr>
      <w:tr w:rsidR="007A77E7" w:rsidRPr="007A77E7" w14:paraId="6348ABA2" w14:textId="77777777" w:rsidTr="00545B6E">
        <w:tc>
          <w:tcPr>
            <w:tcW w:w="2646" w:type="dxa"/>
          </w:tcPr>
          <w:p w14:paraId="035282CF"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Высшее профессиональное образование</w:t>
            </w:r>
          </w:p>
        </w:tc>
        <w:tc>
          <w:tcPr>
            <w:tcW w:w="769" w:type="dxa"/>
            <w:vAlign w:val="center"/>
          </w:tcPr>
          <w:p w14:paraId="0F7101E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0706</w:t>
            </w:r>
          </w:p>
        </w:tc>
        <w:tc>
          <w:tcPr>
            <w:tcW w:w="1216" w:type="dxa"/>
            <w:vAlign w:val="center"/>
          </w:tcPr>
          <w:p w14:paraId="7D622E4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344 820,4</w:t>
            </w:r>
          </w:p>
        </w:tc>
        <w:tc>
          <w:tcPr>
            <w:tcW w:w="1134" w:type="dxa"/>
            <w:vAlign w:val="center"/>
          </w:tcPr>
          <w:p w14:paraId="3A95DE8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344 820,4</w:t>
            </w:r>
          </w:p>
        </w:tc>
        <w:tc>
          <w:tcPr>
            <w:tcW w:w="850" w:type="dxa"/>
            <w:vAlign w:val="center"/>
          </w:tcPr>
          <w:p w14:paraId="2286328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14CAD2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344 770,4</w:t>
            </w:r>
          </w:p>
        </w:tc>
        <w:tc>
          <w:tcPr>
            <w:tcW w:w="992" w:type="dxa"/>
            <w:vAlign w:val="center"/>
          </w:tcPr>
          <w:p w14:paraId="459B515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50,0</w:t>
            </w:r>
          </w:p>
        </w:tc>
        <w:tc>
          <w:tcPr>
            <w:tcW w:w="850" w:type="dxa"/>
            <w:vAlign w:val="center"/>
          </w:tcPr>
          <w:p w14:paraId="728B40F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99,98</w:t>
            </w:r>
          </w:p>
        </w:tc>
      </w:tr>
      <w:tr w:rsidR="007A77E7" w:rsidRPr="007A77E7" w14:paraId="1617CCD7" w14:textId="77777777" w:rsidTr="00545B6E">
        <w:tc>
          <w:tcPr>
            <w:tcW w:w="2646" w:type="dxa"/>
          </w:tcPr>
          <w:p w14:paraId="75ED469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Молодежная политика и оздоровление детей</w:t>
            </w:r>
          </w:p>
        </w:tc>
        <w:tc>
          <w:tcPr>
            <w:tcW w:w="769" w:type="dxa"/>
            <w:vAlign w:val="center"/>
          </w:tcPr>
          <w:p w14:paraId="2AB9AF1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0707</w:t>
            </w:r>
          </w:p>
        </w:tc>
        <w:tc>
          <w:tcPr>
            <w:tcW w:w="1216" w:type="dxa"/>
            <w:vAlign w:val="center"/>
          </w:tcPr>
          <w:p w14:paraId="307E49F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341 333,4</w:t>
            </w:r>
          </w:p>
        </w:tc>
        <w:tc>
          <w:tcPr>
            <w:tcW w:w="1134" w:type="dxa"/>
            <w:vAlign w:val="center"/>
          </w:tcPr>
          <w:p w14:paraId="77E7547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341 333,4</w:t>
            </w:r>
          </w:p>
        </w:tc>
        <w:tc>
          <w:tcPr>
            <w:tcW w:w="850" w:type="dxa"/>
            <w:vAlign w:val="center"/>
          </w:tcPr>
          <w:p w14:paraId="009FBEE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0B6C93B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319 749,0</w:t>
            </w:r>
          </w:p>
        </w:tc>
        <w:tc>
          <w:tcPr>
            <w:tcW w:w="992" w:type="dxa"/>
            <w:vAlign w:val="center"/>
          </w:tcPr>
          <w:p w14:paraId="5F6CAD5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21 584,4</w:t>
            </w:r>
          </w:p>
        </w:tc>
        <w:tc>
          <w:tcPr>
            <w:tcW w:w="850" w:type="dxa"/>
            <w:vAlign w:val="center"/>
          </w:tcPr>
          <w:p w14:paraId="6743260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93,7</w:t>
            </w:r>
          </w:p>
        </w:tc>
      </w:tr>
      <w:tr w:rsidR="007A77E7" w:rsidRPr="007A77E7" w14:paraId="25F8EEBB" w14:textId="77777777" w:rsidTr="00545B6E">
        <w:tc>
          <w:tcPr>
            <w:tcW w:w="2646" w:type="dxa"/>
          </w:tcPr>
          <w:p w14:paraId="2A1A213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образования</w:t>
            </w:r>
          </w:p>
        </w:tc>
        <w:tc>
          <w:tcPr>
            <w:tcW w:w="769" w:type="dxa"/>
            <w:vAlign w:val="center"/>
          </w:tcPr>
          <w:p w14:paraId="4778C49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0709</w:t>
            </w:r>
          </w:p>
        </w:tc>
        <w:tc>
          <w:tcPr>
            <w:tcW w:w="1216" w:type="dxa"/>
            <w:vAlign w:val="center"/>
          </w:tcPr>
          <w:p w14:paraId="7F19F87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592 559,0</w:t>
            </w:r>
          </w:p>
        </w:tc>
        <w:tc>
          <w:tcPr>
            <w:tcW w:w="1134" w:type="dxa"/>
            <w:vAlign w:val="center"/>
          </w:tcPr>
          <w:p w14:paraId="225DEEDC" w14:textId="77777777" w:rsidR="007A77E7" w:rsidRPr="007A77E7" w:rsidRDefault="007A77E7" w:rsidP="007A77E7">
            <w:pPr>
              <w:widowControl w:val="0"/>
              <w:autoSpaceDE w:val="0"/>
              <w:autoSpaceDN w:val="0"/>
              <w:adjustRightInd w:val="0"/>
              <w:spacing w:after="0" w:line="240" w:lineRule="auto"/>
              <w:ind w:left="-109"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590 723,0</w:t>
            </w:r>
          </w:p>
        </w:tc>
        <w:tc>
          <w:tcPr>
            <w:tcW w:w="850" w:type="dxa"/>
            <w:vAlign w:val="center"/>
          </w:tcPr>
          <w:p w14:paraId="08A12AB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1 836,0</w:t>
            </w:r>
          </w:p>
        </w:tc>
        <w:tc>
          <w:tcPr>
            <w:tcW w:w="1135" w:type="dxa"/>
            <w:vAlign w:val="center"/>
          </w:tcPr>
          <w:p w14:paraId="29EF87B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587 536,1</w:t>
            </w:r>
          </w:p>
        </w:tc>
        <w:tc>
          <w:tcPr>
            <w:tcW w:w="992" w:type="dxa"/>
            <w:vAlign w:val="center"/>
          </w:tcPr>
          <w:p w14:paraId="65355E6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3 186,9</w:t>
            </w:r>
          </w:p>
        </w:tc>
        <w:tc>
          <w:tcPr>
            <w:tcW w:w="850" w:type="dxa"/>
            <w:vAlign w:val="center"/>
          </w:tcPr>
          <w:p w14:paraId="4B736BB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99,5</w:t>
            </w:r>
          </w:p>
        </w:tc>
      </w:tr>
      <w:tr w:rsidR="007A77E7" w:rsidRPr="007A77E7" w14:paraId="6C5A3BB1" w14:textId="77777777" w:rsidTr="00545B6E">
        <w:tc>
          <w:tcPr>
            <w:tcW w:w="2646" w:type="dxa"/>
          </w:tcPr>
          <w:p w14:paraId="59EB30D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 xml:space="preserve">Культура и кинематография </w:t>
            </w:r>
          </w:p>
        </w:tc>
        <w:tc>
          <w:tcPr>
            <w:tcW w:w="769" w:type="dxa"/>
            <w:vAlign w:val="center"/>
          </w:tcPr>
          <w:p w14:paraId="2EBD3E5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0800</w:t>
            </w:r>
          </w:p>
        </w:tc>
        <w:tc>
          <w:tcPr>
            <w:tcW w:w="1216" w:type="dxa"/>
            <w:vAlign w:val="center"/>
          </w:tcPr>
          <w:p w14:paraId="2D0E273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2 366 355,5</w:t>
            </w:r>
          </w:p>
        </w:tc>
        <w:tc>
          <w:tcPr>
            <w:tcW w:w="1134" w:type="dxa"/>
            <w:vAlign w:val="center"/>
          </w:tcPr>
          <w:p w14:paraId="1304248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2 366 355,5</w:t>
            </w:r>
          </w:p>
        </w:tc>
        <w:tc>
          <w:tcPr>
            <w:tcW w:w="850" w:type="dxa"/>
            <w:vAlign w:val="center"/>
          </w:tcPr>
          <w:p w14:paraId="20F93E6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5" w:type="dxa"/>
            <w:vAlign w:val="center"/>
          </w:tcPr>
          <w:p w14:paraId="14DCEC7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2 310 447,3</w:t>
            </w:r>
          </w:p>
        </w:tc>
        <w:tc>
          <w:tcPr>
            <w:tcW w:w="992" w:type="dxa"/>
            <w:vAlign w:val="center"/>
          </w:tcPr>
          <w:p w14:paraId="7A673C6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55 908,2</w:t>
            </w:r>
          </w:p>
        </w:tc>
        <w:tc>
          <w:tcPr>
            <w:tcW w:w="850" w:type="dxa"/>
            <w:vAlign w:val="center"/>
          </w:tcPr>
          <w:p w14:paraId="65864D8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97,6</w:t>
            </w:r>
          </w:p>
        </w:tc>
      </w:tr>
      <w:tr w:rsidR="007A77E7" w:rsidRPr="007A77E7" w14:paraId="20801867" w14:textId="77777777" w:rsidTr="00545B6E">
        <w:tc>
          <w:tcPr>
            <w:tcW w:w="2646" w:type="dxa"/>
          </w:tcPr>
          <w:p w14:paraId="5CB0DFD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Культура</w:t>
            </w:r>
          </w:p>
        </w:tc>
        <w:tc>
          <w:tcPr>
            <w:tcW w:w="769" w:type="dxa"/>
            <w:vAlign w:val="center"/>
          </w:tcPr>
          <w:p w14:paraId="08886D1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0801</w:t>
            </w:r>
          </w:p>
        </w:tc>
        <w:tc>
          <w:tcPr>
            <w:tcW w:w="1216" w:type="dxa"/>
            <w:vAlign w:val="center"/>
          </w:tcPr>
          <w:p w14:paraId="74CCC17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2 553 466,1</w:t>
            </w:r>
          </w:p>
        </w:tc>
        <w:tc>
          <w:tcPr>
            <w:tcW w:w="1134" w:type="dxa"/>
            <w:vAlign w:val="center"/>
          </w:tcPr>
          <w:p w14:paraId="6E28184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2 253 466,1</w:t>
            </w:r>
          </w:p>
        </w:tc>
        <w:tc>
          <w:tcPr>
            <w:tcW w:w="850" w:type="dxa"/>
            <w:vAlign w:val="center"/>
          </w:tcPr>
          <w:p w14:paraId="133922D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1FB002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2 198 200,4</w:t>
            </w:r>
          </w:p>
        </w:tc>
        <w:tc>
          <w:tcPr>
            <w:tcW w:w="992" w:type="dxa"/>
            <w:vAlign w:val="center"/>
          </w:tcPr>
          <w:p w14:paraId="6541B4C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55 265,7</w:t>
            </w:r>
          </w:p>
        </w:tc>
        <w:tc>
          <w:tcPr>
            <w:tcW w:w="850" w:type="dxa"/>
            <w:vAlign w:val="center"/>
          </w:tcPr>
          <w:p w14:paraId="24C1239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97,5</w:t>
            </w:r>
          </w:p>
        </w:tc>
      </w:tr>
      <w:tr w:rsidR="007A77E7" w:rsidRPr="007A77E7" w14:paraId="64799460" w14:textId="77777777" w:rsidTr="00545B6E">
        <w:tc>
          <w:tcPr>
            <w:tcW w:w="2646" w:type="dxa"/>
          </w:tcPr>
          <w:p w14:paraId="6D34DD24"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 xml:space="preserve">Другие вопросы в области культуры, кинематографии </w:t>
            </w:r>
          </w:p>
        </w:tc>
        <w:tc>
          <w:tcPr>
            <w:tcW w:w="769" w:type="dxa"/>
            <w:vAlign w:val="center"/>
          </w:tcPr>
          <w:p w14:paraId="201490F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0804</w:t>
            </w:r>
          </w:p>
        </w:tc>
        <w:tc>
          <w:tcPr>
            <w:tcW w:w="1216" w:type="dxa"/>
            <w:vAlign w:val="center"/>
          </w:tcPr>
          <w:p w14:paraId="500AE46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112 889,4</w:t>
            </w:r>
          </w:p>
        </w:tc>
        <w:tc>
          <w:tcPr>
            <w:tcW w:w="1134" w:type="dxa"/>
            <w:vAlign w:val="center"/>
          </w:tcPr>
          <w:p w14:paraId="4CE8D02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112 889,4</w:t>
            </w:r>
          </w:p>
        </w:tc>
        <w:tc>
          <w:tcPr>
            <w:tcW w:w="850" w:type="dxa"/>
            <w:vAlign w:val="center"/>
          </w:tcPr>
          <w:p w14:paraId="1A8663B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0AC9E3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112 246,9</w:t>
            </w:r>
          </w:p>
        </w:tc>
        <w:tc>
          <w:tcPr>
            <w:tcW w:w="992" w:type="dxa"/>
            <w:vAlign w:val="center"/>
          </w:tcPr>
          <w:p w14:paraId="693DFD3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642,5</w:t>
            </w:r>
          </w:p>
        </w:tc>
        <w:tc>
          <w:tcPr>
            <w:tcW w:w="850" w:type="dxa"/>
            <w:vAlign w:val="center"/>
          </w:tcPr>
          <w:p w14:paraId="0A2910E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99,4</w:t>
            </w:r>
          </w:p>
        </w:tc>
      </w:tr>
      <w:tr w:rsidR="007A77E7" w:rsidRPr="007A77E7" w14:paraId="1BCE6446" w14:textId="77777777" w:rsidTr="00545B6E">
        <w:tc>
          <w:tcPr>
            <w:tcW w:w="2646" w:type="dxa"/>
          </w:tcPr>
          <w:p w14:paraId="273E24C2"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 xml:space="preserve">Здравоохранение </w:t>
            </w:r>
          </w:p>
        </w:tc>
        <w:tc>
          <w:tcPr>
            <w:tcW w:w="769" w:type="dxa"/>
            <w:vAlign w:val="center"/>
          </w:tcPr>
          <w:p w14:paraId="1614DFF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0900</w:t>
            </w:r>
          </w:p>
        </w:tc>
        <w:tc>
          <w:tcPr>
            <w:tcW w:w="1216" w:type="dxa"/>
            <w:vAlign w:val="center"/>
          </w:tcPr>
          <w:p w14:paraId="39E02CF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15 773 915,1</w:t>
            </w:r>
          </w:p>
        </w:tc>
        <w:tc>
          <w:tcPr>
            <w:tcW w:w="1134" w:type="dxa"/>
            <w:vAlign w:val="center"/>
          </w:tcPr>
          <w:p w14:paraId="6829E8B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15 653 913,0</w:t>
            </w:r>
          </w:p>
        </w:tc>
        <w:tc>
          <w:tcPr>
            <w:tcW w:w="850" w:type="dxa"/>
            <w:vAlign w:val="center"/>
          </w:tcPr>
          <w:p w14:paraId="2AD12D97" w14:textId="77777777" w:rsidR="007A77E7" w:rsidRPr="007A77E7" w:rsidRDefault="007A77E7" w:rsidP="007A77E7">
            <w:pPr>
              <w:widowControl w:val="0"/>
              <w:autoSpaceDE w:val="0"/>
              <w:autoSpaceDN w:val="0"/>
              <w:adjustRightInd w:val="0"/>
              <w:spacing w:after="0" w:line="240" w:lineRule="auto"/>
              <w:ind w:right="-57" w:hanging="90"/>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120 002,1</w:t>
            </w:r>
          </w:p>
        </w:tc>
        <w:tc>
          <w:tcPr>
            <w:tcW w:w="1135" w:type="dxa"/>
            <w:vAlign w:val="center"/>
          </w:tcPr>
          <w:p w14:paraId="35CEB86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14 763 947,2</w:t>
            </w:r>
          </w:p>
        </w:tc>
        <w:tc>
          <w:tcPr>
            <w:tcW w:w="992" w:type="dxa"/>
            <w:vAlign w:val="center"/>
          </w:tcPr>
          <w:p w14:paraId="5685D469" w14:textId="77777777" w:rsidR="007A77E7" w:rsidRPr="007A77E7" w:rsidRDefault="007A77E7" w:rsidP="007A77E7">
            <w:pPr>
              <w:widowControl w:val="0"/>
              <w:autoSpaceDE w:val="0"/>
              <w:autoSpaceDN w:val="0"/>
              <w:adjustRightInd w:val="0"/>
              <w:spacing w:after="0" w:line="240" w:lineRule="auto"/>
              <w:ind w:left="-138"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889 965,8</w:t>
            </w:r>
          </w:p>
        </w:tc>
        <w:tc>
          <w:tcPr>
            <w:tcW w:w="850" w:type="dxa"/>
            <w:vAlign w:val="center"/>
          </w:tcPr>
          <w:p w14:paraId="67329D6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94,3</w:t>
            </w:r>
          </w:p>
        </w:tc>
      </w:tr>
      <w:tr w:rsidR="007A77E7" w:rsidRPr="007A77E7" w14:paraId="5568A57A" w14:textId="77777777" w:rsidTr="00545B6E">
        <w:tc>
          <w:tcPr>
            <w:tcW w:w="2646" w:type="dxa"/>
          </w:tcPr>
          <w:p w14:paraId="57E986B4"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Стационарная медицинская помощь</w:t>
            </w:r>
          </w:p>
        </w:tc>
        <w:tc>
          <w:tcPr>
            <w:tcW w:w="769" w:type="dxa"/>
            <w:vAlign w:val="center"/>
          </w:tcPr>
          <w:p w14:paraId="34E186D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0901</w:t>
            </w:r>
          </w:p>
        </w:tc>
        <w:tc>
          <w:tcPr>
            <w:tcW w:w="1216" w:type="dxa"/>
            <w:vAlign w:val="center"/>
          </w:tcPr>
          <w:p w14:paraId="4AFF1C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3 362 501,4</w:t>
            </w:r>
          </w:p>
        </w:tc>
        <w:tc>
          <w:tcPr>
            <w:tcW w:w="1134" w:type="dxa"/>
            <w:vAlign w:val="center"/>
          </w:tcPr>
          <w:p w14:paraId="37F1990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3 362 500,2</w:t>
            </w:r>
          </w:p>
        </w:tc>
        <w:tc>
          <w:tcPr>
            <w:tcW w:w="850" w:type="dxa"/>
            <w:vAlign w:val="center"/>
          </w:tcPr>
          <w:p w14:paraId="4A8758F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1,2</w:t>
            </w:r>
          </w:p>
        </w:tc>
        <w:tc>
          <w:tcPr>
            <w:tcW w:w="1135" w:type="dxa"/>
            <w:vAlign w:val="center"/>
          </w:tcPr>
          <w:p w14:paraId="456CA58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3 156 220,5</w:t>
            </w:r>
          </w:p>
        </w:tc>
        <w:tc>
          <w:tcPr>
            <w:tcW w:w="992" w:type="dxa"/>
            <w:vAlign w:val="center"/>
          </w:tcPr>
          <w:p w14:paraId="7417869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206 279,7</w:t>
            </w:r>
          </w:p>
        </w:tc>
        <w:tc>
          <w:tcPr>
            <w:tcW w:w="850" w:type="dxa"/>
            <w:vAlign w:val="center"/>
          </w:tcPr>
          <w:p w14:paraId="4593E29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93,9</w:t>
            </w:r>
          </w:p>
        </w:tc>
      </w:tr>
      <w:tr w:rsidR="007A77E7" w:rsidRPr="007A77E7" w14:paraId="58D3D05D" w14:textId="77777777" w:rsidTr="00545B6E">
        <w:tc>
          <w:tcPr>
            <w:tcW w:w="2646" w:type="dxa"/>
          </w:tcPr>
          <w:p w14:paraId="2AA1255E"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Амбулаторная помощь</w:t>
            </w:r>
          </w:p>
        </w:tc>
        <w:tc>
          <w:tcPr>
            <w:tcW w:w="769" w:type="dxa"/>
            <w:vAlign w:val="center"/>
          </w:tcPr>
          <w:p w14:paraId="03235E2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0902</w:t>
            </w:r>
          </w:p>
        </w:tc>
        <w:tc>
          <w:tcPr>
            <w:tcW w:w="1216" w:type="dxa"/>
            <w:vAlign w:val="center"/>
          </w:tcPr>
          <w:p w14:paraId="7EDF607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2 569 892,1</w:t>
            </w:r>
          </w:p>
        </w:tc>
        <w:tc>
          <w:tcPr>
            <w:tcW w:w="1134" w:type="dxa"/>
            <w:vAlign w:val="center"/>
          </w:tcPr>
          <w:p w14:paraId="5A85C4A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2 569 892,1</w:t>
            </w:r>
          </w:p>
        </w:tc>
        <w:tc>
          <w:tcPr>
            <w:tcW w:w="850" w:type="dxa"/>
            <w:vAlign w:val="center"/>
          </w:tcPr>
          <w:p w14:paraId="58D6F7D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9EEC88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2 552 254,3</w:t>
            </w:r>
          </w:p>
        </w:tc>
        <w:tc>
          <w:tcPr>
            <w:tcW w:w="992" w:type="dxa"/>
            <w:vAlign w:val="center"/>
          </w:tcPr>
          <w:p w14:paraId="688F993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17 637,8</w:t>
            </w:r>
          </w:p>
        </w:tc>
        <w:tc>
          <w:tcPr>
            <w:tcW w:w="850" w:type="dxa"/>
            <w:vAlign w:val="center"/>
          </w:tcPr>
          <w:p w14:paraId="67F5B95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99,3</w:t>
            </w:r>
          </w:p>
        </w:tc>
      </w:tr>
      <w:tr w:rsidR="007A77E7" w:rsidRPr="007A77E7" w14:paraId="00A19300" w14:textId="77777777" w:rsidTr="00545B6E">
        <w:tc>
          <w:tcPr>
            <w:tcW w:w="2646" w:type="dxa"/>
          </w:tcPr>
          <w:p w14:paraId="50ED5B7F"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Медицинская помощь в дневных стационарах</w:t>
            </w:r>
          </w:p>
        </w:tc>
        <w:tc>
          <w:tcPr>
            <w:tcW w:w="769" w:type="dxa"/>
            <w:vAlign w:val="center"/>
          </w:tcPr>
          <w:p w14:paraId="3CDBFD9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0903</w:t>
            </w:r>
          </w:p>
        </w:tc>
        <w:tc>
          <w:tcPr>
            <w:tcW w:w="1216" w:type="dxa"/>
            <w:vAlign w:val="center"/>
          </w:tcPr>
          <w:p w14:paraId="5E9B62C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25 090,0</w:t>
            </w:r>
          </w:p>
        </w:tc>
        <w:tc>
          <w:tcPr>
            <w:tcW w:w="1134" w:type="dxa"/>
            <w:vAlign w:val="center"/>
          </w:tcPr>
          <w:p w14:paraId="0A28D0C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25 090,0</w:t>
            </w:r>
          </w:p>
        </w:tc>
        <w:tc>
          <w:tcPr>
            <w:tcW w:w="850" w:type="dxa"/>
            <w:vAlign w:val="center"/>
          </w:tcPr>
          <w:p w14:paraId="5ADEE28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3A5F6C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24 714,4</w:t>
            </w:r>
          </w:p>
        </w:tc>
        <w:tc>
          <w:tcPr>
            <w:tcW w:w="992" w:type="dxa"/>
            <w:vAlign w:val="center"/>
          </w:tcPr>
          <w:p w14:paraId="00F98CB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375,6</w:t>
            </w:r>
          </w:p>
        </w:tc>
        <w:tc>
          <w:tcPr>
            <w:tcW w:w="850" w:type="dxa"/>
            <w:vAlign w:val="center"/>
          </w:tcPr>
          <w:p w14:paraId="0098CA9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98,5</w:t>
            </w:r>
          </w:p>
        </w:tc>
      </w:tr>
      <w:tr w:rsidR="007A77E7" w:rsidRPr="007A77E7" w14:paraId="5FBD053C" w14:textId="77777777" w:rsidTr="00545B6E">
        <w:tc>
          <w:tcPr>
            <w:tcW w:w="2646" w:type="dxa"/>
          </w:tcPr>
          <w:p w14:paraId="51911B2F"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Скорая медицинская помощь</w:t>
            </w:r>
          </w:p>
        </w:tc>
        <w:tc>
          <w:tcPr>
            <w:tcW w:w="769" w:type="dxa"/>
            <w:vAlign w:val="center"/>
          </w:tcPr>
          <w:p w14:paraId="46CCC3C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0904</w:t>
            </w:r>
          </w:p>
        </w:tc>
        <w:tc>
          <w:tcPr>
            <w:tcW w:w="1216" w:type="dxa"/>
            <w:vAlign w:val="center"/>
          </w:tcPr>
          <w:p w14:paraId="387F2ED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347 093,9</w:t>
            </w:r>
          </w:p>
        </w:tc>
        <w:tc>
          <w:tcPr>
            <w:tcW w:w="1134" w:type="dxa"/>
            <w:vAlign w:val="center"/>
          </w:tcPr>
          <w:p w14:paraId="0234B28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347 093,9</w:t>
            </w:r>
          </w:p>
        </w:tc>
        <w:tc>
          <w:tcPr>
            <w:tcW w:w="850" w:type="dxa"/>
            <w:vAlign w:val="center"/>
          </w:tcPr>
          <w:p w14:paraId="3AB1459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DC6E72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339 694,9</w:t>
            </w:r>
          </w:p>
        </w:tc>
        <w:tc>
          <w:tcPr>
            <w:tcW w:w="992" w:type="dxa"/>
            <w:vAlign w:val="center"/>
          </w:tcPr>
          <w:p w14:paraId="129EB05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7 399,0</w:t>
            </w:r>
          </w:p>
        </w:tc>
        <w:tc>
          <w:tcPr>
            <w:tcW w:w="850" w:type="dxa"/>
            <w:vAlign w:val="center"/>
          </w:tcPr>
          <w:p w14:paraId="6CDFC60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97,9</w:t>
            </w:r>
          </w:p>
        </w:tc>
      </w:tr>
      <w:tr w:rsidR="007A77E7" w:rsidRPr="007A77E7" w14:paraId="2975649A" w14:textId="77777777" w:rsidTr="00545B6E">
        <w:tc>
          <w:tcPr>
            <w:tcW w:w="2646" w:type="dxa"/>
          </w:tcPr>
          <w:p w14:paraId="717EB106"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Санаторно-оздоровительная помощь</w:t>
            </w:r>
          </w:p>
        </w:tc>
        <w:tc>
          <w:tcPr>
            <w:tcW w:w="769" w:type="dxa"/>
            <w:vAlign w:val="center"/>
          </w:tcPr>
          <w:p w14:paraId="245A386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0905</w:t>
            </w:r>
          </w:p>
        </w:tc>
        <w:tc>
          <w:tcPr>
            <w:tcW w:w="1216" w:type="dxa"/>
            <w:vAlign w:val="center"/>
          </w:tcPr>
          <w:p w14:paraId="34329FC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88 836,3</w:t>
            </w:r>
          </w:p>
        </w:tc>
        <w:tc>
          <w:tcPr>
            <w:tcW w:w="1134" w:type="dxa"/>
            <w:vAlign w:val="center"/>
          </w:tcPr>
          <w:p w14:paraId="1527B53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88 836,3</w:t>
            </w:r>
          </w:p>
        </w:tc>
        <w:tc>
          <w:tcPr>
            <w:tcW w:w="850" w:type="dxa"/>
            <w:vAlign w:val="center"/>
          </w:tcPr>
          <w:p w14:paraId="2F609DE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2895ADD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78 505,8</w:t>
            </w:r>
          </w:p>
        </w:tc>
        <w:tc>
          <w:tcPr>
            <w:tcW w:w="992" w:type="dxa"/>
            <w:vAlign w:val="center"/>
          </w:tcPr>
          <w:p w14:paraId="113AB03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10 330,5</w:t>
            </w:r>
          </w:p>
        </w:tc>
        <w:tc>
          <w:tcPr>
            <w:tcW w:w="850" w:type="dxa"/>
            <w:vAlign w:val="center"/>
          </w:tcPr>
          <w:p w14:paraId="13867CF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88,4</w:t>
            </w:r>
          </w:p>
        </w:tc>
      </w:tr>
      <w:tr w:rsidR="007A77E7" w:rsidRPr="007A77E7" w14:paraId="16176CF6" w14:textId="77777777" w:rsidTr="00545B6E">
        <w:tc>
          <w:tcPr>
            <w:tcW w:w="2646" w:type="dxa"/>
          </w:tcPr>
          <w:p w14:paraId="17A1435C"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 xml:space="preserve">Заготовка, переработка, хранение и обеспечение безопасности донорской крови и ее компонентов  </w:t>
            </w:r>
          </w:p>
        </w:tc>
        <w:tc>
          <w:tcPr>
            <w:tcW w:w="769" w:type="dxa"/>
            <w:vAlign w:val="center"/>
          </w:tcPr>
          <w:p w14:paraId="20A1EAF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0906</w:t>
            </w:r>
          </w:p>
        </w:tc>
        <w:tc>
          <w:tcPr>
            <w:tcW w:w="1216" w:type="dxa"/>
            <w:vAlign w:val="center"/>
          </w:tcPr>
          <w:p w14:paraId="7EC0486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218 454,4</w:t>
            </w:r>
          </w:p>
        </w:tc>
        <w:tc>
          <w:tcPr>
            <w:tcW w:w="1134" w:type="dxa"/>
            <w:vAlign w:val="center"/>
          </w:tcPr>
          <w:p w14:paraId="31A620C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218 454,4</w:t>
            </w:r>
          </w:p>
        </w:tc>
        <w:tc>
          <w:tcPr>
            <w:tcW w:w="850" w:type="dxa"/>
            <w:vAlign w:val="center"/>
          </w:tcPr>
          <w:p w14:paraId="4D448D9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59F9D4F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218 454,4</w:t>
            </w:r>
          </w:p>
        </w:tc>
        <w:tc>
          <w:tcPr>
            <w:tcW w:w="992" w:type="dxa"/>
            <w:vAlign w:val="center"/>
          </w:tcPr>
          <w:p w14:paraId="606CF20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4E8D197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312F191E" w14:textId="77777777" w:rsidTr="00545B6E">
        <w:tc>
          <w:tcPr>
            <w:tcW w:w="2646" w:type="dxa"/>
          </w:tcPr>
          <w:p w14:paraId="1BBBD4B7"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 xml:space="preserve">Санитарно-эпидемиологическое благополучие </w:t>
            </w:r>
          </w:p>
        </w:tc>
        <w:tc>
          <w:tcPr>
            <w:tcW w:w="769" w:type="dxa"/>
            <w:vAlign w:val="center"/>
          </w:tcPr>
          <w:p w14:paraId="0FDC1E9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0907</w:t>
            </w:r>
          </w:p>
        </w:tc>
        <w:tc>
          <w:tcPr>
            <w:tcW w:w="1216" w:type="dxa"/>
            <w:vAlign w:val="center"/>
          </w:tcPr>
          <w:p w14:paraId="0A8D48F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24 000,0</w:t>
            </w:r>
          </w:p>
        </w:tc>
        <w:tc>
          <w:tcPr>
            <w:tcW w:w="1134" w:type="dxa"/>
            <w:vAlign w:val="center"/>
          </w:tcPr>
          <w:p w14:paraId="6935E11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23 999,1</w:t>
            </w:r>
          </w:p>
        </w:tc>
        <w:tc>
          <w:tcPr>
            <w:tcW w:w="850" w:type="dxa"/>
            <w:vAlign w:val="center"/>
          </w:tcPr>
          <w:p w14:paraId="5309C8C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w:t>
            </w:r>
          </w:p>
        </w:tc>
        <w:tc>
          <w:tcPr>
            <w:tcW w:w="1135" w:type="dxa"/>
            <w:vAlign w:val="center"/>
          </w:tcPr>
          <w:p w14:paraId="3968AA2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23 998,8</w:t>
            </w:r>
          </w:p>
        </w:tc>
        <w:tc>
          <w:tcPr>
            <w:tcW w:w="992" w:type="dxa"/>
            <w:vAlign w:val="center"/>
          </w:tcPr>
          <w:p w14:paraId="7F54598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0,3</w:t>
            </w:r>
          </w:p>
        </w:tc>
        <w:tc>
          <w:tcPr>
            <w:tcW w:w="850" w:type="dxa"/>
            <w:vAlign w:val="center"/>
          </w:tcPr>
          <w:p w14:paraId="61FC900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6ADAC946" w14:textId="77777777" w:rsidTr="00545B6E">
        <w:tc>
          <w:tcPr>
            <w:tcW w:w="2646" w:type="dxa"/>
          </w:tcPr>
          <w:p w14:paraId="76E357EE"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здравоохранения</w:t>
            </w:r>
          </w:p>
        </w:tc>
        <w:tc>
          <w:tcPr>
            <w:tcW w:w="769" w:type="dxa"/>
            <w:vAlign w:val="center"/>
          </w:tcPr>
          <w:p w14:paraId="0AB142F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0909</w:t>
            </w:r>
          </w:p>
        </w:tc>
        <w:tc>
          <w:tcPr>
            <w:tcW w:w="1216" w:type="dxa"/>
            <w:vAlign w:val="center"/>
          </w:tcPr>
          <w:p w14:paraId="4D62E12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9 138 047,0</w:t>
            </w:r>
          </w:p>
        </w:tc>
        <w:tc>
          <w:tcPr>
            <w:tcW w:w="1134" w:type="dxa"/>
            <w:vAlign w:val="center"/>
          </w:tcPr>
          <w:p w14:paraId="6564BD2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9 018 047,0</w:t>
            </w:r>
          </w:p>
        </w:tc>
        <w:tc>
          <w:tcPr>
            <w:tcW w:w="850" w:type="dxa"/>
            <w:vAlign w:val="center"/>
          </w:tcPr>
          <w:p w14:paraId="64B98A82" w14:textId="77777777" w:rsidR="007A77E7" w:rsidRPr="007A77E7" w:rsidRDefault="007A77E7" w:rsidP="007A77E7">
            <w:pPr>
              <w:widowControl w:val="0"/>
              <w:autoSpaceDE w:val="0"/>
              <w:autoSpaceDN w:val="0"/>
              <w:adjustRightInd w:val="0"/>
              <w:spacing w:after="0" w:line="240" w:lineRule="auto"/>
              <w:ind w:right="-57" w:hanging="90"/>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120 000,0</w:t>
            </w:r>
          </w:p>
        </w:tc>
        <w:tc>
          <w:tcPr>
            <w:tcW w:w="1135" w:type="dxa"/>
            <w:vAlign w:val="center"/>
          </w:tcPr>
          <w:p w14:paraId="3D039B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8 370 104,1</w:t>
            </w:r>
          </w:p>
        </w:tc>
        <w:tc>
          <w:tcPr>
            <w:tcW w:w="992" w:type="dxa"/>
            <w:vAlign w:val="center"/>
          </w:tcPr>
          <w:p w14:paraId="4E6DBA20" w14:textId="77777777" w:rsidR="007A77E7" w:rsidRPr="007A77E7" w:rsidRDefault="007A77E7" w:rsidP="007A77E7">
            <w:pPr>
              <w:widowControl w:val="0"/>
              <w:autoSpaceDE w:val="0"/>
              <w:autoSpaceDN w:val="0"/>
              <w:adjustRightInd w:val="0"/>
              <w:spacing w:after="0" w:line="240" w:lineRule="auto"/>
              <w:ind w:left="-138"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647 942,9</w:t>
            </w:r>
          </w:p>
        </w:tc>
        <w:tc>
          <w:tcPr>
            <w:tcW w:w="850" w:type="dxa"/>
            <w:vAlign w:val="center"/>
          </w:tcPr>
          <w:p w14:paraId="628A333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92,8</w:t>
            </w:r>
          </w:p>
        </w:tc>
      </w:tr>
      <w:tr w:rsidR="007A77E7" w:rsidRPr="007A77E7" w14:paraId="3F332E4C" w14:textId="77777777" w:rsidTr="00545B6E">
        <w:tc>
          <w:tcPr>
            <w:tcW w:w="2646" w:type="dxa"/>
          </w:tcPr>
          <w:p w14:paraId="6668608A"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Социальная политика</w:t>
            </w:r>
          </w:p>
        </w:tc>
        <w:tc>
          <w:tcPr>
            <w:tcW w:w="769" w:type="dxa"/>
            <w:vAlign w:val="center"/>
          </w:tcPr>
          <w:p w14:paraId="4D4C6D5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1000</w:t>
            </w:r>
          </w:p>
        </w:tc>
        <w:tc>
          <w:tcPr>
            <w:tcW w:w="1216" w:type="dxa"/>
            <w:vAlign w:val="center"/>
          </w:tcPr>
          <w:p w14:paraId="080C83D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55 651 376,2</w:t>
            </w:r>
          </w:p>
        </w:tc>
        <w:tc>
          <w:tcPr>
            <w:tcW w:w="1134" w:type="dxa"/>
            <w:vAlign w:val="center"/>
          </w:tcPr>
          <w:p w14:paraId="6329CC8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55 651 376,2</w:t>
            </w:r>
          </w:p>
        </w:tc>
        <w:tc>
          <w:tcPr>
            <w:tcW w:w="850" w:type="dxa"/>
            <w:vAlign w:val="center"/>
          </w:tcPr>
          <w:p w14:paraId="55975A1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5" w:type="dxa"/>
            <w:vAlign w:val="center"/>
          </w:tcPr>
          <w:p w14:paraId="2A66F28D" w14:textId="77777777" w:rsidR="007A77E7" w:rsidRPr="007A77E7" w:rsidRDefault="007A77E7" w:rsidP="007A77E7">
            <w:pPr>
              <w:widowControl w:val="0"/>
              <w:autoSpaceDE w:val="0"/>
              <w:autoSpaceDN w:val="0"/>
              <w:adjustRightInd w:val="0"/>
              <w:spacing w:after="0" w:line="240" w:lineRule="auto"/>
              <w:ind w:left="-106"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55 446 918,2</w:t>
            </w:r>
          </w:p>
        </w:tc>
        <w:tc>
          <w:tcPr>
            <w:tcW w:w="992" w:type="dxa"/>
            <w:vAlign w:val="center"/>
          </w:tcPr>
          <w:p w14:paraId="4A73E3C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204 458,0</w:t>
            </w:r>
          </w:p>
        </w:tc>
        <w:tc>
          <w:tcPr>
            <w:tcW w:w="850" w:type="dxa"/>
            <w:vAlign w:val="center"/>
          </w:tcPr>
          <w:p w14:paraId="5AF68AA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99,6</w:t>
            </w:r>
          </w:p>
        </w:tc>
      </w:tr>
      <w:tr w:rsidR="007A77E7" w:rsidRPr="007A77E7" w14:paraId="18565825" w14:textId="77777777" w:rsidTr="00545B6E">
        <w:tc>
          <w:tcPr>
            <w:tcW w:w="2646" w:type="dxa"/>
          </w:tcPr>
          <w:p w14:paraId="2983E178"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Пенсионное обеспечение</w:t>
            </w:r>
          </w:p>
        </w:tc>
        <w:tc>
          <w:tcPr>
            <w:tcW w:w="769" w:type="dxa"/>
            <w:vAlign w:val="center"/>
          </w:tcPr>
          <w:p w14:paraId="436D737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1001</w:t>
            </w:r>
          </w:p>
        </w:tc>
        <w:tc>
          <w:tcPr>
            <w:tcW w:w="1216" w:type="dxa"/>
            <w:vAlign w:val="center"/>
          </w:tcPr>
          <w:p w14:paraId="58F453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245 014.9</w:t>
            </w:r>
          </w:p>
        </w:tc>
        <w:tc>
          <w:tcPr>
            <w:tcW w:w="1134" w:type="dxa"/>
            <w:vAlign w:val="center"/>
          </w:tcPr>
          <w:p w14:paraId="3030A42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245 014.9</w:t>
            </w:r>
          </w:p>
        </w:tc>
        <w:tc>
          <w:tcPr>
            <w:tcW w:w="850" w:type="dxa"/>
            <w:vAlign w:val="center"/>
          </w:tcPr>
          <w:p w14:paraId="55176C0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7E9810E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243 975,8</w:t>
            </w:r>
          </w:p>
        </w:tc>
        <w:tc>
          <w:tcPr>
            <w:tcW w:w="992" w:type="dxa"/>
            <w:vAlign w:val="center"/>
          </w:tcPr>
          <w:p w14:paraId="2ACE19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1 039,1</w:t>
            </w:r>
          </w:p>
        </w:tc>
        <w:tc>
          <w:tcPr>
            <w:tcW w:w="850" w:type="dxa"/>
            <w:vAlign w:val="center"/>
          </w:tcPr>
          <w:p w14:paraId="3FB1855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99.6</w:t>
            </w:r>
          </w:p>
        </w:tc>
      </w:tr>
      <w:tr w:rsidR="007A77E7" w:rsidRPr="007A77E7" w14:paraId="6CBF171C" w14:textId="77777777" w:rsidTr="00545B6E">
        <w:tc>
          <w:tcPr>
            <w:tcW w:w="2646" w:type="dxa"/>
          </w:tcPr>
          <w:p w14:paraId="4380339F"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Социальное обслуживание населения</w:t>
            </w:r>
          </w:p>
        </w:tc>
        <w:tc>
          <w:tcPr>
            <w:tcW w:w="769" w:type="dxa"/>
            <w:vAlign w:val="center"/>
          </w:tcPr>
          <w:p w14:paraId="28492CB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1002</w:t>
            </w:r>
          </w:p>
        </w:tc>
        <w:tc>
          <w:tcPr>
            <w:tcW w:w="1216" w:type="dxa"/>
            <w:vAlign w:val="center"/>
          </w:tcPr>
          <w:p w14:paraId="1A45F73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3 420 855,6</w:t>
            </w:r>
          </w:p>
        </w:tc>
        <w:tc>
          <w:tcPr>
            <w:tcW w:w="1134" w:type="dxa"/>
            <w:vAlign w:val="center"/>
          </w:tcPr>
          <w:p w14:paraId="09291D4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3 420 855,6</w:t>
            </w:r>
          </w:p>
        </w:tc>
        <w:tc>
          <w:tcPr>
            <w:tcW w:w="850" w:type="dxa"/>
            <w:vAlign w:val="center"/>
          </w:tcPr>
          <w:p w14:paraId="0954AD5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089E0A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3 418 996,2</w:t>
            </w:r>
          </w:p>
        </w:tc>
        <w:tc>
          <w:tcPr>
            <w:tcW w:w="992" w:type="dxa"/>
            <w:vAlign w:val="center"/>
          </w:tcPr>
          <w:p w14:paraId="147D4E6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1 859,4</w:t>
            </w:r>
          </w:p>
        </w:tc>
        <w:tc>
          <w:tcPr>
            <w:tcW w:w="850" w:type="dxa"/>
            <w:vAlign w:val="center"/>
          </w:tcPr>
          <w:p w14:paraId="26357B1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99,9</w:t>
            </w:r>
          </w:p>
        </w:tc>
      </w:tr>
      <w:tr w:rsidR="007A77E7" w:rsidRPr="007A77E7" w14:paraId="47506EF1" w14:textId="77777777" w:rsidTr="00545B6E">
        <w:tc>
          <w:tcPr>
            <w:tcW w:w="2646" w:type="dxa"/>
          </w:tcPr>
          <w:p w14:paraId="79E68880"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Социальное обеспечение населения</w:t>
            </w:r>
          </w:p>
        </w:tc>
        <w:tc>
          <w:tcPr>
            <w:tcW w:w="769" w:type="dxa"/>
            <w:vAlign w:val="center"/>
          </w:tcPr>
          <w:p w14:paraId="1C0F961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1003</w:t>
            </w:r>
          </w:p>
        </w:tc>
        <w:tc>
          <w:tcPr>
            <w:tcW w:w="1216" w:type="dxa"/>
            <w:vAlign w:val="center"/>
          </w:tcPr>
          <w:p w14:paraId="1CFE4A2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20 633 474,4</w:t>
            </w:r>
          </w:p>
        </w:tc>
        <w:tc>
          <w:tcPr>
            <w:tcW w:w="1134" w:type="dxa"/>
            <w:vAlign w:val="center"/>
          </w:tcPr>
          <w:p w14:paraId="627054F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20 633 474,4</w:t>
            </w:r>
          </w:p>
        </w:tc>
        <w:tc>
          <w:tcPr>
            <w:tcW w:w="850" w:type="dxa"/>
            <w:vAlign w:val="center"/>
          </w:tcPr>
          <w:p w14:paraId="0A77B56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2D7658E7" w14:textId="77777777" w:rsidR="007A77E7" w:rsidRPr="007A77E7" w:rsidRDefault="007A77E7" w:rsidP="007A77E7">
            <w:pPr>
              <w:widowControl w:val="0"/>
              <w:autoSpaceDE w:val="0"/>
              <w:autoSpaceDN w:val="0"/>
              <w:adjustRightInd w:val="0"/>
              <w:spacing w:after="0" w:line="240" w:lineRule="auto"/>
              <w:ind w:left="-106"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20 469 262,4</w:t>
            </w:r>
          </w:p>
        </w:tc>
        <w:tc>
          <w:tcPr>
            <w:tcW w:w="992" w:type="dxa"/>
            <w:vAlign w:val="center"/>
          </w:tcPr>
          <w:p w14:paraId="303D69C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164 212,0</w:t>
            </w:r>
          </w:p>
        </w:tc>
        <w:tc>
          <w:tcPr>
            <w:tcW w:w="850" w:type="dxa"/>
            <w:vAlign w:val="center"/>
          </w:tcPr>
          <w:p w14:paraId="3F0F417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99,2</w:t>
            </w:r>
          </w:p>
        </w:tc>
      </w:tr>
      <w:tr w:rsidR="007A77E7" w:rsidRPr="007A77E7" w14:paraId="2AB2E75E" w14:textId="77777777" w:rsidTr="00545B6E">
        <w:tc>
          <w:tcPr>
            <w:tcW w:w="2646" w:type="dxa"/>
          </w:tcPr>
          <w:p w14:paraId="73BCEA2A"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Охрана семьи и детства</w:t>
            </w:r>
          </w:p>
        </w:tc>
        <w:tc>
          <w:tcPr>
            <w:tcW w:w="769" w:type="dxa"/>
            <w:vAlign w:val="center"/>
          </w:tcPr>
          <w:p w14:paraId="31704C9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1004</w:t>
            </w:r>
          </w:p>
        </w:tc>
        <w:tc>
          <w:tcPr>
            <w:tcW w:w="1216" w:type="dxa"/>
            <w:vAlign w:val="center"/>
          </w:tcPr>
          <w:p w14:paraId="3C35FB2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29 681 269,7</w:t>
            </w:r>
          </w:p>
        </w:tc>
        <w:tc>
          <w:tcPr>
            <w:tcW w:w="1134" w:type="dxa"/>
            <w:vAlign w:val="center"/>
          </w:tcPr>
          <w:p w14:paraId="7DF165B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29 681 269,7</w:t>
            </w:r>
          </w:p>
        </w:tc>
        <w:tc>
          <w:tcPr>
            <w:tcW w:w="850" w:type="dxa"/>
            <w:vAlign w:val="center"/>
          </w:tcPr>
          <w:p w14:paraId="30D7965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59B03DE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29 649 726,1</w:t>
            </w:r>
          </w:p>
        </w:tc>
        <w:tc>
          <w:tcPr>
            <w:tcW w:w="992" w:type="dxa"/>
            <w:vAlign w:val="center"/>
          </w:tcPr>
          <w:p w14:paraId="5942E79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31 543,6</w:t>
            </w:r>
          </w:p>
        </w:tc>
        <w:tc>
          <w:tcPr>
            <w:tcW w:w="850" w:type="dxa"/>
            <w:vAlign w:val="center"/>
          </w:tcPr>
          <w:p w14:paraId="76BC23B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99,9</w:t>
            </w:r>
          </w:p>
        </w:tc>
      </w:tr>
      <w:tr w:rsidR="007A77E7" w:rsidRPr="007A77E7" w14:paraId="196D8A09" w14:textId="77777777" w:rsidTr="00545B6E">
        <w:tc>
          <w:tcPr>
            <w:tcW w:w="2646" w:type="dxa"/>
          </w:tcPr>
          <w:p w14:paraId="2C62CA81"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социальной политики</w:t>
            </w:r>
          </w:p>
        </w:tc>
        <w:tc>
          <w:tcPr>
            <w:tcW w:w="769" w:type="dxa"/>
            <w:vAlign w:val="center"/>
          </w:tcPr>
          <w:p w14:paraId="64FF8A0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1006</w:t>
            </w:r>
          </w:p>
        </w:tc>
        <w:tc>
          <w:tcPr>
            <w:tcW w:w="1216" w:type="dxa"/>
            <w:vAlign w:val="center"/>
          </w:tcPr>
          <w:p w14:paraId="3A5F469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1 670 761,6</w:t>
            </w:r>
          </w:p>
        </w:tc>
        <w:tc>
          <w:tcPr>
            <w:tcW w:w="1134" w:type="dxa"/>
            <w:vAlign w:val="center"/>
          </w:tcPr>
          <w:p w14:paraId="74233DE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1 670 761,6</w:t>
            </w:r>
          </w:p>
        </w:tc>
        <w:tc>
          <w:tcPr>
            <w:tcW w:w="850" w:type="dxa"/>
            <w:vAlign w:val="center"/>
          </w:tcPr>
          <w:p w14:paraId="070BCD1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6AC6FDE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1 664 957,7</w:t>
            </w:r>
          </w:p>
        </w:tc>
        <w:tc>
          <w:tcPr>
            <w:tcW w:w="992" w:type="dxa"/>
            <w:vAlign w:val="center"/>
          </w:tcPr>
          <w:p w14:paraId="6F06B8D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5 803,9</w:t>
            </w:r>
          </w:p>
        </w:tc>
        <w:tc>
          <w:tcPr>
            <w:tcW w:w="850" w:type="dxa"/>
            <w:vAlign w:val="center"/>
          </w:tcPr>
          <w:p w14:paraId="6FEE061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99,6</w:t>
            </w:r>
          </w:p>
        </w:tc>
      </w:tr>
      <w:tr w:rsidR="007A77E7" w:rsidRPr="007A77E7" w14:paraId="4F9C61AD" w14:textId="77777777" w:rsidTr="00545B6E">
        <w:tc>
          <w:tcPr>
            <w:tcW w:w="2646" w:type="dxa"/>
          </w:tcPr>
          <w:p w14:paraId="1A554CB8"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Физическая культура и спорт</w:t>
            </w:r>
          </w:p>
        </w:tc>
        <w:tc>
          <w:tcPr>
            <w:tcW w:w="769" w:type="dxa"/>
            <w:vAlign w:val="center"/>
          </w:tcPr>
          <w:p w14:paraId="556CF35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1100</w:t>
            </w:r>
          </w:p>
        </w:tc>
        <w:tc>
          <w:tcPr>
            <w:tcW w:w="1216" w:type="dxa"/>
            <w:vAlign w:val="center"/>
          </w:tcPr>
          <w:p w14:paraId="4FBFB81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3 225 206.4</w:t>
            </w:r>
          </w:p>
        </w:tc>
        <w:tc>
          <w:tcPr>
            <w:tcW w:w="1134" w:type="dxa"/>
            <w:vAlign w:val="center"/>
          </w:tcPr>
          <w:p w14:paraId="0906AE7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3 225 206.4</w:t>
            </w:r>
          </w:p>
        </w:tc>
        <w:tc>
          <w:tcPr>
            <w:tcW w:w="850" w:type="dxa"/>
            <w:vAlign w:val="center"/>
          </w:tcPr>
          <w:p w14:paraId="605ED53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5" w:type="dxa"/>
            <w:vAlign w:val="center"/>
          </w:tcPr>
          <w:p w14:paraId="31270A6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2 989 807,9</w:t>
            </w:r>
          </w:p>
        </w:tc>
        <w:tc>
          <w:tcPr>
            <w:tcW w:w="992" w:type="dxa"/>
            <w:vAlign w:val="center"/>
          </w:tcPr>
          <w:p w14:paraId="41C706A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235 398,5</w:t>
            </w:r>
          </w:p>
        </w:tc>
        <w:tc>
          <w:tcPr>
            <w:tcW w:w="850" w:type="dxa"/>
            <w:vAlign w:val="center"/>
          </w:tcPr>
          <w:p w14:paraId="0B58255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92,7</w:t>
            </w:r>
          </w:p>
        </w:tc>
      </w:tr>
      <w:tr w:rsidR="007A77E7" w:rsidRPr="007A77E7" w14:paraId="68A7000A" w14:textId="77777777" w:rsidTr="00545B6E">
        <w:tc>
          <w:tcPr>
            <w:tcW w:w="2646" w:type="dxa"/>
          </w:tcPr>
          <w:p w14:paraId="3D5C0E1A"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Физическая культура</w:t>
            </w:r>
          </w:p>
        </w:tc>
        <w:tc>
          <w:tcPr>
            <w:tcW w:w="769" w:type="dxa"/>
            <w:vAlign w:val="center"/>
          </w:tcPr>
          <w:p w14:paraId="0F95D6A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1101</w:t>
            </w:r>
          </w:p>
        </w:tc>
        <w:tc>
          <w:tcPr>
            <w:tcW w:w="1216" w:type="dxa"/>
            <w:vAlign w:val="center"/>
          </w:tcPr>
          <w:p w14:paraId="0257E0D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244 556,1</w:t>
            </w:r>
          </w:p>
        </w:tc>
        <w:tc>
          <w:tcPr>
            <w:tcW w:w="1134" w:type="dxa"/>
            <w:vAlign w:val="center"/>
          </w:tcPr>
          <w:p w14:paraId="005A5A3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244 556,1</w:t>
            </w:r>
          </w:p>
        </w:tc>
        <w:tc>
          <w:tcPr>
            <w:tcW w:w="850" w:type="dxa"/>
            <w:vAlign w:val="center"/>
          </w:tcPr>
          <w:p w14:paraId="254411A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F6709E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231 516,6</w:t>
            </w:r>
          </w:p>
        </w:tc>
        <w:tc>
          <w:tcPr>
            <w:tcW w:w="992" w:type="dxa"/>
            <w:vAlign w:val="center"/>
          </w:tcPr>
          <w:p w14:paraId="6EF4FB9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13 039,5</w:t>
            </w:r>
          </w:p>
        </w:tc>
        <w:tc>
          <w:tcPr>
            <w:tcW w:w="850" w:type="dxa"/>
            <w:vAlign w:val="center"/>
          </w:tcPr>
          <w:p w14:paraId="476429D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94,7</w:t>
            </w:r>
          </w:p>
        </w:tc>
      </w:tr>
      <w:tr w:rsidR="007A77E7" w:rsidRPr="007A77E7" w14:paraId="176DA93E" w14:textId="77777777" w:rsidTr="00545B6E">
        <w:tc>
          <w:tcPr>
            <w:tcW w:w="2646" w:type="dxa"/>
          </w:tcPr>
          <w:p w14:paraId="69B96A07"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Массовый спорт</w:t>
            </w:r>
          </w:p>
        </w:tc>
        <w:tc>
          <w:tcPr>
            <w:tcW w:w="769" w:type="dxa"/>
            <w:vAlign w:val="center"/>
          </w:tcPr>
          <w:p w14:paraId="09258C0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1102</w:t>
            </w:r>
          </w:p>
        </w:tc>
        <w:tc>
          <w:tcPr>
            <w:tcW w:w="1216" w:type="dxa"/>
            <w:vAlign w:val="center"/>
          </w:tcPr>
          <w:p w14:paraId="007A8BB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1 598 717,6</w:t>
            </w:r>
          </w:p>
        </w:tc>
        <w:tc>
          <w:tcPr>
            <w:tcW w:w="1134" w:type="dxa"/>
            <w:vAlign w:val="center"/>
          </w:tcPr>
          <w:p w14:paraId="784EBFC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1 598 717,6</w:t>
            </w:r>
          </w:p>
        </w:tc>
        <w:tc>
          <w:tcPr>
            <w:tcW w:w="850" w:type="dxa"/>
            <w:vAlign w:val="center"/>
          </w:tcPr>
          <w:p w14:paraId="001FF60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652E73E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1 437 788,3</w:t>
            </w:r>
          </w:p>
        </w:tc>
        <w:tc>
          <w:tcPr>
            <w:tcW w:w="992" w:type="dxa"/>
            <w:vAlign w:val="center"/>
          </w:tcPr>
          <w:p w14:paraId="4220A34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160 929,3</w:t>
            </w:r>
          </w:p>
        </w:tc>
        <w:tc>
          <w:tcPr>
            <w:tcW w:w="850" w:type="dxa"/>
            <w:vAlign w:val="center"/>
          </w:tcPr>
          <w:p w14:paraId="7924E4E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89,9</w:t>
            </w:r>
          </w:p>
        </w:tc>
      </w:tr>
      <w:tr w:rsidR="007A77E7" w:rsidRPr="007A77E7" w14:paraId="1CC9AE9E" w14:textId="77777777" w:rsidTr="00545B6E">
        <w:tc>
          <w:tcPr>
            <w:tcW w:w="2646" w:type="dxa"/>
          </w:tcPr>
          <w:p w14:paraId="65025BCE"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Спорт высших достижений</w:t>
            </w:r>
          </w:p>
        </w:tc>
        <w:tc>
          <w:tcPr>
            <w:tcW w:w="769" w:type="dxa"/>
            <w:vAlign w:val="center"/>
          </w:tcPr>
          <w:p w14:paraId="2688D51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1103</w:t>
            </w:r>
          </w:p>
        </w:tc>
        <w:tc>
          <w:tcPr>
            <w:tcW w:w="1216" w:type="dxa"/>
            <w:vAlign w:val="center"/>
          </w:tcPr>
          <w:p w14:paraId="6A63925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1 336 837,9</w:t>
            </w:r>
          </w:p>
        </w:tc>
        <w:tc>
          <w:tcPr>
            <w:tcW w:w="1134" w:type="dxa"/>
            <w:vAlign w:val="center"/>
          </w:tcPr>
          <w:p w14:paraId="08F3172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1 336 837,9</w:t>
            </w:r>
          </w:p>
        </w:tc>
        <w:tc>
          <w:tcPr>
            <w:tcW w:w="850" w:type="dxa"/>
            <w:vAlign w:val="center"/>
          </w:tcPr>
          <w:p w14:paraId="70CB5E4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4EC84F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1 276 550.0</w:t>
            </w:r>
          </w:p>
        </w:tc>
        <w:tc>
          <w:tcPr>
            <w:tcW w:w="992" w:type="dxa"/>
            <w:vAlign w:val="center"/>
          </w:tcPr>
          <w:p w14:paraId="40B6A49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60 287,9</w:t>
            </w:r>
          </w:p>
        </w:tc>
        <w:tc>
          <w:tcPr>
            <w:tcW w:w="850" w:type="dxa"/>
            <w:vAlign w:val="center"/>
          </w:tcPr>
          <w:p w14:paraId="39D4338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95,5</w:t>
            </w:r>
          </w:p>
        </w:tc>
      </w:tr>
      <w:tr w:rsidR="007A77E7" w:rsidRPr="007A77E7" w14:paraId="30AB7EEB" w14:textId="77777777" w:rsidTr="00545B6E">
        <w:tc>
          <w:tcPr>
            <w:tcW w:w="2646" w:type="dxa"/>
          </w:tcPr>
          <w:p w14:paraId="003C9E72"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физической культуры и спорта</w:t>
            </w:r>
          </w:p>
        </w:tc>
        <w:tc>
          <w:tcPr>
            <w:tcW w:w="769" w:type="dxa"/>
            <w:vAlign w:val="center"/>
          </w:tcPr>
          <w:p w14:paraId="309733F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1105</w:t>
            </w:r>
          </w:p>
        </w:tc>
        <w:tc>
          <w:tcPr>
            <w:tcW w:w="1216" w:type="dxa"/>
            <w:vAlign w:val="center"/>
          </w:tcPr>
          <w:p w14:paraId="33B229B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45 094,8</w:t>
            </w:r>
          </w:p>
        </w:tc>
        <w:tc>
          <w:tcPr>
            <w:tcW w:w="1134" w:type="dxa"/>
            <w:vAlign w:val="center"/>
          </w:tcPr>
          <w:p w14:paraId="54F6E0D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45 094,8</w:t>
            </w:r>
          </w:p>
        </w:tc>
        <w:tc>
          <w:tcPr>
            <w:tcW w:w="850" w:type="dxa"/>
            <w:vAlign w:val="center"/>
          </w:tcPr>
          <w:p w14:paraId="1E1C7B0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5A7F2F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43 953,0</w:t>
            </w:r>
          </w:p>
        </w:tc>
        <w:tc>
          <w:tcPr>
            <w:tcW w:w="992" w:type="dxa"/>
            <w:vAlign w:val="center"/>
          </w:tcPr>
          <w:p w14:paraId="571FBAA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1 141,8</w:t>
            </w:r>
          </w:p>
        </w:tc>
        <w:tc>
          <w:tcPr>
            <w:tcW w:w="850" w:type="dxa"/>
            <w:vAlign w:val="center"/>
          </w:tcPr>
          <w:p w14:paraId="77486DD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97,5</w:t>
            </w:r>
          </w:p>
        </w:tc>
      </w:tr>
      <w:tr w:rsidR="007A77E7" w:rsidRPr="007A77E7" w14:paraId="3178C693" w14:textId="77777777" w:rsidTr="00545B6E">
        <w:tc>
          <w:tcPr>
            <w:tcW w:w="2646" w:type="dxa"/>
          </w:tcPr>
          <w:p w14:paraId="3E30C9B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Средства массовой информации</w:t>
            </w:r>
          </w:p>
        </w:tc>
        <w:tc>
          <w:tcPr>
            <w:tcW w:w="769" w:type="dxa"/>
            <w:vAlign w:val="center"/>
          </w:tcPr>
          <w:p w14:paraId="70B79B9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1200</w:t>
            </w:r>
          </w:p>
        </w:tc>
        <w:tc>
          <w:tcPr>
            <w:tcW w:w="1216" w:type="dxa"/>
            <w:vAlign w:val="center"/>
          </w:tcPr>
          <w:p w14:paraId="4ED7EFF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492 145,1</w:t>
            </w:r>
          </w:p>
        </w:tc>
        <w:tc>
          <w:tcPr>
            <w:tcW w:w="1134" w:type="dxa"/>
            <w:vAlign w:val="center"/>
          </w:tcPr>
          <w:p w14:paraId="4D1D3B3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492 145,1</w:t>
            </w:r>
          </w:p>
        </w:tc>
        <w:tc>
          <w:tcPr>
            <w:tcW w:w="850" w:type="dxa"/>
            <w:vAlign w:val="center"/>
          </w:tcPr>
          <w:p w14:paraId="75762D3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5" w:type="dxa"/>
            <w:vAlign w:val="center"/>
          </w:tcPr>
          <w:p w14:paraId="51B238B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482 002,8</w:t>
            </w:r>
          </w:p>
        </w:tc>
        <w:tc>
          <w:tcPr>
            <w:tcW w:w="992" w:type="dxa"/>
            <w:vAlign w:val="center"/>
          </w:tcPr>
          <w:p w14:paraId="3D3720F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10 142,3</w:t>
            </w:r>
          </w:p>
        </w:tc>
        <w:tc>
          <w:tcPr>
            <w:tcW w:w="850" w:type="dxa"/>
            <w:vAlign w:val="center"/>
          </w:tcPr>
          <w:p w14:paraId="06F99FE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97,9</w:t>
            </w:r>
          </w:p>
        </w:tc>
      </w:tr>
      <w:tr w:rsidR="007A77E7" w:rsidRPr="007A77E7" w14:paraId="27CAA135" w14:textId="77777777" w:rsidTr="00545B6E">
        <w:tc>
          <w:tcPr>
            <w:tcW w:w="2646" w:type="dxa"/>
          </w:tcPr>
          <w:p w14:paraId="0166C4D5"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Телевидение и радиовещание</w:t>
            </w:r>
          </w:p>
        </w:tc>
        <w:tc>
          <w:tcPr>
            <w:tcW w:w="769" w:type="dxa"/>
            <w:vAlign w:val="center"/>
          </w:tcPr>
          <w:p w14:paraId="5E99C12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1201</w:t>
            </w:r>
          </w:p>
        </w:tc>
        <w:tc>
          <w:tcPr>
            <w:tcW w:w="1216" w:type="dxa"/>
            <w:vAlign w:val="center"/>
          </w:tcPr>
          <w:p w14:paraId="4B948BC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89 483,2</w:t>
            </w:r>
          </w:p>
        </w:tc>
        <w:tc>
          <w:tcPr>
            <w:tcW w:w="1134" w:type="dxa"/>
            <w:vAlign w:val="center"/>
          </w:tcPr>
          <w:p w14:paraId="1CC2371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89 483,2</w:t>
            </w:r>
          </w:p>
        </w:tc>
        <w:tc>
          <w:tcPr>
            <w:tcW w:w="850" w:type="dxa"/>
            <w:vAlign w:val="center"/>
          </w:tcPr>
          <w:p w14:paraId="61C84E3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5C6E4EA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89 483,2</w:t>
            </w:r>
          </w:p>
        </w:tc>
        <w:tc>
          <w:tcPr>
            <w:tcW w:w="992" w:type="dxa"/>
            <w:vAlign w:val="center"/>
          </w:tcPr>
          <w:p w14:paraId="0ECD3ED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72F122A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68440A3D" w14:textId="77777777" w:rsidTr="00545B6E">
        <w:tc>
          <w:tcPr>
            <w:tcW w:w="2646" w:type="dxa"/>
          </w:tcPr>
          <w:p w14:paraId="23972793"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Периодическая печать и издательства</w:t>
            </w:r>
          </w:p>
        </w:tc>
        <w:tc>
          <w:tcPr>
            <w:tcW w:w="769" w:type="dxa"/>
            <w:vAlign w:val="center"/>
          </w:tcPr>
          <w:p w14:paraId="78D60A8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1202</w:t>
            </w:r>
          </w:p>
        </w:tc>
        <w:tc>
          <w:tcPr>
            <w:tcW w:w="1216" w:type="dxa"/>
            <w:vAlign w:val="center"/>
          </w:tcPr>
          <w:p w14:paraId="465E5B2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353 293,0</w:t>
            </w:r>
          </w:p>
        </w:tc>
        <w:tc>
          <w:tcPr>
            <w:tcW w:w="1134" w:type="dxa"/>
            <w:vAlign w:val="center"/>
          </w:tcPr>
          <w:p w14:paraId="2CDC6C2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353 293,0</w:t>
            </w:r>
          </w:p>
        </w:tc>
        <w:tc>
          <w:tcPr>
            <w:tcW w:w="850" w:type="dxa"/>
            <w:vAlign w:val="center"/>
          </w:tcPr>
          <w:p w14:paraId="1F2D940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2944FB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343 385,1</w:t>
            </w:r>
          </w:p>
        </w:tc>
        <w:tc>
          <w:tcPr>
            <w:tcW w:w="992" w:type="dxa"/>
            <w:vAlign w:val="center"/>
          </w:tcPr>
          <w:p w14:paraId="7EC31FC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9 907,9</w:t>
            </w:r>
          </w:p>
        </w:tc>
        <w:tc>
          <w:tcPr>
            <w:tcW w:w="850" w:type="dxa"/>
            <w:vAlign w:val="center"/>
          </w:tcPr>
          <w:p w14:paraId="1EA62E1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97,2</w:t>
            </w:r>
          </w:p>
        </w:tc>
      </w:tr>
      <w:tr w:rsidR="007A77E7" w:rsidRPr="007A77E7" w14:paraId="1BE5CF06" w14:textId="77777777" w:rsidTr="00545B6E">
        <w:tc>
          <w:tcPr>
            <w:tcW w:w="2646" w:type="dxa"/>
          </w:tcPr>
          <w:p w14:paraId="1549C218"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Другие вопросы в области средств массовой информации</w:t>
            </w:r>
          </w:p>
        </w:tc>
        <w:tc>
          <w:tcPr>
            <w:tcW w:w="769" w:type="dxa"/>
            <w:vAlign w:val="center"/>
          </w:tcPr>
          <w:p w14:paraId="49A7D6D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1204</w:t>
            </w:r>
          </w:p>
        </w:tc>
        <w:tc>
          <w:tcPr>
            <w:tcW w:w="1216" w:type="dxa"/>
            <w:vAlign w:val="center"/>
          </w:tcPr>
          <w:p w14:paraId="46E9612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49 368,9</w:t>
            </w:r>
          </w:p>
        </w:tc>
        <w:tc>
          <w:tcPr>
            <w:tcW w:w="1134" w:type="dxa"/>
            <w:vAlign w:val="center"/>
          </w:tcPr>
          <w:p w14:paraId="023FE7D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49 368,9</w:t>
            </w:r>
          </w:p>
        </w:tc>
        <w:tc>
          <w:tcPr>
            <w:tcW w:w="850" w:type="dxa"/>
            <w:vAlign w:val="center"/>
          </w:tcPr>
          <w:p w14:paraId="68AEB79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11C5FF7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49 134,5</w:t>
            </w:r>
          </w:p>
        </w:tc>
        <w:tc>
          <w:tcPr>
            <w:tcW w:w="992" w:type="dxa"/>
            <w:vAlign w:val="center"/>
          </w:tcPr>
          <w:p w14:paraId="73E54586"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234,4</w:t>
            </w:r>
          </w:p>
        </w:tc>
        <w:tc>
          <w:tcPr>
            <w:tcW w:w="850" w:type="dxa"/>
            <w:vAlign w:val="center"/>
          </w:tcPr>
          <w:p w14:paraId="3DA91DB7"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99,5</w:t>
            </w:r>
          </w:p>
        </w:tc>
      </w:tr>
      <w:tr w:rsidR="007A77E7" w:rsidRPr="007A77E7" w14:paraId="59040DD0" w14:textId="77777777" w:rsidTr="00545B6E">
        <w:tc>
          <w:tcPr>
            <w:tcW w:w="2646" w:type="dxa"/>
          </w:tcPr>
          <w:p w14:paraId="5A43CEFA"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Обслуживание государственного и муниципального долга</w:t>
            </w:r>
          </w:p>
        </w:tc>
        <w:tc>
          <w:tcPr>
            <w:tcW w:w="769" w:type="dxa"/>
            <w:vAlign w:val="center"/>
          </w:tcPr>
          <w:p w14:paraId="766836B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1300</w:t>
            </w:r>
          </w:p>
        </w:tc>
        <w:tc>
          <w:tcPr>
            <w:tcW w:w="1216" w:type="dxa"/>
            <w:vAlign w:val="center"/>
          </w:tcPr>
          <w:p w14:paraId="1707176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8 770,8</w:t>
            </w:r>
          </w:p>
        </w:tc>
        <w:tc>
          <w:tcPr>
            <w:tcW w:w="1134" w:type="dxa"/>
            <w:vAlign w:val="center"/>
          </w:tcPr>
          <w:p w14:paraId="0619312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8 770,8</w:t>
            </w:r>
          </w:p>
        </w:tc>
        <w:tc>
          <w:tcPr>
            <w:tcW w:w="850" w:type="dxa"/>
            <w:vAlign w:val="center"/>
          </w:tcPr>
          <w:p w14:paraId="0F80104C"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5" w:type="dxa"/>
            <w:vAlign w:val="center"/>
          </w:tcPr>
          <w:p w14:paraId="3EFDE6A3"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8 770,8</w:t>
            </w:r>
          </w:p>
        </w:tc>
        <w:tc>
          <w:tcPr>
            <w:tcW w:w="992" w:type="dxa"/>
            <w:vAlign w:val="center"/>
          </w:tcPr>
          <w:p w14:paraId="2D85C97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0,0</w:t>
            </w:r>
          </w:p>
        </w:tc>
        <w:tc>
          <w:tcPr>
            <w:tcW w:w="850" w:type="dxa"/>
            <w:vAlign w:val="center"/>
          </w:tcPr>
          <w:p w14:paraId="008DBFC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100,0</w:t>
            </w:r>
          </w:p>
        </w:tc>
      </w:tr>
      <w:tr w:rsidR="007A77E7" w:rsidRPr="007A77E7" w14:paraId="7F452581" w14:textId="77777777" w:rsidTr="00545B6E">
        <w:tc>
          <w:tcPr>
            <w:tcW w:w="2646" w:type="dxa"/>
          </w:tcPr>
          <w:p w14:paraId="0B92C573"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Обслуживание государственного внутреннего и муниципального долга</w:t>
            </w:r>
          </w:p>
        </w:tc>
        <w:tc>
          <w:tcPr>
            <w:tcW w:w="769" w:type="dxa"/>
            <w:vAlign w:val="center"/>
          </w:tcPr>
          <w:p w14:paraId="18AD866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1301</w:t>
            </w:r>
          </w:p>
        </w:tc>
        <w:tc>
          <w:tcPr>
            <w:tcW w:w="1216" w:type="dxa"/>
            <w:vAlign w:val="center"/>
          </w:tcPr>
          <w:p w14:paraId="5409C4AE"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8 770,8</w:t>
            </w:r>
          </w:p>
        </w:tc>
        <w:tc>
          <w:tcPr>
            <w:tcW w:w="1134" w:type="dxa"/>
            <w:vAlign w:val="center"/>
          </w:tcPr>
          <w:p w14:paraId="15CB27F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8 770,8</w:t>
            </w:r>
          </w:p>
        </w:tc>
        <w:tc>
          <w:tcPr>
            <w:tcW w:w="850" w:type="dxa"/>
            <w:vAlign w:val="center"/>
          </w:tcPr>
          <w:p w14:paraId="2DC8357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74B9270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8 770.8</w:t>
            </w:r>
          </w:p>
        </w:tc>
        <w:tc>
          <w:tcPr>
            <w:tcW w:w="992" w:type="dxa"/>
            <w:vAlign w:val="center"/>
          </w:tcPr>
          <w:p w14:paraId="7E1ADB8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6763EB4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02B2E99D" w14:textId="77777777" w:rsidTr="00545B6E">
        <w:tc>
          <w:tcPr>
            <w:tcW w:w="2646" w:type="dxa"/>
          </w:tcPr>
          <w:p w14:paraId="1ABCC099"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Межбюджетные трансферты</w:t>
            </w:r>
          </w:p>
        </w:tc>
        <w:tc>
          <w:tcPr>
            <w:tcW w:w="769" w:type="dxa"/>
            <w:vAlign w:val="center"/>
          </w:tcPr>
          <w:p w14:paraId="5635757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1400</w:t>
            </w:r>
          </w:p>
        </w:tc>
        <w:tc>
          <w:tcPr>
            <w:tcW w:w="1216" w:type="dxa"/>
            <w:vAlign w:val="center"/>
          </w:tcPr>
          <w:p w14:paraId="5BE72AF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9 748 904,7</w:t>
            </w:r>
          </w:p>
        </w:tc>
        <w:tc>
          <w:tcPr>
            <w:tcW w:w="1134" w:type="dxa"/>
            <w:vAlign w:val="center"/>
          </w:tcPr>
          <w:p w14:paraId="4E6756E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9 748 904,7</w:t>
            </w:r>
          </w:p>
        </w:tc>
        <w:tc>
          <w:tcPr>
            <w:tcW w:w="850" w:type="dxa"/>
            <w:vAlign w:val="center"/>
          </w:tcPr>
          <w:p w14:paraId="6D7E100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5" w:type="dxa"/>
            <w:vAlign w:val="center"/>
          </w:tcPr>
          <w:p w14:paraId="183A695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9 748 904,7</w:t>
            </w:r>
          </w:p>
        </w:tc>
        <w:tc>
          <w:tcPr>
            <w:tcW w:w="992" w:type="dxa"/>
            <w:vAlign w:val="center"/>
          </w:tcPr>
          <w:p w14:paraId="13E6EA8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850" w:type="dxa"/>
            <w:vAlign w:val="center"/>
          </w:tcPr>
          <w:p w14:paraId="1CBFBC9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100,0</w:t>
            </w:r>
          </w:p>
        </w:tc>
      </w:tr>
      <w:tr w:rsidR="007A77E7" w:rsidRPr="007A77E7" w14:paraId="13128255" w14:textId="77777777" w:rsidTr="00545B6E">
        <w:tc>
          <w:tcPr>
            <w:tcW w:w="2646" w:type="dxa"/>
          </w:tcPr>
          <w:p w14:paraId="24B8F012"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 xml:space="preserve">Дотации на выравнивание бюджетной обеспеченности </w:t>
            </w:r>
          </w:p>
        </w:tc>
        <w:tc>
          <w:tcPr>
            <w:tcW w:w="769" w:type="dxa"/>
            <w:vAlign w:val="center"/>
          </w:tcPr>
          <w:p w14:paraId="65DEB9A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1401</w:t>
            </w:r>
          </w:p>
        </w:tc>
        <w:tc>
          <w:tcPr>
            <w:tcW w:w="1216" w:type="dxa"/>
            <w:vAlign w:val="center"/>
          </w:tcPr>
          <w:p w14:paraId="2C864292"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6 371 764,0</w:t>
            </w:r>
          </w:p>
        </w:tc>
        <w:tc>
          <w:tcPr>
            <w:tcW w:w="1134" w:type="dxa"/>
            <w:vAlign w:val="center"/>
          </w:tcPr>
          <w:p w14:paraId="35B4A64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6 371 764,0</w:t>
            </w:r>
          </w:p>
        </w:tc>
        <w:tc>
          <w:tcPr>
            <w:tcW w:w="850" w:type="dxa"/>
            <w:vAlign w:val="center"/>
          </w:tcPr>
          <w:p w14:paraId="6E5B66A0"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437D05D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6 371 764,0</w:t>
            </w:r>
          </w:p>
        </w:tc>
        <w:tc>
          <w:tcPr>
            <w:tcW w:w="992" w:type="dxa"/>
            <w:vAlign w:val="center"/>
          </w:tcPr>
          <w:p w14:paraId="2E56749B"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45C4342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1E58F72D" w14:textId="77777777" w:rsidTr="00545B6E">
        <w:tc>
          <w:tcPr>
            <w:tcW w:w="2646" w:type="dxa"/>
          </w:tcPr>
          <w:p w14:paraId="481EC481"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lastRenderedPageBreak/>
              <w:t>Иные дотации</w:t>
            </w:r>
          </w:p>
        </w:tc>
        <w:tc>
          <w:tcPr>
            <w:tcW w:w="769" w:type="dxa"/>
            <w:vAlign w:val="center"/>
          </w:tcPr>
          <w:p w14:paraId="5F65699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1402</w:t>
            </w:r>
          </w:p>
        </w:tc>
        <w:tc>
          <w:tcPr>
            <w:tcW w:w="1216" w:type="dxa"/>
            <w:vAlign w:val="center"/>
          </w:tcPr>
          <w:p w14:paraId="5090D92A"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1 053 510,5</w:t>
            </w:r>
          </w:p>
        </w:tc>
        <w:tc>
          <w:tcPr>
            <w:tcW w:w="1134" w:type="dxa"/>
            <w:vAlign w:val="center"/>
          </w:tcPr>
          <w:p w14:paraId="5FE7FE2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1 053 510,5</w:t>
            </w:r>
          </w:p>
        </w:tc>
        <w:tc>
          <w:tcPr>
            <w:tcW w:w="850" w:type="dxa"/>
            <w:vAlign w:val="center"/>
          </w:tcPr>
          <w:p w14:paraId="620D9BC5"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3F1DB59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1 053 510,5</w:t>
            </w:r>
          </w:p>
        </w:tc>
        <w:tc>
          <w:tcPr>
            <w:tcW w:w="992" w:type="dxa"/>
            <w:vAlign w:val="center"/>
          </w:tcPr>
          <w:p w14:paraId="71CC9109"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4FE4FA08"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r w:rsidR="007A77E7" w:rsidRPr="007A77E7" w14:paraId="161FEE63" w14:textId="77777777" w:rsidTr="00545B6E">
        <w:trPr>
          <w:trHeight w:val="519"/>
        </w:trPr>
        <w:tc>
          <w:tcPr>
            <w:tcW w:w="2646" w:type="dxa"/>
          </w:tcPr>
          <w:p w14:paraId="560F2CE6" w14:textId="77777777" w:rsidR="007A77E7" w:rsidRPr="007A77E7" w:rsidRDefault="007A77E7" w:rsidP="003248F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 xml:space="preserve">Прочие межбюджетные трансферты общего характера </w:t>
            </w:r>
          </w:p>
        </w:tc>
        <w:tc>
          <w:tcPr>
            <w:tcW w:w="769" w:type="dxa"/>
            <w:vAlign w:val="center"/>
          </w:tcPr>
          <w:p w14:paraId="1F3A4C3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1403</w:t>
            </w:r>
          </w:p>
        </w:tc>
        <w:tc>
          <w:tcPr>
            <w:tcW w:w="1216" w:type="dxa"/>
            <w:vAlign w:val="center"/>
          </w:tcPr>
          <w:p w14:paraId="1A89EF6F"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2 323 630,2</w:t>
            </w:r>
          </w:p>
        </w:tc>
        <w:tc>
          <w:tcPr>
            <w:tcW w:w="1134" w:type="dxa"/>
            <w:vAlign w:val="center"/>
          </w:tcPr>
          <w:p w14:paraId="38B343ED"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2 323 630,2</w:t>
            </w:r>
          </w:p>
        </w:tc>
        <w:tc>
          <w:tcPr>
            <w:tcW w:w="850" w:type="dxa"/>
            <w:vAlign w:val="center"/>
          </w:tcPr>
          <w:p w14:paraId="5041A35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5" w:type="dxa"/>
            <w:vAlign w:val="center"/>
          </w:tcPr>
          <w:p w14:paraId="0123AB4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2 323 630,2</w:t>
            </w:r>
          </w:p>
        </w:tc>
        <w:tc>
          <w:tcPr>
            <w:tcW w:w="992" w:type="dxa"/>
            <w:vAlign w:val="center"/>
          </w:tcPr>
          <w:p w14:paraId="506D9901"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850" w:type="dxa"/>
            <w:vAlign w:val="center"/>
          </w:tcPr>
          <w:p w14:paraId="1793A4A4" w14:textId="77777777" w:rsidR="007A77E7" w:rsidRPr="007A77E7" w:rsidRDefault="007A77E7" w:rsidP="007A77E7">
            <w:pPr>
              <w:widowControl w:val="0"/>
              <w:autoSpaceDE w:val="0"/>
              <w:autoSpaceDN w:val="0"/>
              <w:adjustRightInd w:val="0"/>
              <w:spacing w:after="0" w:line="240" w:lineRule="auto"/>
              <w:ind w:right="-57"/>
              <w:jc w:val="right"/>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100.0</w:t>
            </w:r>
          </w:p>
        </w:tc>
      </w:tr>
    </w:tbl>
    <w:p w14:paraId="62091864" w14:textId="77777777" w:rsidR="007A77E7" w:rsidRPr="007A77E7" w:rsidRDefault="007A77E7" w:rsidP="007A77E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color w:val="000000"/>
          <w:spacing w:val="1"/>
          <w:sz w:val="28"/>
          <w:szCs w:val="28"/>
          <w:lang w:eastAsia="ru-RU"/>
        </w:rPr>
      </w:pPr>
    </w:p>
    <w:p w14:paraId="11F998A9" w14:textId="77777777" w:rsidR="007A77E7" w:rsidRPr="007A77E7" w:rsidRDefault="007A77E7" w:rsidP="007A77E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Наибольший удельный вес в структуре расходов республиканского бюджета Республики Дагестан в 2021 году составили расходы по разделам «Социальная политика» (32,8 %), «Образование» (30 %), «Национальная экономика» (10,8 %), «Здравоохранение» (8,7 %), «Межбюджетные трансферты» (5,8 %), «Жилищно-коммунальное хозяйство» (4,2 %), «Общегосударственные вопросы» (2,7 %), «Физическая культура и спорт» </w:t>
      </w:r>
      <w:r w:rsidRPr="007A77E7">
        <w:rPr>
          <w:rFonts w:ascii="Times New Roman" w:eastAsia="Times New Roman" w:hAnsi="Times New Roman" w:cs="Times New Roman"/>
          <w:sz w:val="28"/>
          <w:szCs w:val="28"/>
          <w:lang w:eastAsia="ru-RU"/>
        </w:rPr>
        <w:br/>
        <w:t xml:space="preserve">(1,8 %), «Культура и кинематография» (1,7 %), «Национальная безопасность и правоохранительная деятельность» (1,3 %), «Средства массовой информации» (0,3 %), «Охрана окружающей среды» (0,1 %), «Национальная оборона» </w:t>
      </w:r>
      <w:r w:rsidRPr="007A77E7">
        <w:rPr>
          <w:rFonts w:ascii="Times New Roman" w:eastAsia="Times New Roman" w:hAnsi="Times New Roman" w:cs="Times New Roman"/>
          <w:sz w:val="28"/>
          <w:szCs w:val="28"/>
          <w:lang w:eastAsia="ru-RU"/>
        </w:rPr>
        <w:br/>
        <w:t xml:space="preserve">(0,1 %). </w:t>
      </w:r>
    </w:p>
    <w:p w14:paraId="2F624730" w14:textId="489236C8"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7" w:name="_Hlk104545907"/>
      <w:r w:rsidRPr="007A77E7">
        <w:rPr>
          <w:rFonts w:ascii="Times New Roman" w:eastAsia="Times New Roman" w:hAnsi="Times New Roman" w:cs="Times New Roman"/>
          <w:b/>
          <w:bCs/>
          <w:color w:val="002060"/>
          <w:sz w:val="28"/>
          <w:szCs w:val="28"/>
          <w:lang w:eastAsia="ru-RU"/>
        </w:rPr>
        <w:t>4.2.</w:t>
      </w:r>
      <w:r w:rsidR="005F37BC">
        <w:rPr>
          <w:rFonts w:ascii="Times New Roman" w:eastAsia="Times New Roman" w:hAnsi="Times New Roman" w:cs="Times New Roman"/>
          <w:b/>
          <w:bCs/>
          <w:color w:val="002060"/>
          <w:sz w:val="28"/>
          <w:szCs w:val="28"/>
          <w:lang w:eastAsia="ru-RU"/>
        </w:rPr>
        <w:t>1.</w:t>
      </w:r>
      <w:r w:rsidRPr="007A77E7">
        <w:rPr>
          <w:rFonts w:ascii="Times New Roman" w:eastAsia="Times New Roman" w:hAnsi="Times New Roman" w:cs="Times New Roman"/>
          <w:b/>
          <w:bCs/>
          <w:color w:val="002060"/>
          <w:sz w:val="28"/>
          <w:szCs w:val="28"/>
          <w:lang w:eastAsia="ru-RU"/>
        </w:rPr>
        <w:t xml:space="preserve">2. </w:t>
      </w:r>
      <w:bookmarkEnd w:id="27"/>
      <w:r w:rsidRPr="007A77E7">
        <w:rPr>
          <w:rFonts w:ascii="Times New Roman" w:eastAsia="Times New Roman" w:hAnsi="Times New Roman" w:cs="Times New Roman"/>
          <w:sz w:val="28"/>
          <w:szCs w:val="28"/>
          <w:lang w:eastAsia="ru-RU"/>
        </w:rPr>
        <w:t>Исполнение республиканского бюджета Республики Дагестан в разрезе классификации операций сектора государственного управления за 2021 год представлено в следующей таблице.</w:t>
      </w:r>
    </w:p>
    <w:p w14:paraId="6851D454" w14:textId="77777777" w:rsidR="007A77E7" w:rsidRPr="007A77E7" w:rsidRDefault="007A77E7" w:rsidP="007A77E7">
      <w:pPr>
        <w:widowControl w:val="0"/>
        <w:autoSpaceDE w:val="0"/>
        <w:autoSpaceDN w:val="0"/>
        <w:adjustRightInd w:val="0"/>
        <w:spacing w:after="0" w:line="240" w:lineRule="auto"/>
        <w:ind w:firstLine="709"/>
        <w:jc w:val="right"/>
        <w:rPr>
          <w:rFonts w:ascii="Times New Roman" w:eastAsia="Times New Roman" w:hAnsi="Times New Roman" w:cs="Times New Roman"/>
          <w:b/>
          <w:color w:val="002060"/>
          <w:sz w:val="24"/>
          <w:szCs w:val="24"/>
          <w:lang w:eastAsia="ru-RU"/>
        </w:rPr>
      </w:pPr>
      <w:r w:rsidRPr="007A77E7">
        <w:rPr>
          <w:rFonts w:ascii="Times New Roman" w:eastAsia="Times New Roman" w:hAnsi="Times New Roman" w:cs="Times New Roman"/>
          <w:b/>
          <w:color w:val="002060"/>
          <w:sz w:val="24"/>
          <w:szCs w:val="24"/>
          <w:lang w:eastAsia="ru-RU"/>
        </w:rPr>
        <w:t>млн. рублей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134"/>
        <w:gridCol w:w="992"/>
        <w:gridCol w:w="1020"/>
        <w:gridCol w:w="1106"/>
        <w:gridCol w:w="993"/>
      </w:tblGrid>
      <w:tr w:rsidR="007A77E7" w:rsidRPr="007A77E7" w14:paraId="40B2212A" w14:textId="77777777" w:rsidTr="00156793">
        <w:tc>
          <w:tcPr>
            <w:tcW w:w="4111" w:type="dxa"/>
            <w:vMerge w:val="restart"/>
            <w:shd w:val="clear" w:color="auto" w:fill="D9E2F3" w:themeFill="accent1" w:themeFillTint="33"/>
          </w:tcPr>
          <w:p w14:paraId="264B76D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Наименование расходов</w:t>
            </w:r>
          </w:p>
        </w:tc>
        <w:tc>
          <w:tcPr>
            <w:tcW w:w="1134" w:type="dxa"/>
            <w:vMerge w:val="restart"/>
            <w:shd w:val="clear" w:color="auto" w:fill="D9E2F3" w:themeFill="accent1" w:themeFillTint="33"/>
          </w:tcPr>
          <w:p w14:paraId="381A747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Вид расходов</w:t>
            </w:r>
          </w:p>
        </w:tc>
        <w:tc>
          <w:tcPr>
            <w:tcW w:w="2012" w:type="dxa"/>
            <w:gridSpan w:val="2"/>
            <w:shd w:val="clear" w:color="auto" w:fill="D9E2F3" w:themeFill="accent1" w:themeFillTint="33"/>
          </w:tcPr>
          <w:p w14:paraId="69F2BDB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Исполнено</w:t>
            </w:r>
          </w:p>
        </w:tc>
        <w:tc>
          <w:tcPr>
            <w:tcW w:w="2099" w:type="dxa"/>
            <w:gridSpan w:val="2"/>
            <w:shd w:val="clear" w:color="auto" w:fill="D9E2F3" w:themeFill="accent1" w:themeFillTint="33"/>
          </w:tcPr>
          <w:p w14:paraId="2064F01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 xml:space="preserve">Доля </w:t>
            </w:r>
          </w:p>
          <w:p w14:paraId="5B5AAD2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в общем объеме расходов</w:t>
            </w:r>
          </w:p>
        </w:tc>
      </w:tr>
      <w:tr w:rsidR="007A77E7" w:rsidRPr="007A77E7" w14:paraId="5C1BDC78" w14:textId="77777777" w:rsidTr="00156793">
        <w:trPr>
          <w:trHeight w:val="403"/>
        </w:trPr>
        <w:tc>
          <w:tcPr>
            <w:tcW w:w="4111" w:type="dxa"/>
            <w:vMerge/>
            <w:shd w:val="clear" w:color="auto" w:fill="D9E2F3" w:themeFill="accent1" w:themeFillTint="33"/>
          </w:tcPr>
          <w:p w14:paraId="0CAF1A3C" w14:textId="77777777" w:rsidR="007A77E7" w:rsidRPr="007A77E7" w:rsidRDefault="007A77E7" w:rsidP="007A77E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vMerge/>
            <w:shd w:val="clear" w:color="auto" w:fill="D9E2F3" w:themeFill="accent1" w:themeFillTint="33"/>
          </w:tcPr>
          <w:p w14:paraId="348E185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shd w:val="clear" w:color="auto" w:fill="D9E2F3" w:themeFill="accent1" w:themeFillTint="33"/>
            <w:vAlign w:val="center"/>
          </w:tcPr>
          <w:p w14:paraId="4A4858F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2020 год</w:t>
            </w:r>
          </w:p>
        </w:tc>
        <w:tc>
          <w:tcPr>
            <w:tcW w:w="1020" w:type="dxa"/>
            <w:shd w:val="clear" w:color="auto" w:fill="D9E2F3" w:themeFill="accent1" w:themeFillTint="33"/>
            <w:vAlign w:val="center"/>
          </w:tcPr>
          <w:p w14:paraId="548A88C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2021 год</w:t>
            </w:r>
          </w:p>
        </w:tc>
        <w:tc>
          <w:tcPr>
            <w:tcW w:w="1106" w:type="dxa"/>
            <w:shd w:val="clear" w:color="auto" w:fill="D9E2F3" w:themeFill="accent1" w:themeFillTint="33"/>
            <w:vAlign w:val="center"/>
          </w:tcPr>
          <w:p w14:paraId="61AEDE5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2020 год</w:t>
            </w:r>
          </w:p>
        </w:tc>
        <w:tc>
          <w:tcPr>
            <w:tcW w:w="993" w:type="dxa"/>
            <w:shd w:val="clear" w:color="auto" w:fill="D9E2F3" w:themeFill="accent1" w:themeFillTint="33"/>
            <w:vAlign w:val="center"/>
          </w:tcPr>
          <w:p w14:paraId="0C9570F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2021 год</w:t>
            </w:r>
          </w:p>
        </w:tc>
      </w:tr>
      <w:tr w:rsidR="007A77E7" w:rsidRPr="007A77E7" w14:paraId="535D208F" w14:textId="77777777" w:rsidTr="00545B6E">
        <w:tc>
          <w:tcPr>
            <w:tcW w:w="4111" w:type="dxa"/>
          </w:tcPr>
          <w:p w14:paraId="33E5C38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w:t>
            </w:r>
          </w:p>
        </w:tc>
        <w:tc>
          <w:tcPr>
            <w:tcW w:w="1134" w:type="dxa"/>
            <w:vAlign w:val="center"/>
          </w:tcPr>
          <w:p w14:paraId="108B0D6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w:t>
            </w:r>
          </w:p>
        </w:tc>
        <w:tc>
          <w:tcPr>
            <w:tcW w:w="992" w:type="dxa"/>
            <w:vAlign w:val="center"/>
          </w:tcPr>
          <w:p w14:paraId="418CF4F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vAlign w:val="center"/>
          </w:tcPr>
          <w:p w14:paraId="579E807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w:t>
            </w:r>
          </w:p>
        </w:tc>
        <w:tc>
          <w:tcPr>
            <w:tcW w:w="1106" w:type="dxa"/>
            <w:vAlign w:val="center"/>
          </w:tcPr>
          <w:p w14:paraId="76B271A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w:t>
            </w:r>
          </w:p>
        </w:tc>
        <w:tc>
          <w:tcPr>
            <w:tcW w:w="993" w:type="dxa"/>
            <w:vAlign w:val="center"/>
          </w:tcPr>
          <w:p w14:paraId="36BEDE2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w:t>
            </w:r>
          </w:p>
        </w:tc>
      </w:tr>
      <w:tr w:rsidR="007A77E7" w:rsidRPr="007A77E7" w14:paraId="46B7925D" w14:textId="77777777" w:rsidTr="00545B6E">
        <w:tc>
          <w:tcPr>
            <w:tcW w:w="4111" w:type="dxa"/>
          </w:tcPr>
          <w:p w14:paraId="36B6F61A"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Оплата труда и начисления на выплаты по оплате труда</w:t>
            </w:r>
          </w:p>
        </w:tc>
        <w:tc>
          <w:tcPr>
            <w:tcW w:w="1134" w:type="dxa"/>
            <w:vAlign w:val="center"/>
          </w:tcPr>
          <w:p w14:paraId="240C095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210</w:t>
            </w:r>
          </w:p>
        </w:tc>
        <w:tc>
          <w:tcPr>
            <w:tcW w:w="992" w:type="dxa"/>
            <w:vAlign w:val="center"/>
          </w:tcPr>
          <w:p w14:paraId="7CCFAD97"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6 298,9</w:t>
            </w:r>
          </w:p>
        </w:tc>
        <w:tc>
          <w:tcPr>
            <w:tcW w:w="1020" w:type="dxa"/>
            <w:vAlign w:val="center"/>
          </w:tcPr>
          <w:p w14:paraId="46436946"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6 590.6</w:t>
            </w:r>
          </w:p>
        </w:tc>
        <w:tc>
          <w:tcPr>
            <w:tcW w:w="1106" w:type="dxa"/>
            <w:vAlign w:val="center"/>
          </w:tcPr>
          <w:p w14:paraId="232A802B"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3,7</w:t>
            </w:r>
          </w:p>
        </w:tc>
        <w:tc>
          <w:tcPr>
            <w:tcW w:w="993" w:type="dxa"/>
            <w:vAlign w:val="center"/>
          </w:tcPr>
          <w:p w14:paraId="3083AE04"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3,9</w:t>
            </w:r>
          </w:p>
        </w:tc>
      </w:tr>
      <w:tr w:rsidR="007A77E7" w:rsidRPr="007A77E7" w14:paraId="44028317" w14:textId="77777777" w:rsidTr="00545B6E">
        <w:tc>
          <w:tcPr>
            <w:tcW w:w="4111" w:type="dxa"/>
          </w:tcPr>
          <w:p w14:paraId="0B76DB7F"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Оплата работ, услуг</w:t>
            </w:r>
          </w:p>
        </w:tc>
        <w:tc>
          <w:tcPr>
            <w:tcW w:w="1134" w:type="dxa"/>
            <w:vAlign w:val="center"/>
          </w:tcPr>
          <w:p w14:paraId="69CF453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220</w:t>
            </w:r>
          </w:p>
        </w:tc>
        <w:tc>
          <w:tcPr>
            <w:tcW w:w="992" w:type="dxa"/>
            <w:vAlign w:val="center"/>
          </w:tcPr>
          <w:p w14:paraId="4F9F4405"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7 627,3</w:t>
            </w:r>
          </w:p>
        </w:tc>
        <w:tc>
          <w:tcPr>
            <w:tcW w:w="1020" w:type="dxa"/>
            <w:vAlign w:val="center"/>
          </w:tcPr>
          <w:p w14:paraId="2C014304"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7 237,7</w:t>
            </w:r>
          </w:p>
        </w:tc>
        <w:tc>
          <w:tcPr>
            <w:tcW w:w="1106" w:type="dxa"/>
            <w:vAlign w:val="center"/>
          </w:tcPr>
          <w:p w14:paraId="4774CA11"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4,5</w:t>
            </w:r>
          </w:p>
        </w:tc>
        <w:tc>
          <w:tcPr>
            <w:tcW w:w="993" w:type="dxa"/>
            <w:vAlign w:val="center"/>
          </w:tcPr>
          <w:p w14:paraId="6678D14E"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4,3</w:t>
            </w:r>
          </w:p>
        </w:tc>
      </w:tr>
      <w:tr w:rsidR="007A77E7" w:rsidRPr="007A77E7" w14:paraId="77B6F185" w14:textId="77777777" w:rsidTr="00545B6E">
        <w:tc>
          <w:tcPr>
            <w:tcW w:w="4111" w:type="dxa"/>
          </w:tcPr>
          <w:p w14:paraId="2F6BD675"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Обслуживание государственного долга</w:t>
            </w:r>
          </w:p>
        </w:tc>
        <w:tc>
          <w:tcPr>
            <w:tcW w:w="1134" w:type="dxa"/>
            <w:vAlign w:val="center"/>
          </w:tcPr>
          <w:p w14:paraId="570F1CD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230</w:t>
            </w:r>
          </w:p>
        </w:tc>
        <w:tc>
          <w:tcPr>
            <w:tcW w:w="992" w:type="dxa"/>
            <w:vAlign w:val="center"/>
          </w:tcPr>
          <w:p w14:paraId="79D187B7"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8,8</w:t>
            </w:r>
          </w:p>
        </w:tc>
        <w:tc>
          <w:tcPr>
            <w:tcW w:w="1020" w:type="dxa"/>
            <w:vAlign w:val="center"/>
          </w:tcPr>
          <w:p w14:paraId="7650791A"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8,8</w:t>
            </w:r>
          </w:p>
        </w:tc>
        <w:tc>
          <w:tcPr>
            <w:tcW w:w="1106" w:type="dxa"/>
            <w:vAlign w:val="center"/>
          </w:tcPr>
          <w:p w14:paraId="0842E3F1"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993" w:type="dxa"/>
            <w:vAlign w:val="center"/>
          </w:tcPr>
          <w:p w14:paraId="092F5405"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r>
      <w:tr w:rsidR="007A77E7" w:rsidRPr="007A77E7" w14:paraId="6DB850D0" w14:textId="77777777" w:rsidTr="00545B6E">
        <w:tc>
          <w:tcPr>
            <w:tcW w:w="4111" w:type="dxa"/>
          </w:tcPr>
          <w:p w14:paraId="405C73E0"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Безвозмездные перечисления организациям</w:t>
            </w:r>
          </w:p>
        </w:tc>
        <w:tc>
          <w:tcPr>
            <w:tcW w:w="1134" w:type="dxa"/>
            <w:vAlign w:val="center"/>
          </w:tcPr>
          <w:p w14:paraId="35D63C4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240</w:t>
            </w:r>
          </w:p>
        </w:tc>
        <w:tc>
          <w:tcPr>
            <w:tcW w:w="992" w:type="dxa"/>
            <w:vAlign w:val="center"/>
          </w:tcPr>
          <w:p w14:paraId="76D26852"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28 763,5</w:t>
            </w:r>
          </w:p>
        </w:tc>
        <w:tc>
          <w:tcPr>
            <w:tcW w:w="1020" w:type="dxa"/>
            <w:vAlign w:val="center"/>
          </w:tcPr>
          <w:p w14:paraId="00F90269"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22 302,3</w:t>
            </w:r>
          </w:p>
        </w:tc>
        <w:tc>
          <w:tcPr>
            <w:tcW w:w="1106" w:type="dxa"/>
            <w:vAlign w:val="center"/>
          </w:tcPr>
          <w:p w14:paraId="6BDE29EB"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17,0</w:t>
            </w:r>
          </w:p>
        </w:tc>
        <w:tc>
          <w:tcPr>
            <w:tcW w:w="993" w:type="dxa"/>
            <w:vAlign w:val="center"/>
          </w:tcPr>
          <w:p w14:paraId="44FB09EB"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13,2</w:t>
            </w:r>
          </w:p>
        </w:tc>
      </w:tr>
      <w:tr w:rsidR="007A77E7" w:rsidRPr="007A77E7" w14:paraId="78A66D96" w14:textId="77777777" w:rsidTr="00545B6E">
        <w:tc>
          <w:tcPr>
            <w:tcW w:w="4111" w:type="dxa"/>
          </w:tcPr>
          <w:p w14:paraId="5301309A"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Безвозмездные перечисления бюджетам</w:t>
            </w:r>
          </w:p>
        </w:tc>
        <w:tc>
          <w:tcPr>
            <w:tcW w:w="1134" w:type="dxa"/>
            <w:vAlign w:val="center"/>
          </w:tcPr>
          <w:p w14:paraId="6FB2534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250</w:t>
            </w:r>
          </w:p>
        </w:tc>
        <w:tc>
          <w:tcPr>
            <w:tcW w:w="992" w:type="dxa"/>
            <w:vAlign w:val="center"/>
          </w:tcPr>
          <w:p w14:paraId="27324BCD"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51 640,5</w:t>
            </w:r>
          </w:p>
        </w:tc>
        <w:tc>
          <w:tcPr>
            <w:tcW w:w="1020" w:type="dxa"/>
            <w:vAlign w:val="center"/>
          </w:tcPr>
          <w:p w14:paraId="4F92AC26"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61 723,0</w:t>
            </w:r>
          </w:p>
        </w:tc>
        <w:tc>
          <w:tcPr>
            <w:tcW w:w="1106" w:type="dxa"/>
            <w:vAlign w:val="center"/>
          </w:tcPr>
          <w:p w14:paraId="48E2FBE1"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30,6</w:t>
            </w:r>
          </w:p>
        </w:tc>
        <w:tc>
          <w:tcPr>
            <w:tcW w:w="993" w:type="dxa"/>
            <w:vAlign w:val="center"/>
          </w:tcPr>
          <w:p w14:paraId="46E5CAEB"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36,5</w:t>
            </w:r>
          </w:p>
        </w:tc>
      </w:tr>
      <w:tr w:rsidR="007A77E7" w:rsidRPr="007A77E7" w14:paraId="28F3E483" w14:textId="77777777" w:rsidTr="00545B6E">
        <w:tc>
          <w:tcPr>
            <w:tcW w:w="4111" w:type="dxa"/>
          </w:tcPr>
          <w:p w14:paraId="23C719FE"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Социальное обеспечение</w:t>
            </w:r>
          </w:p>
        </w:tc>
        <w:tc>
          <w:tcPr>
            <w:tcW w:w="1134" w:type="dxa"/>
            <w:vAlign w:val="center"/>
          </w:tcPr>
          <w:p w14:paraId="283CDA8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260</w:t>
            </w:r>
          </w:p>
        </w:tc>
        <w:tc>
          <w:tcPr>
            <w:tcW w:w="992" w:type="dxa"/>
            <w:vAlign w:val="center"/>
          </w:tcPr>
          <w:p w14:paraId="41990C51"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47 732,5</w:t>
            </w:r>
          </w:p>
        </w:tc>
        <w:tc>
          <w:tcPr>
            <w:tcW w:w="1020" w:type="dxa"/>
            <w:vAlign w:val="center"/>
          </w:tcPr>
          <w:p w14:paraId="277A6900"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52 788,9</w:t>
            </w:r>
          </w:p>
        </w:tc>
        <w:tc>
          <w:tcPr>
            <w:tcW w:w="1106" w:type="dxa"/>
            <w:vAlign w:val="center"/>
          </w:tcPr>
          <w:p w14:paraId="1E1AFC38"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28,3</w:t>
            </w:r>
          </w:p>
        </w:tc>
        <w:tc>
          <w:tcPr>
            <w:tcW w:w="993" w:type="dxa"/>
            <w:vAlign w:val="center"/>
          </w:tcPr>
          <w:p w14:paraId="0C4AB44F"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31,2</w:t>
            </w:r>
          </w:p>
        </w:tc>
      </w:tr>
      <w:tr w:rsidR="007A77E7" w:rsidRPr="007A77E7" w14:paraId="519C2AAB" w14:textId="77777777" w:rsidTr="00545B6E">
        <w:tc>
          <w:tcPr>
            <w:tcW w:w="4111" w:type="dxa"/>
          </w:tcPr>
          <w:p w14:paraId="2F9236B4"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Прочие расходы</w:t>
            </w:r>
          </w:p>
        </w:tc>
        <w:tc>
          <w:tcPr>
            <w:tcW w:w="1134" w:type="dxa"/>
            <w:vAlign w:val="center"/>
          </w:tcPr>
          <w:p w14:paraId="17496B5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290</w:t>
            </w:r>
          </w:p>
        </w:tc>
        <w:tc>
          <w:tcPr>
            <w:tcW w:w="992" w:type="dxa"/>
            <w:vAlign w:val="center"/>
          </w:tcPr>
          <w:p w14:paraId="76A6A052"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1 120,7</w:t>
            </w:r>
          </w:p>
        </w:tc>
        <w:tc>
          <w:tcPr>
            <w:tcW w:w="1020" w:type="dxa"/>
            <w:vAlign w:val="center"/>
          </w:tcPr>
          <w:p w14:paraId="716155D5"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1 865,3</w:t>
            </w:r>
          </w:p>
        </w:tc>
        <w:tc>
          <w:tcPr>
            <w:tcW w:w="1106" w:type="dxa"/>
            <w:vAlign w:val="center"/>
          </w:tcPr>
          <w:p w14:paraId="3E26C9E2"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0,7</w:t>
            </w:r>
          </w:p>
        </w:tc>
        <w:tc>
          <w:tcPr>
            <w:tcW w:w="993" w:type="dxa"/>
            <w:vAlign w:val="center"/>
          </w:tcPr>
          <w:p w14:paraId="711BC687"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1,1</w:t>
            </w:r>
          </w:p>
        </w:tc>
      </w:tr>
      <w:tr w:rsidR="007A77E7" w:rsidRPr="007A77E7" w14:paraId="651BD8F0" w14:textId="77777777" w:rsidTr="00545B6E">
        <w:tc>
          <w:tcPr>
            <w:tcW w:w="4111" w:type="dxa"/>
          </w:tcPr>
          <w:p w14:paraId="6F1DC540"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Увеличение стоимости основных средств</w:t>
            </w:r>
          </w:p>
        </w:tc>
        <w:tc>
          <w:tcPr>
            <w:tcW w:w="1134" w:type="dxa"/>
            <w:vAlign w:val="center"/>
          </w:tcPr>
          <w:p w14:paraId="64250E0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310</w:t>
            </w:r>
          </w:p>
        </w:tc>
        <w:tc>
          <w:tcPr>
            <w:tcW w:w="992" w:type="dxa"/>
            <w:vAlign w:val="center"/>
          </w:tcPr>
          <w:p w14:paraId="7C97099C"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22 136,0</w:t>
            </w:r>
          </w:p>
        </w:tc>
        <w:tc>
          <w:tcPr>
            <w:tcW w:w="1020" w:type="dxa"/>
            <w:vAlign w:val="center"/>
          </w:tcPr>
          <w:p w14:paraId="4958B04A"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15 228,7</w:t>
            </w:r>
          </w:p>
        </w:tc>
        <w:tc>
          <w:tcPr>
            <w:tcW w:w="1106" w:type="dxa"/>
            <w:vAlign w:val="center"/>
          </w:tcPr>
          <w:p w14:paraId="6A6FE238"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13,1</w:t>
            </w:r>
          </w:p>
        </w:tc>
        <w:tc>
          <w:tcPr>
            <w:tcW w:w="993" w:type="dxa"/>
            <w:vAlign w:val="center"/>
          </w:tcPr>
          <w:p w14:paraId="6146684A"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9,0</w:t>
            </w:r>
          </w:p>
        </w:tc>
      </w:tr>
      <w:tr w:rsidR="007A77E7" w:rsidRPr="007A77E7" w14:paraId="28398BAB" w14:textId="77777777" w:rsidTr="00545B6E">
        <w:tc>
          <w:tcPr>
            <w:tcW w:w="4111" w:type="dxa"/>
          </w:tcPr>
          <w:p w14:paraId="785E6B44"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 xml:space="preserve">Увеличение стоимости нематериальных активов </w:t>
            </w:r>
          </w:p>
        </w:tc>
        <w:tc>
          <w:tcPr>
            <w:tcW w:w="1134" w:type="dxa"/>
            <w:vAlign w:val="center"/>
          </w:tcPr>
          <w:p w14:paraId="5946081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320</w:t>
            </w:r>
          </w:p>
        </w:tc>
        <w:tc>
          <w:tcPr>
            <w:tcW w:w="992" w:type="dxa"/>
            <w:vAlign w:val="center"/>
          </w:tcPr>
          <w:p w14:paraId="6EB2167A"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68,2</w:t>
            </w:r>
          </w:p>
        </w:tc>
        <w:tc>
          <w:tcPr>
            <w:tcW w:w="1020" w:type="dxa"/>
            <w:vAlign w:val="center"/>
          </w:tcPr>
          <w:p w14:paraId="41152D46"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w:t>
            </w:r>
          </w:p>
        </w:tc>
        <w:tc>
          <w:tcPr>
            <w:tcW w:w="1106" w:type="dxa"/>
            <w:vAlign w:val="center"/>
          </w:tcPr>
          <w:p w14:paraId="6476A015"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0,04</w:t>
            </w:r>
          </w:p>
        </w:tc>
        <w:tc>
          <w:tcPr>
            <w:tcW w:w="993" w:type="dxa"/>
            <w:vAlign w:val="center"/>
          </w:tcPr>
          <w:p w14:paraId="35E834AC"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r>
      <w:tr w:rsidR="007A77E7" w:rsidRPr="007A77E7" w14:paraId="1D967816" w14:textId="77777777" w:rsidTr="00545B6E">
        <w:tc>
          <w:tcPr>
            <w:tcW w:w="4111" w:type="dxa"/>
          </w:tcPr>
          <w:p w14:paraId="42AFE927"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Увеличение стоимости материальных запасов</w:t>
            </w:r>
          </w:p>
        </w:tc>
        <w:tc>
          <w:tcPr>
            <w:tcW w:w="1134" w:type="dxa"/>
            <w:vAlign w:val="center"/>
          </w:tcPr>
          <w:p w14:paraId="7190425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340</w:t>
            </w:r>
          </w:p>
        </w:tc>
        <w:tc>
          <w:tcPr>
            <w:tcW w:w="992" w:type="dxa"/>
            <w:vAlign w:val="center"/>
          </w:tcPr>
          <w:p w14:paraId="464D5D18"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1 948,8</w:t>
            </w:r>
          </w:p>
        </w:tc>
        <w:tc>
          <w:tcPr>
            <w:tcW w:w="1020" w:type="dxa"/>
            <w:vAlign w:val="center"/>
          </w:tcPr>
          <w:p w14:paraId="20F92DC6"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1 401,4</w:t>
            </w:r>
          </w:p>
        </w:tc>
        <w:tc>
          <w:tcPr>
            <w:tcW w:w="1106" w:type="dxa"/>
            <w:vAlign w:val="center"/>
          </w:tcPr>
          <w:p w14:paraId="125DC66C"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1,15</w:t>
            </w:r>
          </w:p>
        </w:tc>
        <w:tc>
          <w:tcPr>
            <w:tcW w:w="993" w:type="dxa"/>
            <w:vAlign w:val="center"/>
          </w:tcPr>
          <w:p w14:paraId="3291C745"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0,8</w:t>
            </w:r>
          </w:p>
        </w:tc>
      </w:tr>
      <w:tr w:rsidR="007A77E7" w:rsidRPr="007A77E7" w14:paraId="5F657C82" w14:textId="77777777" w:rsidTr="00545B6E">
        <w:tc>
          <w:tcPr>
            <w:tcW w:w="4111" w:type="dxa"/>
          </w:tcPr>
          <w:p w14:paraId="3089AB8D"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Приобретение акций и иных финансовых инструментов</w:t>
            </w:r>
          </w:p>
        </w:tc>
        <w:tc>
          <w:tcPr>
            <w:tcW w:w="1134" w:type="dxa"/>
            <w:vAlign w:val="center"/>
          </w:tcPr>
          <w:p w14:paraId="2C87059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530</w:t>
            </w:r>
          </w:p>
        </w:tc>
        <w:tc>
          <w:tcPr>
            <w:tcW w:w="992" w:type="dxa"/>
            <w:vAlign w:val="center"/>
          </w:tcPr>
          <w:p w14:paraId="52EEECCA"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1 441,0</w:t>
            </w:r>
          </w:p>
        </w:tc>
        <w:tc>
          <w:tcPr>
            <w:tcW w:w="1020" w:type="dxa"/>
            <w:vAlign w:val="center"/>
          </w:tcPr>
          <w:p w14:paraId="32FEE749"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57,1</w:t>
            </w:r>
          </w:p>
        </w:tc>
        <w:tc>
          <w:tcPr>
            <w:tcW w:w="1106" w:type="dxa"/>
            <w:vAlign w:val="center"/>
          </w:tcPr>
          <w:p w14:paraId="77FBB68E"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0,9</w:t>
            </w:r>
          </w:p>
        </w:tc>
        <w:tc>
          <w:tcPr>
            <w:tcW w:w="993" w:type="dxa"/>
            <w:vAlign w:val="center"/>
          </w:tcPr>
          <w:p w14:paraId="0E975A07"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r>
      <w:tr w:rsidR="007A77E7" w:rsidRPr="007A77E7" w14:paraId="45CB0DF1" w14:textId="77777777" w:rsidTr="00545B6E">
        <w:trPr>
          <w:trHeight w:val="311"/>
        </w:trPr>
        <w:tc>
          <w:tcPr>
            <w:tcW w:w="4111" w:type="dxa"/>
            <w:vAlign w:val="center"/>
          </w:tcPr>
          <w:p w14:paraId="53666962"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Всего</w:t>
            </w:r>
          </w:p>
        </w:tc>
        <w:tc>
          <w:tcPr>
            <w:tcW w:w="1134" w:type="dxa"/>
            <w:vAlign w:val="center"/>
          </w:tcPr>
          <w:p w14:paraId="1AE5AC7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 </w:t>
            </w:r>
          </w:p>
        </w:tc>
        <w:tc>
          <w:tcPr>
            <w:tcW w:w="992" w:type="dxa"/>
            <w:vAlign w:val="center"/>
          </w:tcPr>
          <w:p w14:paraId="78173A15" w14:textId="77777777" w:rsidR="007A77E7" w:rsidRPr="007A77E7" w:rsidRDefault="007A77E7" w:rsidP="007A77E7">
            <w:pPr>
              <w:widowControl w:val="0"/>
              <w:autoSpaceDE w:val="0"/>
              <w:autoSpaceDN w:val="0"/>
              <w:adjustRightInd w:val="0"/>
              <w:spacing w:after="0" w:line="240" w:lineRule="auto"/>
              <w:ind w:hanging="89"/>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168 786,2</w:t>
            </w:r>
          </w:p>
        </w:tc>
        <w:tc>
          <w:tcPr>
            <w:tcW w:w="1020" w:type="dxa"/>
            <w:vAlign w:val="center"/>
          </w:tcPr>
          <w:p w14:paraId="2E1C2F71"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169 203,8</w:t>
            </w:r>
          </w:p>
        </w:tc>
        <w:tc>
          <w:tcPr>
            <w:tcW w:w="1106" w:type="dxa"/>
            <w:vAlign w:val="center"/>
          </w:tcPr>
          <w:p w14:paraId="0A54C69D"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100,0</w:t>
            </w:r>
          </w:p>
        </w:tc>
        <w:tc>
          <w:tcPr>
            <w:tcW w:w="993" w:type="dxa"/>
            <w:vAlign w:val="center"/>
          </w:tcPr>
          <w:p w14:paraId="7154303A" w14:textId="77777777" w:rsidR="007A77E7" w:rsidRPr="007A77E7" w:rsidRDefault="007A77E7" w:rsidP="007A77E7">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100,0</w:t>
            </w:r>
          </w:p>
        </w:tc>
      </w:tr>
    </w:tbl>
    <w:p w14:paraId="19E2AD8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82882E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Как видно из таблицы, наибольшую долю в экономической структуре расходов республиканского бюджета Республики Дагестан по отчету за 2021 год составили расходы на безвозмездные перечисления бюджетам – 36,5 %, на социальное обеспечение – 31,2 %, на безвозмездные перечисления организациям – 13,2 %, на увеличение стоимости основных средств – 9,0 %, на оплату работ, услуг – 4,3 %, на оплату труда с начислениями – 3,9%. </w:t>
      </w:r>
    </w:p>
    <w:p w14:paraId="3533278C"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xml:space="preserve">По сравнению с 2020 годом доля расходов на оплату работ, услуг в общем объеме расходов республиканского бюджета Республики Дагестан за 2021 год уменьшилась на 0,2 процентного пункта, безвозмездные перечисления организациям – на 3,8 процентного пункта, на увеличение стоимости основных средств – на 4,1 процентного пункта. Доля расходов на безвозмездные перечисления бюджетам увеличилась на 5,9 процентного пункта, на социальное обеспечение – на 2,9 процентных пункта, на оплату труда с начислениями – на 0,2 процентного пункта. </w:t>
      </w:r>
    </w:p>
    <w:p w14:paraId="0680E5DA" w14:textId="73645B8D" w:rsidR="007A77E7" w:rsidRPr="007A77E7" w:rsidRDefault="005F37BC"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Pr>
          <w:rFonts w:ascii="Times New Roman" w:eastAsia="Times New Roman" w:hAnsi="Times New Roman" w:cs="Times New Roman"/>
          <w:b/>
          <w:bCs/>
          <w:color w:val="002060"/>
          <w:sz w:val="28"/>
          <w:szCs w:val="28"/>
          <w:lang w:eastAsia="ru-RU"/>
        </w:rPr>
        <w:t>1.3</w:t>
      </w:r>
      <w:r w:rsidRPr="007A77E7">
        <w:rPr>
          <w:rFonts w:ascii="Times New Roman" w:eastAsia="Times New Roman" w:hAnsi="Times New Roman" w:cs="Times New Roman"/>
          <w:b/>
          <w:bCs/>
          <w:color w:val="002060"/>
          <w:sz w:val="28"/>
          <w:szCs w:val="28"/>
          <w:lang w:eastAsia="ru-RU"/>
        </w:rPr>
        <w:t xml:space="preserve">. </w:t>
      </w:r>
      <w:r w:rsidR="007A77E7" w:rsidRPr="007A77E7">
        <w:rPr>
          <w:rFonts w:ascii="Times New Roman" w:eastAsia="Times New Roman" w:hAnsi="Times New Roman" w:cs="Times New Roman"/>
          <w:sz w:val="28"/>
          <w:szCs w:val="28"/>
          <w:lang w:eastAsia="ru-RU"/>
        </w:rPr>
        <w:t>По состоянию на 1 января 2021 года на балансе исполнения республиканского бюджета Республики Дагестан значились остатки неиспользованных бюджетных средств в общей сумме 13 770 526,8 тыс. рублей, в том числе:</w:t>
      </w:r>
    </w:p>
    <w:p w14:paraId="19FE9452"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текущем счете исполнения республиканского бюджета Республики Дагестан – 1 985 899,8 тыс. рублей;</w:t>
      </w:r>
    </w:p>
    <w:p w14:paraId="568CC323"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лицевых счетах главных распорядителей республиканского бюджета Республики Дагестан – 11 784 627,0 тыс. рублей, из них: средства федерального бюджета – 7 633 639,6 тыс. рублей и средства республиканского бюджета Республики Дагестан – 4 150 987,4 тыс. рублей.</w:t>
      </w:r>
    </w:p>
    <w:p w14:paraId="7126FC24" w14:textId="4031ADDE" w:rsidR="007A77E7" w:rsidRPr="007A77E7" w:rsidRDefault="007A77E7" w:rsidP="002E57D3">
      <w:pPr>
        <w:widowControl w:val="0"/>
        <w:shd w:val="clear" w:color="auto" w:fill="FFFFFF"/>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сравнению с началом 2021 года объем остатков неиспользованных средств на конец года увеличился на 3 206 664,1 тыс. рублей, или на 23,3 % и на 1 января 2022 года составили 16 977 190,9 тыс. рублей, в том числе:</w:t>
      </w:r>
    </w:p>
    <w:p w14:paraId="7FA3D687"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текущем счете исполнения республиканского бюджета Республики Дагестан – 4 445 394,0 тыс. рублей (увеличились на 2 459 494,2 тыс. рублей, или в 2,2 раза) в том числе:</w:t>
      </w:r>
    </w:p>
    <w:p w14:paraId="4B69F726"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Cs/>
          <w:color w:val="002060"/>
          <w:sz w:val="28"/>
          <w:szCs w:val="28"/>
          <w:lang w:eastAsia="ru-RU"/>
        </w:rPr>
        <w:t>- н</w:t>
      </w:r>
      <w:r w:rsidRPr="007A77E7">
        <w:rPr>
          <w:rFonts w:ascii="Times New Roman" w:eastAsia="Times New Roman" w:hAnsi="Times New Roman" w:cs="Times New Roman"/>
          <w:sz w:val="28"/>
          <w:szCs w:val="28"/>
          <w:lang w:eastAsia="ru-RU"/>
        </w:rPr>
        <w:t>а лицевых счетах главных распорядителей республиканского бюджета Республики Дагестан – 12 531 796,9 тыс. рублей (увеличились на 747 169,9 тыс. рублей, или на 6,3 %), из них: средства федерального бюджета – 6 961 449,7 тыс. рублей; средства республиканского бюджета Республики Дагестан – 5 570 347,2 тыс. рублей.</w:t>
      </w:r>
    </w:p>
    <w:p w14:paraId="3B3B3B41" w14:textId="654F8D21"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На лицевых счетах бюджетных и автономных учреждений в органе Федерального казначейства на 1 января 2021 года значились остатки неиспользованных бюджетных средств в общей сумме 5 619 660,8 тыс. рублей. По сравнению с началом года остатки неиспользованных бюджетных средств уменьшились на 631 949,0 тыс. рублей, или на 11,2 % и на 1 января 2022 года составили 4 987 711,8 тыс. рублей, в том числе:</w:t>
      </w:r>
    </w:p>
    <w:p w14:paraId="6A5D0D45"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от деятельности с целевыми средствами – 952 655,1 тыс. рублей;</w:t>
      </w:r>
    </w:p>
    <w:p w14:paraId="0ED2F60C"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от деятельности по государственному заданию – 366 238,3 тыс. рублей;</w:t>
      </w:r>
    </w:p>
    <w:p w14:paraId="4E35E600"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от приносящей доход деятельности – 3 668 818,4 тыс. рублей.</w:t>
      </w:r>
    </w:p>
    <w:p w14:paraId="04C57E52"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Кроме того, на счетах бюджетов муниципальных образований на </w:t>
      </w:r>
      <w:r w:rsidRPr="007A77E7">
        <w:rPr>
          <w:rFonts w:ascii="Times New Roman" w:eastAsia="Times New Roman" w:hAnsi="Times New Roman" w:cs="Times New Roman"/>
          <w:sz w:val="28"/>
          <w:szCs w:val="28"/>
          <w:lang w:eastAsia="ru-RU"/>
        </w:rPr>
        <w:br/>
        <w:t xml:space="preserve">1 января 2021 года значились остатки неиспользованных бюджетных средств в общей сумме 5 495 500,0 тыс. рублей. По сравнению с началом года остатки неиспользованных бюджетных средств на конец 2021 года увеличились на </w:t>
      </w:r>
      <w:r w:rsidRPr="007A77E7">
        <w:rPr>
          <w:rFonts w:ascii="Times New Roman" w:eastAsia="Times New Roman" w:hAnsi="Times New Roman" w:cs="Times New Roman"/>
          <w:sz w:val="28"/>
          <w:szCs w:val="28"/>
          <w:lang w:eastAsia="ru-RU"/>
        </w:rPr>
        <w:lastRenderedPageBreak/>
        <w:t>1 167 699,1 тыс. рублей, или на 21,2 %, и на 1 января 2022 года составили 6 663 849,1 тыс. рублей.</w:t>
      </w:r>
    </w:p>
    <w:p w14:paraId="278BCDFB"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Таким образом, общая сумма неиспользованных остатков бюджетных средств, в целом по консолидированному бюджету Республики Дагестан по состоянию на 1 января 2021 года составила 28 628 751,8 тыс. рублей. По сравнению с началом 2020 года сумма неиспользованных остатков бюджетных средств увеличилась на 5 926 910,2 тыс. рублей, или на 26,1 % (22 701 841,6 тыс. рублей).</w:t>
      </w:r>
    </w:p>
    <w:p w14:paraId="3969E6E2" w14:textId="3E82D748" w:rsidR="007A77E7" w:rsidRPr="007A77E7" w:rsidRDefault="005F37BC"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Pr>
          <w:rFonts w:ascii="Times New Roman" w:eastAsia="Times New Roman" w:hAnsi="Times New Roman" w:cs="Times New Roman"/>
          <w:b/>
          <w:bCs/>
          <w:color w:val="002060"/>
          <w:sz w:val="28"/>
          <w:szCs w:val="28"/>
          <w:lang w:eastAsia="ru-RU"/>
        </w:rPr>
        <w:t>1.4</w:t>
      </w:r>
      <w:r w:rsidRPr="007A77E7">
        <w:rPr>
          <w:rFonts w:ascii="Times New Roman" w:eastAsia="Times New Roman" w:hAnsi="Times New Roman" w:cs="Times New Roman"/>
          <w:b/>
          <w:bCs/>
          <w:color w:val="002060"/>
          <w:sz w:val="28"/>
          <w:szCs w:val="28"/>
          <w:lang w:eastAsia="ru-RU"/>
        </w:rPr>
        <w:t xml:space="preserve">. </w:t>
      </w:r>
      <w:r w:rsidR="007A77E7" w:rsidRPr="007A77E7">
        <w:rPr>
          <w:rFonts w:ascii="Times New Roman" w:eastAsia="Times New Roman" w:hAnsi="Times New Roman" w:cs="Times New Roman"/>
          <w:bCs/>
          <w:sz w:val="28"/>
          <w:szCs w:val="28"/>
          <w:lang w:eastAsia="ru-RU"/>
        </w:rPr>
        <w:t>Неиспользованные остатки</w:t>
      </w:r>
      <w:r w:rsidR="007A77E7" w:rsidRPr="007A77E7">
        <w:rPr>
          <w:rFonts w:ascii="Times New Roman" w:eastAsia="Times New Roman" w:hAnsi="Times New Roman" w:cs="Times New Roman"/>
          <w:b/>
          <w:bCs/>
          <w:color w:val="002060"/>
          <w:sz w:val="28"/>
          <w:szCs w:val="28"/>
          <w:lang w:eastAsia="ru-RU"/>
        </w:rPr>
        <w:t xml:space="preserve"> </w:t>
      </w:r>
      <w:r w:rsidR="007A77E7" w:rsidRPr="007A77E7">
        <w:rPr>
          <w:rFonts w:ascii="Times New Roman" w:eastAsia="Times New Roman" w:hAnsi="Times New Roman" w:cs="Times New Roman"/>
          <w:bCs/>
          <w:sz w:val="28"/>
          <w:szCs w:val="28"/>
          <w:lang w:eastAsia="ru-RU"/>
        </w:rPr>
        <w:t xml:space="preserve">целевых бюджетных средств в общей сумме 127 303,5 тыс. рублей </w:t>
      </w:r>
      <w:r w:rsidR="007A77E7" w:rsidRPr="007A77E7">
        <w:rPr>
          <w:rFonts w:ascii="Times New Roman" w:eastAsia="Times New Roman" w:hAnsi="Times New Roman" w:cs="Times New Roman"/>
          <w:sz w:val="28"/>
          <w:szCs w:val="28"/>
          <w:lang w:eastAsia="ru-RU"/>
        </w:rPr>
        <w:t xml:space="preserve">Министерством финансов Республики Дагестан в полном объеме возвращены в федеральный бюджет, в том числе: </w:t>
      </w:r>
    </w:p>
    <w:p w14:paraId="2ECB37A1"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color w:val="000000"/>
          <w:sz w:val="28"/>
          <w:szCs w:val="28"/>
          <w:lang w:eastAsia="ru-RU"/>
        </w:rPr>
        <w:t>- субсидии на государственную поддержку отрасли культуры – 14,4 тыс. рублей</w:t>
      </w:r>
      <w:r w:rsidRPr="007A77E7">
        <w:rPr>
          <w:rFonts w:ascii="Times New Roman" w:eastAsia="Times New Roman" w:hAnsi="Times New Roman" w:cs="Times New Roman"/>
          <w:sz w:val="28"/>
          <w:szCs w:val="28"/>
          <w:lang w:eastAsia="ru-RU"/>
        </w:rPr>
        <w:t>;</w:t>
      </w:r>
    </w:p>
    <w:p w14:paraId="4521F8ED"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обеспечение закупки авиационных работ в целях оказания медицинской помощи – 10,0 тыс. рублей;</w:t>
      </w:r>
    </w:p>
    <w:p w14:paraId="435762FB"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реализацию мероприятий по предупреждению и борьбе с социально значимыми инфекционными заболеваниями – 3,2 тыс. рублей;</w:t>
      </w:r>
    </w:p>
    <w:p w14:paraId="0A7D0A95"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софинансирование расходных обязательств субъектов Российской Федерации, возникающих при реализации региональных программ модернизации первичного звена здравоохранения (оснащение и переоснащение автомобильным транспортом медицинских учреждений) – 957,0 тыс. рублей;</w:t>
      </w:r>
    </w:p>
    <w:p w14:paraId="7A0BAFF8"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компенсацию отдельным категориям граждан оплаты взноса на капитальный ремонт общего имущества в многоквартирном доме – 2.0 тыс. рублей;</w:t>
      </w:r>
    </w:p>
    <w:p w14:paraId="2D6AC5FD"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строительство и реконструкцию (модернизацию) объектов питьевого водоснабжения – 119,0 тыс. рублей;</w:t>
      </w:r>
    </w:p>
    <w:p w14:paraId="743A4F5A"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 32 375,6 тыс. рублей;</w:t>
      </w:r>
    </w:p>
    <w:p w14:paraId="7C0324BB"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 3 305,0 тыс. рублей;</w:t>
      </w:r>
    </w:p>
    <w:p w14:paraId="1FA50FA6"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2 242,5 тыс. рублей;</w:t>
      </w:r>
    </w:p>
    <w:p w14:paraId="1A561492"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 8 331,1 тыс. рублей;</w:t>
      </w:r>
    </w:p>
    <w:p w14:paraId="735FE088"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lastRenderedPageBreak/>
        <w:t>- субсидии на создание детских технопарков «Кванториум» – 1,6 тыс. рублей;</w:t>
      </w:r>
    </w:p>
    <w:p w14:paraId="4035A3CA"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 6 432,3 тыс. рублей;</w:t>
      </w:r>
    </w:p>
    <w:p w14:paraId="64D942E3"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 1 920,6 тыс. рублей;</w:t>
      </w:r>
    </w:p>
    <w:p w14:paraId="7DE7FBBE"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субвенции на выплату единовременного пособия при всех формах устройства детей, лишенных родительского попечения, в семью- 328,1 тыс. рублей;</w:t>
      </w:r>
    </w:p>
    <w:p w14:paraId="47B19CD6"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поддержку сельскохозяйственного производства по отдельным подотраслям растениеводства и животноводства – 450,9 тыс. рублей;</w:t>
      </w:r>
    </w:p>
    <w:p w14:paraId="03DA9E7B"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обеспечение комплексного развития сельских территорий (благоустройство) – 164,3 тыс. рублей;</w:t>
      </w:r>
    </w:p>
    <w:p w14:paraId="74FE74E6"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единая субвенция бюджетам субъектов Российской Федерации и бюджету г. Байконура (образование) – 317,5 тыс. рублей;</w:t>
      </w:r>
    </w:p>
    <w:p w14:paraId="60D79FCD"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иные межбюджетные трансферты на финансовое обеспечение дорожной деятельности – 58 705,0 тыс. рублей;</w:t>
      </w:r>
    </w:p>
    <w:p w14:paraId="4B1A6C3D"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(первая очередь объекта «Наружные сети канализации и канализационные очистные сооружения, переселенческого Новолакского района») – 83,1 тыс. рублей;</w:t>
      </w:r>
    </w:p>
    <w:p w14:paraId="4FB74829"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субвенции на оплату жилищно-коммунальных услуг отдельным категориям граждан – 123,0 тыс. рублей;</w:t>
      </w:r>
    </w:p>
    <w:p w14:paraId="45582B3B"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субсидии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 – 185,7 тыс. рублей;</w:t>
      </w:r>
    </w:p>
    <w:p w14:paraId="627F4435" w14:textId="77777777" w:rsidR="007A77E7" w:rsidRPr="007A77E7" w:rsidRDefault="007A77E7" w:rsidP="002E57D3">
      <w:pPr>
        <w:widowControl w:val="0"/>
        <w:autoSpaceDE w:val="0"/>
        <w:autoSpaceDN w:val="0"/>
        <w:adjustRightInd w:val="0"/>
        <w:spacing w:after="0" w:line="340" w:lineRule="exact"/>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- 1 240,3 тыс. рублей; </w:t>
      </w:r>
    </w:p>
    <w:p w14:paraId="476893EC"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субвенции на осуществление ежемесячной выплаты в связи с рождением (усыновлением) первого ребенка – 11,7 тыс. рублей;</w:t>
      </w:r>
    </w:p>
    <w:p w14:paraId="11FFA971"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субвенции на осуществление переданных полномочий Российской Федерации по предоставлению отдельных мер социальной поддержки </w:t>
      </w:r>
      <w:r w:rsidRPr="007A77E7">
        <w:rPr>
          <w:rFonts w:ascii="Times New Roman" w:eastAsia="Times New Roman" w:hAnsi="Times New Roman" w:cs="Times New Roman"/>
          <w:color w:val="000000"/>
          <w:sz w:val="28"/>
          <w:szCs w:val="28"/>
          <w:lang w:eastAsia="ru-RU"/>
        </w:rPr>
        <w:lastRenderedPageBreak/>
        <w:t>граждан, подвергшихся воздействию радиации – 47,2 тыс. рублей;</w:t>
      </w:r>
    </w:p>
    <w:p w14:paraId="18140C53"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субвенции на социальные выплаты безработным гражданам в соответствии с Законом Российской Федерации от 19 апреля 1991 года № 1032-1 «О занятости населения в Российской Федерации» - 197,3 тыс. рублей;</w:t>
      </w:r>
    </w:p>
    <w:p w14:paraId="54298F70"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субвенции на проведение Всероссийской переписи населения 2020 года – 9 175,2 тыс. рублей;</w:t>
      </w:r>
    </w:p>
    <w:p w14:paraId="597099DF" w14:textId="77777777" w:rsidR="007A77E7" w:rsidRP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субвенции на осуществление первичного воинского учета на территориях, где отсутствуют военные комиссариаты – 454,2 тыс. рублей;</w:t>
      </w:r>
    </w:p>
    <w:p w14:paraId="4FCBE637" w14:textId="65BF778D" w:rsidR="007A77E7" w:rsidRDefault="007A77E7" w:rsidP="002E57D3">
      <w:pPr>
        <w:widowControl w:val="0"/>
        <w:autoSpaceDE w:val="0"/>
        <w:autoSpaceDN w:val="0"/>
        <w:adjustRightInd w:val="0"/>
        <w:spacing w:after="0" w:line="340" w:lineRule="exact"/>
        <w:ind w:firstLine="708"/>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- 105,7 тыс. рублей.</w:t>
      </w:r>
    </w:p>
    <w:p w14:paraId="7D5A432C" w14:textId="0ACFDEDB"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63A53260" w14:textId="538A7D44"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02F4853B" w14:textId="79A7CEA5"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35AF8236" w14:textId="29231C2C"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42FC938F" w14:textId="6EB5AB0A"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4A6F9385" w14:textId="357B3CF1"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53DDCB68" w14:textId="7ED13729"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3B3E0CB1" w14:textId="5679B240"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5B813D3" w14:textId="51DD3F92"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2FDCAD8A" w14:textId="3FFA5762"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01F712B0" w14:textId="7E94935F"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24E68E83" w14:textId="3BF610D4"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69F07BAA" w14:textId="49C5231E"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2AE10121" w14:textId="14F5108E"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888C897" w14:textId="52841AC0"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3103260C" w14:textId="60D75C38"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40F9C395" w14:textId="48D112E8"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7CF17B7" w14:textId="7ECD7B41"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2BFE5A29" w14:textId="57D59FF3"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39660AF0" w14:textId="1ABE74FA"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79A61DB" w14:textId="18A8C988"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E481803" w14:textId="4ECDE802"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4C4A620D" w14:textId="5CA077F2"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32655FC" w14:textId="40BD5A92"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3B486B74" w14:textId="644F27DE"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4BB94A9C" w14:textId="1E703025"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50F3BD61" w14:textId="31B50616"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08B7374A" w14:textId="77D0B552"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CC907C6" w14:textId="673BE981"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0079EB02" w14:textId="603969D7"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59E4D34" w14:textId="750478A3" w:rsidR="00465093" w:rsidRDefault="00465093" w:rsidP="007A77E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5C4B9C87" w14:textId="0F4896FC"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bCs/>
          <w:color w:val="002060"/>
          <w:sz w:val="28"/>
          <w:szCs w:val="28"/>
          <w:lang w:eastAsia="ru-RU"/>
        </w:rPr>
        <w:lastRenderedPageBreak/>
        <w:t>4.2.</w:t>
      </w:r>
      <w:r w:rsidR="005F37BC" w:rsidRPr="005F37BC">
        <w:rPr>
          <w:rFonts w:ascii="Times New Roman" w:eastAsia="Times New Roman" w:hAnsi="Times New Roman" w:cs="Times New Roman"/>
          <w:b/>
          <w:bCs/>
          <w:color w:val="002060"/>
          <w:sz w:val="28"/>
          <w:szCs w:val="28"/>
          <w:lang w:eastAsia="ru-RU"/>
        </w:rPr>
        <w:t>2</w:t>
      </w:r>
      <w:r w:rsidRPr="007A77E7">
        <w:rPr>
          <w:rFonts w:ascii="Times New Roman" w:eastAsia="Times New Roman" w:hAnsi="Times New Roman" w:cs="Times New Roman"/>
          <w:b/>
          <w:bCs/>
          <w:color w:val="002060"/>
          <w:sz w:val="28"/>
          <w:szCs w:val="28"/>
          <w:lang w:eastAsia="ru-RU"/>
        </w:rPr>
        <w:t xml:space="preserve">. </w:t>
      </w:r>
      <w:r w:rsidRPr="007A77E7">
        <w:rPr>
          <w:rFonts w:ascii="Times New Roman" w:eastAsia="Times New Roman" w:hAnsi="Times New Roman" w:cs="Times New Roman"/>
          <w:sz w:val="28"/>
          <w:szCs w:val="28"/>
          <w:lang w:eastAsia="ru-RU"/>
        </w:rPr>
        <w:t xml:space="preserve">Исполнение </w:t>
      </w:r>
      <w:r w:rsidRPr="002E57D3">
        <w:rPr>
          <w:rFonts w:ascii="Times New Roman" w:eastAsia="Times New Roman" w:hAnsi="Times New Roman" w:cs="Times New Roman"/>
          <w:b/>
          <w:bCs/>
          <w:color w:val="002060"/>
          <w:sz w:val="28"/>
          <w:szCs w:val="28"/>
          <w:lang w:eastAsia="ru-RU"/>
        </w:rPr>
        <w:t>расходов в разрезе</w:t>
      </w:r>
      <w:r w:rsidRPr="002E57D3">
        <w:rPr>
          <w:rFonts w:ascii="Times New Roman" w:eastAsia="Times New Roman" w:hAnsi="Times New Roman" w:cs="Times New Roman"/>
          <w:color w:val="002060"/>
          <w:sz w:val="28"/>
          <w:szCs w:val="28"/>
          <w:lang w:eastAsia="ru-RU"/>
        </w:rPr>
        <w:t xml:space="preserve"> </w:t>
      </w:r>
      <w:r w:rsidRPr="007A77E7">
        <w:rPr>
          <w:rFonts w:ascii="Times New Roman" w:eastAsia="Times New Roman" w:hAnsi="Times New Roman" w:cs="Times New Roman"/>
          <w:b/>
          <w:bCs/>
          <w:color w:val="002060"/>
          <w:sz w:val="28"/>
          <w:szCs w:val="28"/>
          <w:lang w:eastAsia="ru-RU"/>
        </w:rPr>
        <w:t>главных распорядителей в соответствии с ведомственной структурой расходов республиканского бюджета Республики Дагестан</w:t>
      </w:r>
      <w:r w:rsidRPr="007A77E7">
        <w:rPr>
          <w:rFonts w:ascii="Times New Roman" w:eastAsia="Times New Roman" w:hAnsi="Times New Roman" w:cs="Times New Roman"/>
          <w:color w:val="002060"/>
          <w:sz w:val="28"/>
          <w:szCs w:val="28"/>
          <w:lang w:eastAsia="ru-RU"/>
        </w:rPr>
        <w:t xml:space="preserve"> </w:t>
      </w:r>
      <w:r w:rsidRPr="007A77E7">
        <w:rPr>
          <w:rFonts w:ascii="Times New Roman" w:eastAsia="Times New Roman" w:hAnsi="Times New Roman" w:cs="Times New Roman"/>
          <w:sz w:val="28"/>
          <w:szCs w:val="28"/>
          <w:lang w:eastAsia="ru-RU"/>
        </w:rPr>
        <w:t>за 2021 год представлено в следующей таблице.</w:t>
      </w:r>
    </w:p>
    <w:p w14:paraId="5BC0CAF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b/>
          <w:bCs/>
          <w:color w:val="002060"/>
          <w:sz w:val="24"/>
          <w:szCs w:val="24"/>
          <w:lang w:eastAsia="ru-RU"/>
        </w:rPr>
      </w:pPr>
      <w:r w:rsidRPr="007A77E7">
        <w:rPr>
          <w:rFonts w:ascii="Times New Roman" w:eastAsia="Times New Roman" w:hAnsi="Times New Roman" w:cs="Times New Roman"/>
          <w:b/>
          <w:bCs/>
          <w:color w:val="002060"/>
          <w:sz w:val="24"/>
          <w:szCs w:val="24"/>
          <w:lang w:eastAsia="ru-RU"/>
        </w:rPr>
        <w:t>тыс. рублей</w:t>
      </w:r>
    </w:p>
    <w:tbl>
      <w:tblPr>
        <w:tblW w:w="963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2930"/>
        <w:gridCol w:w="567"/>
        <w:gridCol w:w="1276"/>
        <w:gridCol w:w="1276"/>
        <w:gridCol w:w="1134"/>
        <w:gridCol w:w="1276"/>
        <w:gridCol w:w="1174"/>
      </w:tblGrid>
      <w:tr w:rsidR="007A77E7" w:rsidRPr="007A77E7" w14:paraId="24534741" w14:textId="77777777" w:rsidTr="00156793">
        <w:trPr>
          <w:trHeight w:val="823"/>
          <w:tblHeader/>
        </w:trPr>
        <w:tc>
          <w:tcPr>
            <w:tcW w:w="2930" w:type="dxa"/>
            <w:shd w:val="clear" w:color="auto" w:fill="D9E2F3" w:themeFill="accent1" w:themeFillTint="33"/>
          </w:tcPr>
          <w:p w14:paraId="0E387E51"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Наименование</w:t>
            </w:r>
          </w:p>
        </w:tc>
        <w:tc>
          <w:tcPr>
            <w:tcW w:w="567" w:type="dxa"/>
            <w:shd w:val="clear" w:color="auto" w:fill="D9E2F3" w:themeFill="accent1" w:themeFillTint="33"/>
          </w:tcPr>
          <w:p w14:paraId="2852AF8F"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Код</w:t>
            </w:r>
          </w:p>
        </w:tc>
        <w:tc>
          <w:tcPr>
            <w:tcW w:w="1276" w:type="dxa"/>
            <w:shd w:val="clear" w:color="auto" w:fill="D9E2F3" w:themeFill="accent1" w:themeFillTint="33"/>
          </w:tcPr>
          <w:p w14:paraId="0725DB64" w14:textId="77777777" w:rsidR="007A77E7" w:rsidRPr="007A77E7" w:rsidRDefault="007A77E7" w:rsidP="007A77E7">
            <w:pPr>
              <w:widowControl w:val="0"/>
              <w:autoSpaceDE w:val="0"/>
              <w:autoSpaceDN w:val="0"/>
              <w:adjustRightInd w:val="0"/>
              <w:spacing w:after="0" w:line="220" w:lineRule="exact"/>
              <w:ind w:left="-105" w:right="-109"/>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Уточненные назначения</w:t>
            </w:r>
          </w:p>
          <w:p w14:paraId="525E4805" w14:textId="77777777" w:rsidR="007A77E7" w:rsidRPr="007A77E7" w:rsidRDefault="007A77E7" w:rsidP="007A77E7">
            <w:pPr>
              <w:widowControl w:val="0"/>
              <w:autoSpaceDE w:val="0"/>
              <w:autoSpaceDN w:val="0"/>
              <w:adjustRightInd w:val="0"/>
              <w:spacing w:after="0" w:line="220" w:lineRule="exact"/>
              <w:ind w:left="-105" w:right="-109"/>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 xml:space="preserve"> на 2021 год</w:t>
            </w:r>
          </w:p>
        </w:tc>
        <w:tc>
          <w:tcPr>
            <w:tcW w:w="1276" w:type="dxa"/>
            <w:shd w:val="clear" w:color="auto" w:fill="D9E2F3" w:themeFill="accent1" w:themeFillTint="33"/>
          </w:tcPr>
          <w:p w14:paraId="05FDC69B" w14:textId="77777777" w:rsidR="007A77E7" w:rsidRPr="007A77E7" w:rsidRDefault="007A77E7" w:rsidP="007A77E7">
            <w:pPr>
              <w:widowControl w:val="0"/>
              <w:autoSpaceDE w:val="0"/>
              <w:autoSpaceDN w:val="0"/>
              <w:adjustRightInd w:val="0"/>
              <w:spacing w:after="0" w:line="220" w:lineRule="exact"/>
              <w:ind w:left="-108" w:right="-152"/>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Фактически профинан-сировано</w:t>
            </w:r>
          </w:p>
        </w:tc>
        <w:tc>
          <w:tcPr>
            <w:tcW w:w="1134" w:type="dxa"/>
            <w:shd w:val="clear" w:color="auto" w:fill="D9E2F3" w:themeFill="accent1" w:themeFillTint="33"/>
          </w:tcPr>
          <w:p w14:paraId="73B8D32A"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Недофи-нансиро-вано (гр.4-гр.3)</w:t>
            </w:r>
          </w:p>
        </w:tc>
        <w:tc>
          <w:tcPr>
            <w:tcW w:w="1276" w:type="dxa"/>
            <w:shd w:val="clear" w:color="auto" w:fill="D9E2F3" w:themeFill="accent1" w:themeFillTint="33"/>
          </w:tcPr>
          <w:p w14:paraId="1489EE91" w14:textId="77777777" w:rsidR="007A77E7" w:rsidRPr="007A77E7" w:rsidRDefault="007A77E7" w:rsidP="007A77E7">
            <w:pPr>
              <w:widowControl w:val="0"/>
              <w:autoSpaceDE w:val="0"/>
              <w:autoSpaceDN w:val="0"/>
              <w:adjustRightInd w:val="0"/>
              <w:spacing w:after="0" w:line="220" w:lineRule="exact"/>
              <w:ind w:left="-108"/>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Кассовое исполнение за 2020 год</w:t>
            </w:r>
          </w:p>
        </w:tc>
        <w:tc>
          <w:tcPr>
            <w:tcW w:w="1174" w:type="dxa"/>
            <w:shd w:val="clear" w:color="auto" w:fill="D9E2F3" w:themeFill="accent1" w:themeFillTint="33"/>
          </w:tcPr>
          <w:p w14:paraId="0A91F158" w14:textId="77777777" w:rsidR="007A77E7" w:rsidRPr="007A77E7" w:rsidRDefault="007A77E7" w:rsidP="007A77E7">
            <w:pPr>
              <w:widowControl w:val="0"/>
              <w:autoSpaceDE w:val="0"/>
              <w:autoSpaceDN w:val="0"/>
              <w:adjustRightInd w:val="0"/>
              <w:spacing w:after="0" w:line="220" w:lineRule="exact"/>
              <w:ind w:left="-152" w:right="-56"/>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Неиспол-ненные назначения</w:t>
            </w:r>
          </w:p>
          <w:p w14:paraId="1BE46715" w14:textId="77777777" w:rsidR="007A77E7" w:rsidRPr="007A77E7" w:rsidRDefault="007A77E7" w:rsidP="007A77E7">
            <w:pPr>
              <w:widowControl w:val="0"/>
              <w:autoSpaceDE w:val="0"/>
              <w:autoSpaceDN w:val="0"/>
              <w:adjustRightInd w:val="0"/>
              <w:spacing w:after="0" w:line="220" w:lineRule="exact"/>
              <w:ind w:left="-152" w:right="-56"/>
              <w:jc w:val="center"/>
              <w:rPr>
                <w:rFonts w:ascii="Times New Roman" w:eastAsia="Times New Roman" w:hAnsi="Times New Roman" w:cs="Times New Roman"/>
                <w:b/>
                <w:sz w:val="20"/>
                <w:szCs w:val="20"/>
                <w:lang w:eastAsia="ru-RU"/>
              </w:rPr>
            </w:pPr>
            <w:r w:rsidRPr="007A77E7">
              <w:rPr>
                <w:rFonts w:ascii="Times New Roman" w:eastAsia="Times New Roman" w:hAnsi="Times New Roman" w:cs="Times New Roman"/>
                <w:b/>
                <w:sz w:val="20"/>
                <w:szCs w:val="20"/>
                <w:lang w:eastAsia="ru-RU"/>
              </w:rPr>
              <w:t>(гр.6-гр.4)</w:t>
            </w:r>
          </w:p>
        </w:tc>
      </w:tr>
      <w:tr w:rsidR="007A77E7" w:rsidRPr="007A77E7" w14:paraId="7980150F" w14:textId="77777777" w:rsidTr="00156793">
        <w:trPr>
          <w:trHeight w:val="255"/>
          <w:tblHeader/>
        </w:trPr>
        <w:tc>
          <w:tcPr>
            <w:tcW w:w="2930" w:type="dxa"/>
            <w:shd w:val="clear" w:color="auto" w:fill="D9E2F3" w:themeFill="accent1" w:themeFillTint="33"/>
            <w:noWrap/>
          </w:tcPr>
          <w:p w14:paraId="29E14C0D"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w:t>
            </w:r>
          </w:p>
        </w:tc>
        <w:tc>
          <w:tcPr>
            <w:tcW w:w="567" w:type="dxa"/>
            <w:shd w:val="clear" w:color="auto" w:fill="D9E2F3" w:themeFill="accent1" w:themeFillTint="33"/>
            <w:noWrap/>
          </w:tcPr>
          <w:p w14:paraId="432F547B"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2</w:t>
            </w:r>
          </w:p>
        </w:tc>
        <w:tc>
          <w:tcPr>
            <w:tcW w:w="1276" w:type="dxa"/>
            <w:shd w:val="clear" w:color="auto" w:fill="D9E2F3" w:themeFill="accent1" w:themeFillTint="33"/>
            <w:noWrap/>
          </w:tcPr>
          <w:p w14:paraId="09C8D0A6"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3</w:t>
            </w:r>
          </w:p>
        </w:tc>
        <w:tc>
          <w:tcPr>
            <w:tcW w:w="1276" w:type="dxa"/>
            <w:shd w:val="clear" w:color="auto" w:fill="D9E2F3" w:themeFill="accent1" w:themeFillTint="33"/>
            <w:noWrap/>
          </w:tcPr>
          <w:p w14:paraId="77F91B3C"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4</w:t>
            </w:r>
          </w:p>
        </w:tc>
        <w:tc>
          <w:tcPr>
            <w:tcW w:w="1134" w:type="dxa"/>
            <w:shd w:val="clear" w:color="auto" w:fill="D9E2F3" w:themeFill="accent1" w:themeFillTint="33"/>
            <w:noWrap/>
          </w:tcPr>
          <w:p w14:paraId="2A96D013"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5</w:t>
            </w:r>
          </w:p>
        </w:tc>
        <w:tc>
          <w:tcPr>
            <w:tcW w:w="1276" w:type="dxa"/>
            <w:shd w:val="clear" w:color="auto" w:fill="D9E2F3" w:themeFill="accent1" w:themeFillTint="33"/>
            <w:noWrap/>
          </w:tcPr>
          <w:p w14:paraId="76B9255E"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6</w:t>
            </w:r>
          </w:p>
        </w:tc>
        <w:tc>
          <w:tcPr>
            <w:tcW w:w="1174" w:type="dxa"/>
            <w:shd w:val="clear" w:color="auto" w:fill="D9E2F3" w:themeFill="accent1" w:themeFillTint="33"/>
            <w:noWrap/>
          </w:tcPr>
          <w:p w14:paraId="37DB7764"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7</w:t>
            </w:r>
          </w:p>
        </w:tc>
      </w:tr>
      <w:tr w:rsidR="007A77E7" w:rsidRPr="007A77E7" w14:paraId="7C0D0643" w14:textId="77777777" w:rsidTr="00545B6E">
        <w:trPr>
          <w:trHeight w:val="365"/>
        </w:trPr>
        <w:tc>
          <w:tcPr>
            <w:tcW w:w="2930" w:type="dxa"/>
          </w:tcPr>
          <w:p w14:paraId="41B4E991"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Аппарат Народного Собрания РД</w:t>
            </w:r>
          </w:p>
        </w:tc>
        <w:tc>
          <w:tcPr>
            <w:tcW w:w="567" w:type="dxa"/>
          </w:tcPr>
          <w:p w14:paraId="54714919"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002</w:t>
            </w:r>
          </w:p>
        </w:tc>
        <w:tc>
          <w:tcPr>
            <w:tcW w:w="1276" w:type="dxa"/>
            <w:noWrap/>
          </w:tcPr>
          <w:p w14:paraId="190E33B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190 258,6</w:t>
            </w:r>
          </w:p>
        </w:tc>
        <w:tc>
          <w:tcPr>
            <w:tcW w:w="1276" w:type="dxa"/>
            <w:noWrap/>
          </w:tcPr>
          <w:p w14:paraId="50E332C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190 258,6</w:t>
            </w:r>
          </w:p>
        </w:tc>
        <w:tc>
          <w:tcPr>
            <w:tcW w:w="1134" w:type="dxa"/>
            <w:noWrap/>
          </w:tcPr>
          <w:p w14:paraId="371FA55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54175C3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188 785,8</w:t>
            </w:r>
          </w:p>
        </w:tc>
        <w:tc>
          <w:tcPr>
            <w:tcW w:w="1174" w:type="dxa"/>
            <w:noWrap/>
          </w:tcPr>
          <w:p w14:paraId="1F3980C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1 472,8</w:t>
            </w:r>
          </w:p>
        </w:tc>
      </w:tr>
      <w:tr w:rsidR="007A77E7" w:rsidRPr="007A77E7" w14:paraId="1ECAA2BA" w14:textId="77777777" w:rsidTr="00545B6E">
        <w:trPr>
          <w:trHeight w:val="188"/>
        </w:trPr>
        <w:tc>
          <w:tcPr>
            <w:tcW w:w="2930" w:type="dxa"/>
          </w:tcPr>
          <w:p w14:paraId="1AB6213E"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Конституционный суд РД</w:t>
            </w:r>
          </w:p>
        </w:tc>
        <w:tc>
          <w:tcPr>
            <w:tcW w:w="567" w:type="dxa"/>
          </w:tcPr>
          <w:p w14:paraId="58260663"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003</w:t>
            </w:r>
          </w:p>
        </w:tc>
        <w:tc>
          <w:tcPr>
            <w:tcW w:w="1276" w:type="dxa"/>
            <w:noWrap/>
          </w:tcPr>
          <w:p w14:paraId="45CFED0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28 975,3</w:t>
            </w:r>
          </w:p>
        </w:tc>
        <w:tc>
          <w:tcPr>
            <w:tcW w:w="1276" w:type="dxa"/>
            <w:noWrap/>
          </w:tcPr>
          <w:p w14:paraId="54C47F4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28 975,3</w:t>
            </w:r>
          </w:p>
        </w:tc>
        <w:tc>
          <w:tcPr>
            <w:tcW w:w="1134" w:type="dxa"/>
            <w:noWrap/>
          </w:tcPr>
          <w:p w14:paraId="1152C16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2ED319C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24 164,7</w:t>
            </w:r>
          </w:p>
        </w:tc>
        <w:tc>
          <w:tcPr>
            <w:tcW w:w="1174" w:type="dxa"/>
            <w:noWrap/>
          </w:tcPr>
          <w:p w14:paraId="73910DC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4 810,6</w:t>
            </w:r>
          </w:p>
        </w:tc>
      </w:tr>
      <w:tr w:rsidR="007A77E7" w:rsidRPr="007A77E7" w14:paraId="5CD4998B" w14:textId="77777777" w:rsidTr="00545B6E">
        <w:trPr>
          <w:trHeight w:val="165"/>
        </w:trPr>
        <w:tc>
          <w:tcPr>
            <w:tcW w:w="2930" w:type="dxa"/>
          </w:tcPr>
          <w:p w14:paraId="5ED170CA"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Счетная палата РД</w:t>
            </w:r>
          </w:p>
        </w:tc>
        <w:tc>
          <w:tcPr>
            <w:tcW w:w="567" w:type="dxa"/>
          </w:tcPr>
          <w:p w14:paraId="23E0F091"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005</w:t>
            </w:r>
          </w:p>
        </w:tc>
        <w:tc>
          <w:tcPr>
            <w:tcW w:w="1276" w:type="dxa"/>
            <w:noWrap/>
          </w:tcPr>
          <w:p w14:paraId="0779B5D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122 764,7</w:t>
            </w:r>
          </w:p>
        </w:tc>
        <w:tc>
          <w:tcPr>
            <w:tcW w:w="1276" w:type="dxa"/>
            <w:noWrap/>
          </w:tcPr>
          <w:p w14:paraId="634166F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122 764,7</w:t>
            </w:r>
          </w:p>
        </w:tc>
        <w:tc>
          <w:tcPr>
            <w:tcW w:w="1134" w:type="dxa"/>
            <w:noWrap/>
          </w:tcPr>
          <w:p w14:paraId="5F1839F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3F73CA7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122 643,9</w:t>
            </w:r>
          </w:p>
        </w:tc>
        <w:tc>
          <w:tcPr>
            <w:tcW w:w="1174" w:type="dxa"/>
            <w:noWrap/>
          </w:tcPr>
          <w:p w14:paraId="5829F62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120,8</w:t>
            </w:r>
          </w:p>
        </w:tc>
      </w:tr>
      <w:tr w:rsidR="007A77E7" w:rsidRPr="007A77E7" w14:paraId="75272EAE" w14:textId="77777777" w:rsidTr="00545B6E">
        <w:trPr>
          <w:trHeight w:val="148"/>
        </w:trPr>
        <w:tc>
          <w:tcPr>
            <w:tcW w:w="2930" w:type="dxa"/>
          </w:tcPr>
          <w:p w14:paraId="63135ADC"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Постоянное представительство РД при Президенте РФ</w:t>
            </w:r>
          </w:p>
        </w:tc>
        <w:tc>
          <w:tcPr>
            <w:tcW w:w="567" w:type="dxa"/>
          </w:tcPr>
          <w:p w14:paraId="7891A34D"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006</w:t>
            </w:r>
          </w:p>
        </w:tc>
        <w:tc>
          <w:tcPr>
            <w:tcW w:w="1276" w:type="dxa"/>
            <w:noWrap/>
          </w:tcPr>
          <w:p w14:paraId="0632CB1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71 875,3</w:t>
            </w:r>
          </w:p>
        </w:tc>
        <w:tc>
          <w:tcPr>
            <w:tcW w:w="1276" w:type="dxa"/>
            <w:noWrap/>
          </w:tcPr>
          <w:p w14:paraId="65A51C0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71 875,3</w:t>
            </w:r>
          </w:p>
        </w:tc>
        <w:tc>
          <w:tcPr>
            <w:tcW w:w="1134" w:type="dxa"/>
            <w:noWrap/>
          </w:tcPr>
          <w:p w14:paraId="0A30EBA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11CCEE2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64 666,8</w:t>
            </w:r>
          </w:p>
        </w:tc>
        <w:tc>
          <w:tcPr>
            <w:tcW w:w="1174" w:type="dxa"/>
            <w:noWrap/>
          </w:tcPr>
          <w:p w14:paraId="7DD87C5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7 208,5</w:t>
            </w:r>
          </w:p>
        </w:tc>
      </w:tr>
      <w:tr w:rsidR="007A77E7" w:rsidRPr="007A77E7" w14:paraId="199EB28D" w14:textId="77777777" w:rsidTr="00545B6E">
        <w:trPr>
          <w:trHeight w:val="301"/>
        </w:trPr>
        <w:tc>
          <w:tcPr>
            <w:tcW w:w="2930" w:type="dxa"/>
          </w:tcPr>
          <w:p w14:paraId="7B36CD02"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энергетики и жилищно-коммунального хозяйства РД</w:t>
            </w:r>
          </w:p>
        </w:tc>
        <w:tc>
          <w:tcPr>
            <w:tcW w:w="567" w:type="dxa"/>
          </w:tcPr>
          <w:p w14:paraId="0063B30D"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010</w:t>
            </w:r>
          </w:p>
        </w:tc>
        <w:tc>
          <w:tcPr>
            <w:tcW w:w="1276" w:type="dxa"/>
            <w:noWrap/>
          </w:tcPr>
          <w:p w14:paraId="0BD8ADC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1 170 230,1</w:t>
            </w:r>
          </w:p>
        </w:tc>
        <w:tc>
          <w:tcPr>
            <w:tcW w:w="1276" w:type="dxa"/>
            <w:noWrap/>
          </w:tcPr>
          <w:p w14:paraId="12904E2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1 170 230,1</w:t>
            </w:r>
          </w:p>
        </w:tc>
        <w:tc>
          <w:tcPr>
            <w:tcW w:w="1134" w:type="dxa"/>
            <w:noWrap/>
          </w:tcPr>
          <w:p w14:paraId="45138E6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1A4B826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825 643,7</w:t>
            </w:r>
          </w:p>
        </w:tc>
        <w:tc>
          <w:tcPr>
            <w:tcW w:w="1174" w:type="dxa"/>
            <w:noWrap/>
          </w:tcPr>
          <w:p w14:paraId="5DD6EF1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344 586,4</w:t>
            </w:r>
          </w:p>
        </w:tc>
      </w:tr>
      <w:tr w:rsidR="007A77E7" w:rsidRPr="007A77E7" w14:paraId="7E0A3EEC" w14:textId="77777777" w:rsidTr="00545B6E">
        <w:trPr>
          <w:trHeight w:val="301"/>
        </w:trPr>
        <w:tc>
          <w:tcPr>
            <w:tcW w:w="2930" w:type="dxa"/>
          </w:tcPr>
          <w:p w14:paraId="78348E5B"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цифрового развития РД</w:t>
            </w:r>
          </w:p>
        </w:tc>
        <w:tc>
          <w:tcPr>
            <w:tcW w:w="567" w:type="dxa"/>
          </w:tcPr>
          <w:p w14:paraId="13462FAC"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012</w:t>
            </w:r>
          </w:p>
        </w:tc>
        <w:tc>
          <w:tcPr>
            <w:tcW w:w="1276" w:type="dxa"/>
            <w:noWrap/>
          </w:tcPr>
          <w:p w14:paraId="069FA1A5"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384 569,9</w:t>
            </w:r>
          </w:p>
        </w:tc>
        <w:tc>
          <w:tcPr>
            <w:tcW w:w="1276" w:type="dxa"/>
            <w:noWrap/>
          </w:tcPr>
          <w:p w14:paraId="3508E75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384 569,9</w:t>
            </w:r>
          </w:p>
        </w:tc>
        <w:tc>
          <w:tcPr>
            <w:tcW w:w="1134" w:type="dxa"/>
            <w:noWrap/>
          </w:tcPr>
          <w:p w14:paraId="31A001D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6273A45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228 283,8</w:t>
            </w:r>
          </w:p>
        </w:tc>
        <w:tc>
          <w:tcPr>
            <w:tcW w:w="1174" w:type="dxa"/>
            <w:noWrap/>
          </w:tcPr>
          <w:p w14:paraId="09758F6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156 286,1</w:t>
            </w:r>
          </w:p>
        </w:tc>
      </w:tr>
      <w:tr w:rsidR="007A77E7" w:rsidRPr="007A77E7" w14:paraId="571327A0" w14:textId="77777777" w:rsidTr="00545B6E">
        <w:trPr>
          <w:trHeight w:val="301"/>
        </w:trPr>
        <w:tc>
          <w:tcPr>
            <w:tcW w:w="2930" w:type="dxa"/>
          </w:tcPr>
          <w:p w14:paraId="6A1CD6E6"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информации и печати РД</w:t>
            </w:r>
          </w:p>
        </w:tc>
        <w:tc>
          <w:tcPr>
            <w:tcW w:w="567" w:type="dxa"/>
          </w:tcPr>
          <w:p w14:paraId="6F6D166F"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014</w:t>
            </w:r>
          </w:p>
        </w:tc>
        <w:tc>
          <w:tcPr>
            <w:tcW w:w="1276" w:type="dxa"/>
            <w:noWrap/>
          </w:tcPr>
          <w:p w14:paraId="47029B3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510 155,1</w:t>
            </w:r>
          </w:p>
        </w:tc>
        <w:tc>
          <w:tcPr>
            <w:tcW w:w="1276" w:type="dxa"/>
            <w:noWrap/>
          </w:tcPr>
          <w:p w14:paraId="4A0915E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510 155,1</w:t>
            </w:r>
          </w:p>
        </w:tc>
        <w:tc>
          <w:tcPr>
            <w:tcW w:w="1134" w:type="dxa"/>
            <w:noWrap/>
          </w:tcPr>
          <w:p w14:paraId="5999E3A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7FBE97D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497 712,0</w:t>
            </w:r>
          </w:p>
        </w:tc>
        <w:tc>
          <w:tcPr>
            <w:tcW w:w="1174" w:type="dxa"/>
            <w:noWrap/>
          </w:tcPr>
          <w:p w14:paraId="4DD3F2B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12 443,1</w:t>
            </w:r>
          </w:p>
        </w:tc>
      </w:tr>
      <w:tr w:rsidR="007A77E7" w:rsidRPr="007A77E7" w14:paraId="58E43F54" w14:textId="77777777" w:rsidTr="00545B6E">
        <w:trPr>
          <w:trHeight w:val="396"/>
        </w:trPr>
        <w:tc>
          <w:tcPr>
            <w:tcW w:w="2930" w:type="dxa"/>
          </w:tcPr>
          <w:p w14:paraId="14E41A77"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 xml:space="preserve">Министерство промышленности </w:t>
            </w:r>
          </w:p>
          <w:p w14:paraId="0DD80BF1"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и торговли РД</w:t>
            </w:r>
          </w:p>
        </w:tc>
        <w:tc>
          <w:tcPr>
            <w:tcW w:w="567" w:type="dxa"/>
          </w:tcPr>
          <w:p w14:paraId="344EE5AF"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015</w:t>
            </w:r>
          </w:p>
        </w:tc>
        <w:tc>
          <w:tcPr>
            <w:tcW w:w="1276" w:type="dxa"/>
            <w:noWrap/>
          </w:tcPr>
          <w:p w14:paraId="51CE28D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240 958,6</w:t>
            </w:r>
          </w:p>
        </w:tc>
        <w:tc>
          <w:tcPr>
            <w:tcW w:w="1276" w:type="dxa"/>
            <w:noWrap/>
          </w:tcPr>
          <w:p w14:paraId="6D0197C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240 958,6</w:t>
            </w:r>
          </w:p>
        </w:tc>
        <w:tc>
          <w:tcPr>
            <w:tcW w:w="1134" w:type="dxa"/>
            <w:noWrap/>
          </w:tcPr>
          <w:p w14:paraId="71284E5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3252172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236 507,4</w:t>
            </w:r>
          </w:p>
        </w:tc>
        <w:tc>
          <w:tcPr>
            <w:tcW w:w="1174" w:type="dxa"/>
            <w:noWrap/>
          </w:tcPr>
          <w:p w14:paraId="124E176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4 451,2</w:t>
            </w:r>
          </w:p>
        </w:tc>
      </w:tr>
      <w:tr w:rsidR="007A77E7" w:rsidRPr="007A77E7" w14:paraId="2892A055" w14:textId="77777777" w:rsidTr="00545B6E">
        <w:trPr>
          <w:trHeight w:val="339"/>
        </w:trPr>
        <w:tc>
          <w:tcPr>
            <w:tcW w:w="2930" w:type="dxa"/>
          </w:tcPr>
          <w:p w14:paraId="475E57DA"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природных ресурсов и экологии РД</w:t>
            </w:r>
          </w:p>
        </w:tc>
        <w:tc>
          <w:tcPr>
            <w:tcW w:w="567" w:type="dxa"/>
          </w:tcPr>
          <w:p w14:paraId="095D13F9"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050</w:t>
            </w:r>
          </w:p>
        </w:tc>
        <w:tc>
          <w:tcPr>
            <w:tcW w:w="1276" w:type="dxa"/>
            <w:noWrap/>
          </w:tcPr>
          <w:p w14:paraId="52D3FFC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597 730,5</w:t>
            </w:r>
          </w:p>
        </w:tc>
        <w:tc>
          <w:tcPr>
            <w:tcW w:w="1276" w:type="dxa"/>
            <w:noWrap/>
          </w:tcPr>
          <w:p w14:paraId="2A07C08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597 730,5</w:t>
            </w:r>
          </w:p>
        </w:tc>
        <w:tc>
          <w:tcPr>
            <w:tcW w:w="1134" w:type="dxa"/>
            <w:noWrap/>
          </w:tcPr>
          <w:p w14:paraId="0672732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6FB7A2A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532 009,5</w:t>
            </w:r>
          </w:p>
        </w:tc>
        <w:tc>
          <w:tcPr>
            <w:tcW w:w="1174" w:type="dxa"/>
            <w:noWrap/>
          </w:tcPr>
          <w:p w14:paraId="72E7256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65 721,0</w:t>
            </w:r>
          </w:p>
        </w:tc>
      </w:tr>
      <w:tr w:rsidR="007A77E7" w:rsidRPr="007A77E7" w14:paraId="2547506A" w14:textId="77777777" w:rsidTr="00545B6E">
        <w:trPr>
          <w:trHeight w:val="255"/>
        </w:trPr>
        <w:tc>
          <w:tcPr>
            <w:tcW w:w="2930" w:type="dxa"/>
          </w:tcPr>
          <w:p w14:paraId="1C1DB479"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 xml:space="preserve">Комитет по лесному  </w:t>
            </w:r>
          </w:p>
          <w:p w14:paraId="3AA14665"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хозяйству РД</w:t>
            </w:r>
          </w:p>
        </w:tc>
        <w:tc>
          <w:tcPr>
            <w:tcW w:w="567" w:type="dxa"/>
          </w:tcPr>
          <w:p w14:paraId="5816729F"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053</w:t>
            </w:r>
          </w:p>
        </w:tc>
        <w:tc>
          <w:tcPr>
            <w:tcW w:w="1276" w:type="dxa"/>
            <w:noWrap/>
          </w:tcPr>
          <w:p w14:paraId="7038271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219 762,3</w:t>
            </w:r>
          </w:p>
        </w:tc>
        <w:tc>
          <w:tcPr>
            <w:tcW w:w="1276" w:type="dxa"/>
            <w:noWrap/>
          </w:tcPr>
          <w:p w14:paraId="354145D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219 762,3</w:t>
            </w:r>
          </w:p>
        </w:tc>
        <w:tc>
          <w:tcPr>
            <w:tcW w:w="1134" w:type="dxa"/>
            <w:noWrap/>
          </w:tcPr>
          <w:p w14:paraId="2421663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305BBB7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218 896,8</w:t>
            </w:r>
          </w:p>
        </w:tc>
        <w:tc>
          <w:tcPr>
            <w:tcW w:w="1174" w:type="dxa"/>
            <w:noWrap/>
          </w:tcPr>
          <w:p w14:paraId="4A3318B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865,5</w:t>
            </w:r>
          </w:p>
        </w:tc>
      </w:tr>
      <w:tr w:rsidR="007A77E7" w:rsidRPr="007A77E7" w14:paraId="1529753D" w14:textId="77777777" w:rsidTr="00545B6E">
        <w:trPr>
          <w:trHeight w:val="413"/>
        </w:trPr>
        <w:tc>
          <w:tcPr>
            <w:tcW w:w="2930" w:type="dxa"/>
          </w:tcPr>
          <w:p w14:paraId="3BE4ADA0"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здравоохранения РД</w:t>
            </w:r>
          </w:p>
        </w:tc>
        <w:tc>
          <w:tcPr>
            <w:tcW w:w="567" w:type="dxa"/>
          </w:tcPr>
          <w:p w14:paraId="4EE5B907"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054</w:t>
            </w:r>
          </w:p>
        </w:tc>
        <w:tc>
          <w:tcPr>
            <w:tcW w:w="1276" w:type="dxa"/>
            <w:noWrap/>
          </w:tcPr>
          <w:p w14:paraId="5DF81C9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31 401 311,4</w:t>
            </w:r>
          </w:p>
        </w:tc>
        <w:tc>
          <w:tcPr>
            <w:tcW w:w="1276" w:type="dxa"/>
            <w:noWrap/>
          </w:tcPr>
          <w:p w14:paraId="126D4E3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31 281 310,2</w:t>
            </w:r>
          </w:p>
        </w:tc>
        <w:tc>
          <w:tcPr>
            <w:tcW w:w="1134" w:type="dxa"/>
            <w:noWrap/>
          </w:tcPr>
          <w:p w14:paraId="065E051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120 001,2</w:t>
            </w:r>
          </w:p>
        </w:tc>
        <w:tc>
          <w:tcPr>
            <w:tcW w:w="1276" w:type="dxa"/>
            <w:noWrap/>
          </w:tcPr>
          <w:p w14:paraId="5FF557C2" w14:textId="77777777" w:rsidR="007A77E7" w:rsidRPr="007A77E7" w:rsidRDefault="007A77E7" w:rsidP="007A77E7">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30 418 661,4</w:t>
            </w:r>
          </w:p>
        </w:tc>
        <w:tc>
          <w:tcPr>
            <w:tcW w:w="1174" w:type="dxa"/>
            <w:noWrap/>
          </w:tcPr>
          <w:p w14:paraId="62348D9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862 648,8</w:t>
            </w:r>
          </w:p>
        </w:tc>
      </w:tr>
      <w:tr w:rsidR="007A77E7" w:rsidRPr="007A77E7" w14:paraId="6C769729" w14:textId="77777777" w:rsidTr="00545B6E">
        <w:trPr>
          <w:trHeight w:val="255"/>
        </w:trPr>
        <w:tc>
          <w:tcPr>
            <w:tcW w:w="2930" w:type="dxa"/>
          </w:tcPr>
          <w:p w14:paraId="72835749"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культуры РД</w:t>
            </w:r>
          </w:p>
        </w:tc>
        <w:tc>
          <w:tcPr>
            <w:tcW w:w="567" w:type="dxa"/>
          </w:tcPr>
          <w:p w14:paraId="33B87937"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056</w:t>
            </w:r>
          </w:p>
        </w:tc>
        <w:tc>
          <w:tcPr>
            <w:tcW w:w="1276" w:type="dxa"/>
            <w:noWrap/>
          </w:tcPr>
          <w:p w14:paraId="470F09D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2 258 716,8</w:t>
            </w:r>
          </w:p>
        </w:tc>
        <w:tc>
          <w:tcPr>
            <w:tcW w:w="1276" w:type="dxa"/>
            <w:noWrap/>
          </w:tcPr>
          <w:p w14:paraId="26F8AB2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2 258 716,8</w:t>
            </w:r>
          </w:p>
        </w:tc>
        <w:tc>
          <w:tcPr>
            <w:tcW w:w="1134" w:type="dxa"/>
            <w:noWrap/>
          </w:tcPr>
          <w:p w14:paraId="2CCA1C2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60A6039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2 205 590,0</w:t>
            </w:r>
          </w:p>
        </w:tc>
        <w:tc>
          <w:tcPr>
            <w:tcW w:w="1174" w:type="dxa"/>
            <w:noWrap/>
          </w:tcPr>
          <w:p w14:paraId="5BE49D6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53 126,8</w:t>
            </w:r>
          </w:p>
        </w:tc>
      </w:tr>
      <w:tr w:rsidR="007A77E7" w:rsidRPr="007A77E7" w14:paraId="426682E9" w14:textId="77777777" w:rsidTr="00545B6E">
        <w:trPr>
          <w:trHeight w:val="377"/>
        </w:trPr>
        <w:tc>
          <w:tcPr>
            <w:tcW w:w="2930" w:type="dxa"/>
          </w:tcPr>
          <w:p w14:paraId="1C91E294"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образования и науки РД</w:t>
            </w:r>
          </w:p>
        </w:tc>
        <w:tc>
          <w:tcPr>
            <w:tcW w:w="567" w:type="dxa"/>
          </w:tcPr>
          <w:p w14:paraId="23AE03C9"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075</w:t>
            </w:r>
          </w:p>
        </w:tc>
        <w:tc>
          <w:tcPr>
            <w:tcW w:w="1276" w:type="dxa"/>
            <w:noWrap/>
          </w:tcPr>
          <w:p w14:paraId="65D3FC7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12 826 585,0</w:t>
            </w:r>
          </w:p>
        </w:tc>
        <w:tc>
          <w:tcPr>
            <w:tcW w:w="1276" w:type="dxa"/>
            <w:noWrap/>
          </w:tcPr>
          <w:p w14:paraId="1088BE1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12 826 585,0</w:t>
            </w:r>
          </w:p>
        </w:tc>
        <w:tc>
          <w:tcPr>
            <w:tcW w:w="1134" w:type="dxa"/>
            <w:noWrap/>
          </w:tcPr>
          <w:p w14:paraId="68F14AE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0BD4466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12 287 374,9</w:t>
            </w:r>
          </w:p>
        </w:tc>
        <w:tc>
          <w:tcPr>
            <w:tcW w:w="1174" w:type="dxa"/>
            <w:noWrap/>
          </w:tcPr>
          <w:p w14:paraId="699CE0B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539 210,1</w:t>
            </w:r>
          </w:p>
        </w:tc>
      </w:tr>
      <w:tr w:rsidR="007A77E7" w:rsidRPr="007A77E7" w14:paraId="29887DC9" w14:textId="77777777" w:rsidTr="00545B6E">
        <w:trPr>
          <w:trHeight w:val="255"/>
        </w:trPr>
        <w:tc>
          <w:tcPr>
            <w:tcW w:w="2930" w:type="dxa"/>
          </w:tcPr>
          <w:p w14:paraId="71B8ECB9"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сельского хозяйства и продовольствия РД</w:t>
            </w:r>
          </w:p>
        </w:tc>
        <w:tc>
          <w:tcPr>
            <w:tcW w:w="567" w:type="dxa"/>
          </w:tcPr>
          <w:p w14:paraId="5E5E6B5E"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082</w:t>
            </w:r>
          </w:p>
        </w:tc>
        <w:tc>
          <w:tcPr>
            <w:tcW w:w="1276" w:type="dxa"/>
            <w:noWrap/>
          </w:tcPr>
          <w:p w14:paraId="6749E03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3 057 261,4</w:t>
            </w:r>
          </w:p>
        </w:tc>
        <w:tc>
          <w:tcPr>
            <w:tcW w:w="1276" w:type="dxa"/>
            <w:noWrap/>
          </w:tcPr>
          <w:p w14:paraId="182BB3D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3 057 261,4</w:t>
            </w:r>
          </w:p>
        </w:tc>
        <w:tc>
          <w:tcPr>
            <w:tcW w:w="1134" w:type="dxa"/>
            <w:noWrap/>
          </w:tcPr>
          <w:p w14:paraId="5F9EFD5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716AFD2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2 981 287,3</w:t>
            </w:r>
          </w:p>
        </w:tc>
        <w:tc>
          <w:tcPr>
            <w:tcW w:w="1174" w:type="dxa"/>
            <w:noWrap/>
          </w:tcPr>
          <w:p w14:paraId="307F951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75 974,1</w:t>
            </w:r>
          </w:p>
        </w:tc>
      </w:tr>
      <w:tr w:rsidR="007A77E7" w:rsidRPr="007A77E7" w14:paraId="5BEE3F84" w14:textId="77777777" w:rsidTr="00545B6E">
        <w:trPr>
          <w:trHeight w:val="255"/>
        </w:trPr>
        <w:tc>
          <w:tcPr>
            <w:tcW w:w="2930" w:type="dxa"/>
          </w:tcPr>
          <w:p w14:paraId="744E5258"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Комитет по ветеринарии РД</w:t>
            </w:r>
          </w:p>
        </w:tc>
        <w:tc>
          <w:tcPr>
            <w:tcW w:w="567" w:type="dxa"/>
          </w:tcPr>
          <w:p w14:paraId="7BBA015C"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084</w:t>
            </w:r>
          </w:p>
        </w:tc>
        <w:tc>
          <w:tcPr>
            <w:tcW w:w="1276" w:type="dxa"/>
            <w:noWrap/>
          </w:tcPr>
          <w:p w14:paraId="29D32F5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1 168 855,5</w:t>
            </w:r>
          </w:p>
        </w:tc>
        <w:tc>
          <w:tcPr>
            <w:tcW w:w="1276" w:type="dxa"/>
            <w:noWrap/>
          </w:tcPr>
          <w:p w14:paraId="25CB0AD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1 168 855,5</w:t>
            </w:r>
          </w:p>
        </w:tc>
        <w:tc>
          <w:tcPr>
            <w:tcW w:w="1134" w:type="dxa"/>
            <w:noWrap/>
          </w:tcPr>
          <w:p w14:paraId="796CDBA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6034BE2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1 163 719,0</w:t>
            </w:r>
          </w:p>
        </w:tc>
        <w:tc>
          <w:tcPr>
            <w:tcW w:w="1174" w:type="dxa"/>
            <w:noWrap/>
          </w:tcPr>
          <w:p w14:paraId="626F1E6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5 136,5</w:t>
            </w:r>
          </w:p>
        </w:tc>
      </w:tr>
      <w:tr w:rsidR="007A77E7" w:rsidRPr="007A77E7" w14:paraId="4966F710" w14:textId="77777777" w:rsidTr="00545B6E">
        <w:trPr>
          <w:trHeight w:val="255"/>
        </w:trPr>
        <w:tc>
          <w:tcPr>
            <w:tcW w:w="2930" w:type="dxa"/>
          </w:tcPr>
          <w:p w14:paraId="5E078C95"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по делам молодежи РД</w:t>
            </w:r>
          </w:p>
        </w:tc>
        <w:tc>
          <w:tcPr>
            <w:tcW w:w="567" w:type="dxa"/>
          </w:tcPr>
          <w:p w14:paraId="62A923F7"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091</w:t>
            </w:r>
          </w:p>
        </w:tc>
        <w:tc>
          <w:tcPr>
            <w:tcW w:w="1276" w:type="dxa"/>
            <w:noWrap/>
          </w:tcPr>
          <w:p w14:paraId="0DD5B3E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80 816,7</w:t>
            </w:r>
          </w:p>
        </w:tc>
        <w:tc>
          <w:tcPr>
            <w:tcW w:w="1276" w:type="dxa"/>
            <w:noWrap/>
          </w:tcPr>
          <w:p w14:paraId="5A6300A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80 816,7</w:t>
            </w:r>
          </w:p>
        </w:tc>
        <w:tc>
          <w:tcPr>
            <w:tcW w:w="1134" w:type="dxa"/>
            <w:noWrap/>
          </w:tcPr>
          <w:p w14:paraId="231CE3C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265C273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80 770,1</w:t>
            </w:r>
          </w:p>
        </w:tc>
        <w:tc>
          <w:tcPr>
            <w:tcW w:w="1174" w:type="dxa"/>
            <w:noWrap/>
          </w:tcPr>
          <w:p w14:paraId="3859002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46,6</w:t>
            </w:r>
          </w:p>
        </w:tc>
      </w:tr>
      <w:tr w:rsidR="007A77E7" w:rsidRPr="007A77E7" w14:paraId="45C1C619" w14:textId="77777777" w:rsidTr="00545B6E">
        <w:trPr>
          <w:trHeight w:val="510"/>
        </w:trPr>
        <w:tc>
          <w:tcPr>
            <w:tcW w:w="2930" w:type="dxa"/>
          </w:tcPr>
          <w:p w14:paraId="0E20EB12"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строительства Республики Дагестан</w:t>
            </w:r>
          </w:p>
        </w:tc>
        <w:tc>
          <w:tcPr>
            <w:tcW w:w="567" w:type="dxa"/>
          </w:tcPr>
          <w:p w14:paraId="1FE6C53E"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132</w:t>
            </w:r>
          </w:p>
        </w:tc>
        <w:tc>
          <w:tcPr>
            <w:tcW w:w="1276" w:type="dxa"/>
            <w:noWrap/>
          </w:tcPr>
          <w:p w14:paraId="73299BB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4 328 797,2</w:t>
            </w:r>
          </w:p>
        </w:tc>
        <w:tc>
          <w:tcPr>
            <w:tcW w:w="1276" w:type="dxa"/>
            <w:noWrap/>
          </w:tcPr>
          <w:p w14:paraId="1E486EB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4 288 797,3</w:t>
            </w:r>
          </w:p>
        </w:tc>
        <w:tc>
          <w:tcPr>
            <w:tcW w:w="1134" w:type="dxa"/>
            <w:noWrap/>
          </w:tcPr>
          <w:p w14:paraId="5BCB254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39 999,9</w:t>
            </w:r>
          </w:p>
        </w:tc>
        <w:tc>
          <w:tcPr>
            <w:tcW w:w="1276" w:type="dxa"/>
            <w:noWrap/>
          </w:tcPr>
          <w:p w14:paraId="1B62491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4 163 283,4</w:t>
            </w:r>
          </w:p>
        </w:tc>
        <w:tc>
          <w:tcPr>
            <w:tcW w:w="1174" w:type="dxa"/>
            <w:noWrap/>
          </w:tcPr>
          <w:p w14:paraId="249A126E" w14:textId="77777777" w:rsidR="007A77E7" w:rsidRPr="007A77E7" w:rsidRDefault="007A77E7" w:rsidP="007A77E7">
            <w:pPr>
              <w:widowControl w:val="0"/>
              <w:autoSpaceDE w:val="0"/>
              <w:autoSpaceDN w:val="0"/>
              <w:adjustRightInd w:val="0"/>
              <w:spacing w:after="0" w:line="220" w:lineRule="exact"/>
              <w:ind w:left="-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125 513,9</w:t>
            </w:r>
          </w:p>
        </w:tc>
      </w:tr>
      <w:tr w:rsidR="007A77E7" w:rsidRPr="007A77E7" w14:paraId="653E4EEF" w14:textId="77777777" w:rsidTr="00545B6E">
        <w:trPr>
          <w:trHeight w:val="255"/>
        </w:trPr>
        <w:tc>
          <w:tcPr>
            <w:tcW w:w="2930" w:type="dxa"/>
          </w:tcPr>
          <w:p w14:paraId="35D99981"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Государственная жилищная инспекция РД</w:t>
            </w:r>
          </w:p>
        </w:tc>
        <w:tc>
          <w:tcPr>
            <w:tcW w:w="567" w:type="dxa"/>
          </w:tcPr>
          <w:p w14:paraId="77E2BD55"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133</w:t>
            </w:r>
          </w:p>
        </w:tc>
        <w:tc>
          <w:tcPr>
            <w:tcW w:w="1276" w:type="dxa"/>
            <w:noWrap/>
          </w:tcPr>
          <w:p w14:paraId="50864D0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45 451,9</w:t>
            </w:r>
          </w:p>
        </w:tc>
        <w:tc>
          <w:tcPr>
            <w:tcW w:w="1276" w:type="dxa"/>
            <w:noWrap/>
          </w:tcPr>
          <w:p w14:paraId="4B46F09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45 451.9</w:t>
            </w:r>
          </w:p>
        </w:tc>
        <w:tc>
          <w:tcPr>
            <w:tcW w:w="1134" w:type="dxa"/>
            <w:noWrap/>
          </w:tcPr>
          <w:p w14:paraId="7B87ECB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2892682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45 298,8</w:t>
            </w:r>
          </w:p>
        </w:tc>
        <w:tc>
          <w:tcPr>
            <w:tcW w:w="1174" w:type="dxa"/>
            <w:noWrap/>
          </w:tcPr>
          <w:p w14:paraId="13B36BE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153,1</w:t>
            </w:r>
          </w:p>
        </w:tc>
      </w:tr>
      <w:tr w:rsidR="007A77E7" w:rsidRPr="007A77E7" w14:paraId="1DD16648" w14:textId="77777777" w:rsidTr="00545B6E">
        <w:trPr>
          <w:trHeight w:val="255"/>
        </w:trPr>
        <w:tc>
          <w:tcPr>
            <w:tcW w:w="2930" w:type="dxa"/>
          </w:tcPr>
          <w:p w14:paraId="22670982" w14:textId="77777777" w:rsidR="007A77E7" w:rsidRPr="007A77E7" w:rsidRDefault="007A77E7" w:rsidP="007A77E7">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по национальной политике и делам религий РД</w:t>
            </w:r>
          </w:p>
        </w:tc>
        <w:tc>
          <w:tcPr>
            <w:tcW w:w="567" w:type="dxa"/>
          </w:tcPr>
          <w:p w14:paraId="65E47C2B"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134</w:t>
            </w:r>
          </w:p>
        </w:tc>
        <w:tc>
          <w:tcPr>
            <w:tcW w:w="1276" w:type="dxa"/>
            <w:noWrap/>
          </w:tcPr>
          <w:p w14:paraId="097C637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133 833,5</w:t>
            </w:r>
          </w:p>
        </w:tc>
        <w:tc>
          <w:tcPr>
            <w:tcW w:w="1276" w:type="dxa"/>
            <w:noWrap/>
          </w:tcPr>
          <w:p w14:paraId="040006D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133 833,5</w:t>
            </w:r>
          </w:p>
        </w:tc>
        <w:tc>
          <w:tcPr>
            <w:tcW w:w="1134" w:type="dxa"/>
            <w:noWrap/>
          </w:tcPr>
          <w:p w14:paraId="1013850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57E3415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133 002,3</w:t>
            </w:r>
          </w:p>
        </w:tc>
        <w:tc>
          <w:tcPr>
            <w:tcW w:w="1174" w:type="dxa"/>
            <w:noWrap/>
          </w:tcPr>
          <w:p w14:paraId="444ECB1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831,2</w:t>
            </w:r>
          </w:p>
        </w:tc>
      </w:tr>
      <w:tr w:rsidR="007A77E7" w:rsidRPr="007A77E7" w14:paraId="644445D9" w14:textId="77777777" w:rsidTr="00545B6E">
        <w:trPr>
          <w:trHeight w:val="339"/>
        </w:trPr>
        <w:tc>
          <w:tcPr>
            <w:tcW w:w="2930" w:type="dxa"/>
          </w:tcPr>
          <w:p w14:paraId="054D8B7C"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Представительство РД в Краснодарском крае</w:t>
            </w:r>
          </w:p>
        </w:tc>
        <w:tc>
          <w:tcPr>
            <w:tcW w:w="567" w:type="dxa"/>
          </w:tcPr>
          <w:p w14:paraId="0AECD7C9"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137</w:t>
            </w:r>
          </w:p>
        </w:tc>
        <w:tc>
          <w:tcPr>
            <w:tcW w:w="1276" w:type="dxa"/>
            <w:noWrap/>
          </w:tcPr>
          <w:p w14:paraId="3B1EF54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5 082,6</w:t>
            </w:r>
          </w:p>
        </w:tc>
        <w:tc>
          <w:tcPr>
            <w:tcW w:w="1276" w:type="dxa"/>
            <w:noWrap/>
          </w:tcPr>
          <w:p w14:paraId="2DB4E55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5 082,6</w:t>
            </w:r>
          </w:p>
        </w:tc>
        <w:tc>
          <w:tcPr>
            <w:tcW w:w="1134" w:type="dxa"/>
            <w:noWrap/>
          </w:tcPr>
          <w:p w14:paraId="0FCFCD3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3200AC2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4 403,0</w:t>
            </w:r>
          </w:p>
        </w:tc>
        <w:tc>
          <w:tcPr>
            <w:tcW w:w="1174" w:type="dxa"/>
            <w:noWrap/>
          </w:tcPr>
          <w:p w14:paraId="5ED9CAC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679,6</w:t>
            </w:r>
          </w:p>
        </w:tc>
      </w:tr>
      <w:tr w:rsidR="007A77E7" w:rsidRPr="007A77E7" w14:paraId="673BEE36" w14:textId="77777777" w:rsidTr="00545B6E">
        <w:trPr>
          <w:trHeight w:val="510"/>
        </w:trPr>
        <w:tc>
          <w:tcPr>
            <w:tcW w:w="2930" w:type="dxa"/>
          </w:tcPr>
          <w:p w14:paraId="2A3879B7"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Представительство РД в Санкт-Петербурге</w:t>
            </w:r>
          </w:p>
        </w:tc>
        <w:tc>
          <w:tcPr>
            <w:tcW w:w="567" w:type="dxa"/>
          </w:tcPr>
          <w:p w14:paraId="53A219D3"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138</w:t>
            </w:r>
          </w:p>
        </w:tc>
        <w:tc>
          <w:tcPr>
            <w:tcW w:w="1276" w:type="dxa"/>
            <w:noWrap/>
          </w:tcPr>
          <w:p w14:paraId="0CC5A44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7 480,2</w:t>
            </w:r>
          </w:p>
        </w:tc>
        <w:tc>
          <w:tcPr>
            <w:tcW w:w="1276" w:type="dxa"/>
            <w:noWrap/>
          </w:tcPr>
          <w:p w14:paraId="153BC52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7 480,2</w:t>
            </w:r>
          </w:p>
        </w:tc>
        <w:tc>
          <w:tcPr>
            <w:tcW w:w="1134" w:type="dxa"/>
            <w:noWrap/>
          </w:tcPr>
          <w:p w14:paraId="3106699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5E0CACB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7 402,6</w:t>
            </w:r>
          </w:p>
        </w:tc>
        <w:tc>
          <w:tcPr>
            <w:tcW w:w="1174" w:type="dxa"/>
            <w:noWrap/>
          </w:tcPr>
          <w:p w14:paraId="274A44B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77,6</w:t>
            </w:r>
          </w:p>
        </w:tc>
      </w:tr>
      <w:tr w:rsidR="007A77E7" w:rsidRPr="007A77E7" w14:paraId="5A69A01F" w14:textId="77777777" w:rsidTr="00545B6E">
        <w:trPr>
          <w:trHeight w:val="510"/>
        </w:trPr>
        <w:tc>
          <w:tcPr>
            <w:tcW w:w="2930" w:type="dxa"/>
          </w:tcPr>
          <w:p w14:paraId="012E6882"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Представительство РД в Ставропольском крае</w:t>
            </w:r>
          </w:p>
        </w:tc>
        <w:tc>
          <w:tcPr>
            <w:tcW w:w="567" w:type="dxa"/>
          </w:tcPr>
          <w:p w14:paraId="6C6C035D"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139</w:t>
            </w:r>
          </w:p>
        </w:tc>
        <w:tc>
          <w:tcPr>
            <w:tcW w:w="1276" w:type="dxa"/>
            <w:noWrap/>
          </w:tcPr>
          <w:p w14:paraId="06C9F33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10 338,9</w:t>
            </w:r>
          </w:p>
        </w:tc>
        <w:tc>
          <w:tcPr>
            <w:tcW w:w="1276" w:type="dxa"/>
            <w:noWrap/>
          </w:tcPr>
          <w:p w14:paraId="0C84175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10 338,9</w:t>
            </w:r>
          </w:p>
        </w:tc>
        <w:tc>
          <w:tcPr>
            <w:tcW w:w="1134" w:type="dxa"/>
            <w:noWrap/>
          </w:tcPr>
          <w:p w14:paraId="42802B5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4A0B6E1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10 304,9</w:t>
            </w:r>
          </w:p>
        </w:tc>
        <w:tc>
          <w:tcPr>
            <w:tcW w:w="1174" w:type="dxa"/>
            <w:noWrap/>
          </w:tcPr>
          <w:p w14:paraId="338A444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34,0</w:t>
            </w:r>
          </w:p>
        </w:tc>
      </w:tr>
      <w:tr w:rsidR="007A77E7" w:rsidRPr="007A77E7" w14:paraId="734F7012" w14:textId="77777777" w:rsidTr="00545B6E">
        <w:trPr>
          <w:trHeight w:val="510"/>
        </w:trPr>
        <w:tc>
          <w:tcPr>
            <w:tcW w:w="2930" w:type="dxa"/>
          </w:tcPr>
          <w:p w14:paraId="2130A0AD"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экономики и территориального развития РД</w:t>
            </w:r>
          </w:p>
        </w:tc>
        <w:tc>
          <w:tcPr>
            <w:tcW w:w="567" w:type="dxa"/>
          </w:tcPr>
          <w:p w14:paraId="6190D766"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140</w:t>
            </w:r>
          </w:p>
        </w:tc>
        <w:tc>
          <w:tcPr>
            <w:tcW w:w="1276" w:type="dxa"/>
            <w:noWrap/>
          </w:tcPr>
          <w:p w14:paraId="0CA459F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7 353 948,0</w:t>
            </w:r>
          </w:p>
        </w:tc>
        <w:tc>
          <w:tcPr>
            <w:tcW w:w="1276" w:type="dxa"/>
            <w:noWrap/>
          </w:tcPr>
          <w:p w14:paraId="181D3B5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7 095 531,9</w:t>
            </w:r>
          </w:p>
        </w:tc>
        <w:tc>
          <w:tcPr>
            <w:tcW w:w="1134" w:type="dxa"/>
            <w:noWrap/>
          </w:tcPr>
          <w:p w14:paraId="347B53A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258 416,1</w:t>
            </w:r>
          </w:p>
        </w:tc>
        <w:tc>
          <w:tcPr>
            <w:tcW w:w="1276" w:type="dxa"/>
            <w:noWrap/>
          </w:tcPr>
          <w:p w14:paraId="7A45D51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6 481 597,5</w:t>
            </w:r>
          </w:p>
        </w:tc>
        <w:tc>
          <w:tcPr>
            <w:tcW w:w="1174" w:type="dxa"/>
            <w:noWrap/>
          </w:tcPr>
          <w:p w14:paraId="640D750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613 934,4</w:t>
            </w:r>
          </w:p>
        </w:tc>
      </w:tr>
      <w:tr w:rsidR="007A77E7" w:rsidRPr="007A77E7" w14:paraId="360D482A" w14:textId="77777777" w:rsidTr="00545B6E">
        <w:trPr>
          <w:trHeight w:val="510"/>
        </w:trPr>
        <w:tc>
          <w:tcPr>
            <w:tcW w:w="2930" w:type="dxa"/>
          </w:tcPr>
          <w:p w14:paraId="498B5D45" w14:textId="77777777" w:rsidR="007A77E7" w:rsidRPr="007A77E7" w:rsidRDefault="007A77E7" w:rsidP="007A77E7">
            <w:pPr>
              <w:widowControl w:val="0"/>
              <w:autoSpaceDE w:val="0"/>
              <w:autoSpaceDN w:val="0"/>
              <w:adjustRightInd w:val="0"/>
              <w:spacing w:after="0" w:line="220" w:lineRule="exac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Управление Правительства РД по капитальному строительству</w:t>
            </w:r>
          </w:p>
        </w:tc>
        <w:tc>
          <w:tcPr>
            <w:tcW w:w="567" w:type="dxa"/>
          </w:tcPr>
          <w:p w14:paraId="02860E4A"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147</w:t>
            </w:r>
          </w:p>
        </w:tc>
        <w:tc>
          <w:tcPr>
            <w:tcW w:w="1276" w:type="dxa"/>
            <w:noWrap/>
          </w:tcPr>
          <w:p w14:paraId="6BDEE7C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14 368 646,2</w:t>
            </w:r>
          </w:p>
        </w:tc>
        <w:tc>
          <w:tcPr>
            <w:tcW w:w="1276" w:type="dxa"/>
            <w:noWrap/>
          </w:tcPr>
          <w:p w14:paraId="616E8E4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14 368 646,2</w:t>
            </w:r>
          </w:p>
        </w:tc>
        <w:tc>
          <w:tcPr>
            <w:tcW w:w="1134" w:type="dxa"/>
            <w:noWrap/>
          </w:tcPr>
          <w:p w14:paraId="6955AB4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1698F9C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7 099 424,8</w:t>
            </w:r>
          </w:p>
        </w:tc>
        <w:tc>
          <w:tcPr>
            <w:tcW w:w="1174" w:type="dxa"/>
            <w:noWrap/>
          </w:tcPr>
          <w:p w14:paraId="05B2C3C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7 269 221,4</w:t>
            </w:r>
          </w:p>
        </w:tc>
      </w:tr>
      <w:tr w:rsidR="007A77E7" w:rsidRPr="007A77E7" w14:paraId="10B0E3CF" w14:textId="77777777" w:rsidTr="00545B6E">
        <w:trPr>
          <w:trHeight w:val="255"/>
        </w:trPr>
        <w:tc>
          <w:tcPr>
            <w:tcW w:w="2930" w:type="dxa"/>
          </w:tcPr>
          <w:p w14:paraId="369646CE"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труда и социального развития РД</w:t>
            </w:r>
          </w:p>
        </w:tc>
        <w:tc>
          <w:tcPr>
            <w:tcW w:w="567" w:type="dxa"/>
          </w:tcPr>
          <w:p w14:paraId="3E27149E"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148</w:t>
            </w:r>
          </w:p>
        </w:tc>
        <w:tc>
          <w:tcPr>
            <w:tcW w:w="1276" w:type="dxa"/>
            <w:noWrap/>
          </w:tcPr>
          <w:p w14:paraId="7C4ECBA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38 265 079,0</w:t>
            </w:r>
          </w:p>
        </w:tc>
        <w:tc>
          <w:tcPr>
            <w:tcW w:w="1276" w:type="dxa"/>
            <w:noWrap/>
          </w:tcPr>
          <w:p w14:paraId="75E8F40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38 265 079,0</w:t>
            </w:r>
          </w:p>
        </w:tc>
        <w:tc>
          <w:tcPr>
            <w:tcW w:w="1134" w:type="dxa"/>
            <w:noWrap/>
          </w:tcPr>
          <w:p w14:paraId="04E7A41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458FBD15" w14:textId="77777777" w:rsidR="007A77E7" w:rsidRPr="007A77E7" w:rsidRDefault="007A77E7" w:rsidP="007A77E7">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38 104 620,6</w:t>
            </w:r>
          </w:p>
        </w:tc>
        <w:tc>
          <w:tcPr>
            <w:tcW w:w="1174" w:type="dxa"/>
            <w:noWrap/>
          </w:tcPr>
          <w:p w14:paraId="3655B29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160 458,4</w:t>
            </w:r>
          </w:p>
        </w:tc>
      </w:tr>
      <w:tr w:rsidR="007A77E7" w:rsidRPr="007A77E7" w14:paraId="19088EC4" w14:textId="77777777" w:rsidTr="00545B6E">
        <w:trPr>
          <w:trHeight w:val="255"/>
        </w:trPr>
        <w:tc>
          <w:tcPr>
            <w:tcW w:w="2930" w:type="dxa"/>
          </w:tcPr>
          <w:p w14:paraId="6D204254"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lastRenderedPageBreak/>
              <w:t>Комитет по архитектуре и градостроительству РД</w:t>
            </w:r>
          </w:p>
        </w:tc>
        <w:tc>
          <w:tcPr>
            <w:tcW w:w="567" w:type="dxa"/>
          </w:tcPr>
          <w:p w14:paraId="099D9152"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149</w:t>
            </w:r>
          </w:p>
        </w:tc>
        <w:tc>
          <w:tcPr>
            <w:tcW w:w="1276" w:type="dxa"/>
            <w:noWrap/>
          </w:tcPr>
          <w:p w14:paraId="7CDCB38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60 522,5</w:t>
            </w:r>
          </w:p>
        </w:tc>
        <w:tc>
          <w:tcPr>
            <w:tcW w:w="1276" w:type="dxa"/>
            <w:noWrap/>
          </w:tcPr>
          <w:p w14:paraId="39E1345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60 522,5</w:t>
            </w:r>
          </w:p>
        </w:tc>
        <w:tc>
          <w:tcPr>
            <w:tcW w:w="1134" w:type="dxa"/>
            <w:noWrap/>
          </w:tcPr>
          <w:p w14:paraId="0FA1BAD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4A8A47D0" w14:textId="77777777" w:rsidR="007A77E7" w:rsidRPr="007A77E7" w:rsidRDefault="007A77E7" w:rsidP="007A77E7">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59 958,5</w:t>
            </w:r>
          </w:p>
        </w:tc>
        <w:tc>
          <w:tcPr>
            <w:tcW w:w="1174" w:type="dxa"/>
            <w:noWrap/>
          </w:tcPr>
          <w:p w14:paraId="35F1D1C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564,0</w:t>
            </w:r>
          </w:p>
        </w:tc>
      </w:tr>
      <w:tr w:rsidR="007A77E7" w:rsidRPr="007A77E7" w14:paraId="5FDC2556" w14:textId="77777777" w:rsidTr="00545B6E">
        <w:trPr>
          <w:trHeight w:val="255"/>
        </w:trPr>
        <w:tc>
          <w:tcPr>
            <w:tcW w:w="2930" w:type="dxa"/>
          </w:tcPr>
          <w:p w14:paraId="7859AAC6"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по физической культуре и спорту РД</w:t>
            </w:r>
          </w:p>
        </w:tc>
        <w:tc>
          <w:tcPr>
            <w:tcW w:w="567" w:type="dxa"/>
          </w:tcPr>
          <w:p w14:paraId="22F96944"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164</w:t>
            </w:r>
          </w:p>
        </w:tc>
        <w:tc>
          <w:tcPr>
            <w:tcW w:w="1276" w:type="dxa"/>
            <w:noWrap/>
          </w:tcPr>
          <w:p w14:paraId="5548089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2 465 706,3</w:t>
            </w:r>
          </w:p>
        </w:tc>
        <w:tc>
          <w:tcPr>
            <w:tcW w:w="1276" w:type="dxa"/>
            <w:noWrap/>
          </w:tcPr>
          <w:p w14:paraId="477DFC6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2 465 706,3</w:t>
            </w:r>
          </w:p>
        </w:tc>
        <w:tc>
          <w:tcPr>
            <w:tcW w:w="1134" w:type="dxa"/>
            <w:noWrap/>
          </w:tcPr>
          <w:p w14:paraId="474968D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6648D7E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2 364 382,2</w:t>
            </w:r>
          </w:p>
        </w:tc>
        <w:tc>
          <w:tcPr>
            <w:tcW w:w="1174" w:type="dxa"/>
            <w:noWrap/>
          </w:tcPr>
          <w:p w14:paraId="138E944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101 324,1</w:t>
            </w:r>
          </w:p>
        </w:tc>
      </w:tr>
      <w:tr w:rsidR="007A77E7" w:rsidRPr="007A77E7" w14:paraId="4AB418CC" w14:textId="77777777" w:rsidTr="00545B6E">
        <w:trPr>
          <w:trHeight w:val="255"/>
        </w:trPr>
        <w:tc>
          <w:tcPr>
            <w:tcW w:w="2930" w:type="dxa"/>
          </w:tcPr>
          <w:p w14:paraId="1B914C81"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по делам ГО, ЧС и ликвидации последствий стихийных бедствий РД</w:t>
            </w:r>
          </w:p>
        </w:tc>
        <w:tc>
          <w:tcPr>
            <w:tcW w:w="567" w:type="dxa"/>
          </w:tcPr>
          <w:p w14:paraId="3030B8CC"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180</w:t>
            </w:r>
          </w:p>
        </w:tc>
        <w:tc>
          <w:tcPr>
            <w:tcW w:w="1276" w:type="dxa"/>
            <w:noWrap/>
          </w:tcPr>
          <w:p w14:paraId="582E2BF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2 126 664,6</w:t>
            </w:r>
          </w:p>
        </w:tc>
        <w:tc>
          <w:tcPr>
            <w:tcW w:w="1276" w:type="dxa"/>
            <w:noWrap/>
          </w:tcPr>
          <w:p w14:paraId="7E59BC5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2 064 802,0</w:t>
            </w:r>
          </w:p>
        </w:tc>
        <w:tc>
          <w:tcPr>
            <w:tcW w:w="1134" w:type="dxa"/>
            <w:noWrap/>
          </w:tcPr>
          <w:p w14:paraId="539AF0A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61 862,6</w:t>
            </w:r>
          </w:p>
        </w:tc>
        <w:tc>
          <w:tcPr>
            <w:tcW w:w="1276" w:type="dxa"/>
            <w:noWrap/>
          </w:tcPr>
          <w:p w14:paraId="7A0F268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2 033 388,7</w:t>
            </w:r>
          </w:p>
        </w:tc>
        <w:tc>
          <w:tcPr>
            <w:tcW w:w="1174" w:type="dxa"/>
            <w:noWrap/>
          </w:tcPr>
          <w:p w14:paraId="324636E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31 413,3</w:t>
            </w:r>
          </w:p>
        </w:tc>
      </w:tr>
      <w:tr w:rsidR="007A77E7" w:rsidRPr="007A77E7" w14:paraId="48ABC83D" w14:textId="77777777" w:rsidTr="00545B6E">
        <w:trPr>
          <w:trHeight w:val="255"/>
        </w:trPr>
        <w:tc>
          <w:tcPr>
            <w:tcW w:w="2930" w:type="dxa"/>
          </w:tcPr>
          <w:p w14:paraId="7A2839C0"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Уполномоченный по правам человека в РД</w:t>
            </w:r>
          </w:p>
        </w:tc>
        <w:tc>
          <w:tcPr>
            <w:tcW w:w="567" w:type="dxa"/>
          </w:tcPr>
          <w:p w14:paraId="743C6D50"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302</w:t>
            </w:r>
          </w:p>
        </w:tc>
        <w:tc>
          <w:tcPr>
            <w:tcW w:w="1276" w:type="dxa"/>
            <w:noWrap/>
          </w:tcPr>
          <w:p w14:paraId="4D3A8BE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15 089,6</w:t>
            </w:r>
          </w:p>
        </w:tc>
        <w:tc>
          <w:tcPr>
            <w:tcW w:w="1276" w:type="dxa"/>
            <w:noWrap/>
          </w:tcPr>
          <w:p w14:paraId="5A16D24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15 089,6</w:t>
            </w:r>
          </w:p>
        </w:tc>
        <w:tc>
          <w:tcPr>
            <w:tcW w:w="1134" w:type="dxa"/>
            <w:noWrap/>
          </w:tcPr>
          <w:p w14:paraId="388E873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4EE678D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14 946,2</w:t>
            </w:r>
          </w:p>
        </w:tc>
        <w:tc>
          <w:tcPr>
            <w:tcW w:w="1174" w:type="dxa"/>
            <w:noWrap/>
          </w:tcPr>
          <w:p w14:paraId="7AB68F7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143,4</w:t>
            </w:r>
          </w:p>
        </w:tc>
      </w:tr>
      <w:tr w:rsidR="007A77E7" w:rsidRPr="007A77E7" w14:paraId="0584C09B" w14:textId="77777777" w:rsidTr="00545B6E">
        <w:trPr>
          <w:trHeight w:val="255"/>
        </w:trPr>
        <w:tc>
          <w:tcPr>
            <w:tcW w:w="2930" w:type="dxa"/>
          </w:tcPr>
          <w:p w14:paraId="012DA28E"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Республиканская служба по тарифам РД</w:t>
            </w:r>
          </w:p>
        </w:tc>
        <w:tc>
          <w:tcPr>
            <w:tcW w:w="567" w:type="dxa"/>
          </w:tcPr>
          <w:p w14:paraId="4EC1E59F"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306</w:t>
            </w:r>
          </w:p>
        </w:tc>
        <w:tc>
          <w:tcPr>
            <w:tcW w:w="1276" w:type="dxa"/>
            <w:noWrap/>
          </w:tcPr>
          <w:p w14:paraId="7F92DBE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25 786,2</w:t>
            </w:r>
          </w:p>
        </w:tc>
        <w:tc>
          <w:tcPr>
            <w:tcW w:w="1276" w:type="dxa"/>
            <w:noWrap/>
          </w:tcPr>
          <w:p w14:paraId="400B1BB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25 786,2</w:t>
            </w:r>
          </w:p>
        </w:tc>
        <w:tc>
          <w:tcPr>
            <w:tcW w:w="1134" w:type="dxa"/>
            <w:noWrap/>
          </w:tcPr>
          <w:p w14:paraId="0533EE0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343EC674"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25 696,7</w:t>
            </w:r>
          </w:p>
        </w:tc>
        <w:tc>
          <w:tcPr>
            <w:tcW w:w="1174" w:type="dxa"/>
            <w:noWrap/>
          </w:tcPr>
          <w:p w14:paraId="6750100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89,5</w:t>
            </w:r>
          </w:p>
        </w:tc>
      </w:tr>
      <w:tr w:rsidR="007A77E7" w:rsidRPr="007A77E7" w14:paraId="6F267FBD" w14:textId="77777777" w:rsidTr="00545B6E">
        <w:trPr>
          <w:trHeight w:val="211"/>
        </w:trPr>
        <w:tc>
          <w:tcPr>
            <w:tcW w:w="2930" w:type="dxa"/>
          </w:tcPr>
          <w:p w14:paraId="50DDB3C7"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Избирательная комиссия РД</w:t>
            </w:r>
          </w:p>
        </w:tc>
        <w:tc>
          <w:tcPr>
            <w:tcW w:w="567" w:type="dxa"/>
          </w:tcPr>
          <w:p w14:paraId="6446BF58"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308</w:t>
            </w:r>
          </w:p>
        </w:tc>
        <w:tc>
          <w:tcPr>
            <w:tcW w:w="1276" w:type="dxa"/>
            <w:noWrap/>
          </w:tcPr>
          <w:p w14:paraId="09277BF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349 232,3</w:t>
            </w:r>
          </w:p>
        </w:tc>
        <w:tc>
          <w:tcPr>
            <w:tcW w:w="1276" w:type="dxa"/>
            <w:noWrap/>
          </w:tcPr>
          <w:p w14:paraId="4ACAB8B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349 232,3</w:t>
            </w:r>
          </w:p>
        </w:tc>
        <w:tc>
          <w:tcPr>
            <w:tcW w:w="1134" w:type="dxa"/>
            <w:noWrap/>
          </w:tcPr>
          <w:p w14:paraId="5E1E5C5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4DC85C9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348 611,6</w:t>
            </w:r>
          </w:p>
        </w:tc>
        <w:tc>
          <w:tcPr>
            <w:tcW w:w="1174" w:type="dxa"/>
            <w:noWrap/>
          </w:tcPr>
          <w:p w14:paraId="1A955D3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620,7</w:t>
            </w:r>
          </w:p>
        </w:tc>
      </w:tr>
      <w:tr w:rsidR="007A77E7" w:rsidRPr="007A77E7" w14:paraId="365101D8" w14:textId="77777777" w:rsidTr="00545B6E">
        <w:trPr>
          <w:trHeight w:val="255"/>
        </w:trPr>
        <w:tc>
          <w:tcPr>
            <w:tcW w:w="2930" w:type="dxa"/>
          </w:tcPr>
          <w:p w14:paraId="32FF77A9"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Администрация Главы и Правительства РД</w:t>
            </w:r>
          </w:p>
        </w:tc>
        <w:tc>
          <w:tcPr>
            <w:tcW w:w="567" w:type="dxa"/>
          </w:tcPr>
          <w:p w14:paraId="0D9E6DEE"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501</w:t>
            </w:r>
          </w:p>
        </w:tc>
        <w:tc>
          <w:tcPr>
            <w:tcW w:w="1276" w:type="dxa"/>
            <w:noWrap/>
          </w:tcPr>
          <w:p w14:paraId="11EC0DA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1 259 970,2</w:t>
            </w:r>
          </w:p>
        </w:tc>
        <w:tc>
          <w:tcPr>
            <w:tcW w:w="1276" w:type="dxa"/>
            <w:noWrap/>
          </w:tcPr>
          <w:p w14:paraId="27D41FA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1 249 367,2</w:t>
            </w:r>
          </w:p>
        </w:tc>
        <w:tc>
          <w:tcPr>
            <w:tcW w:w="1134" w:type="dxa"/>
            <w:noWrap/>
          </w:tcPr>
          <w:p w14:paraId="0FCFF42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10 603,0</w:t>
            </w:r>
          </w:p>
        </w:tc>
        <w:tc>
          <w:tcPr>
            <w:tcW w:w="1276" w:type="dxa"/>
            <w:noWrap/>
          </w:tcPr>
          <w:p w14:paraId="37D77BB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1 192 654,3</w:t>
            </w:r>
          </w:p>
        </w:tc>
        <w:tc>
          <w:tcPr>
            <w:tcW w:w="1174" w:type="dxa"/>
            <w:noWrap/>
          </w:tcPr>
          <w:p w14:paraId="60B2617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56 712,9</w:t>
            </w:r>
          </w:p>
        </w:tc>
      </w:tr>
      <w:tr w:rsidR="007A77E7" w:rsidRPr="007A77E7" w14:paraId="78A35FBB" w14:textId="77777777" w:rsidTr="00545B6E">
        <w:trPr>
          <w:trHeight w:val="255"/>
        </w:trPr>
        <w:tc>
          <w:tcPr>
            <w:tcW w:w="2930" w:type="dxa"/>
          </w:tcPr>
          <w:p w14:paraId="5CC0947B"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финансов РД</w:t>
            </w:r>
          </w:p>
        </w:tc>
        <w:tc>
          <w:tcPr>
            <w:tcW w:w="567" w:type="dxa"/>
          </w:tcPr>
          <w:p w14:paraId="630D2ACB"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592</w:t>
            </w:r>
          </w:p>
        </w:tc>
        <w:tc>
          <w:tcPr>
            <w:tcW w:w="1276" w:type="dxa"/>
            <w:noWrap/>
          </w:tcPr>
          <w:p w14:paraId="0B2F8E1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41 864 840,5</w:t>
            </w:r>
          </w:p>
        </w:tc>
        <w:tc>
          <w:tcPr>
            <w:tcW w:w="1276" w:type="dxa"/>
            <w:noWrap/>
          </w:tcPr>
          <w:p w14:paraId="3A6B6BEA" w14:textId="77777777" w:rsidR="007A77E7" w:rsidRPr="007A77E7" w:rsidRDefault="007A77E7" w:rsidP="007A77E7">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41 197 009,8</w:t>
            </w:r>
          </w:p>
        </w:tc>
        <w:tc>
          <w:tcPr>
            <w:tcW w:w="1134" w:type="dxa"/>
            <w:noWrap/>
          </w:tcPr>
          <w:p w14:paraId="4617BC23" w14:textId="77777777" w:rsidR="007A77E7" w:rsidRPr="007A77E7" w:rsidRDefault="007A77E7" w:rsidP="007A77E7">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667 830,7</w:t>
            </w:r>
          </w:p>
        </w:tc>
        <w:tc>
          <w:tcPr>
            <w:tcW w:w="1276" w:type="dxa"/>
            <w:noWrap/>
          </w:tcPr>
          <w:p w14:paraId="1799532C" w14:textId="77777777" w:rsidR="007A77E7" w:rsidRPr="007A77E7" w:rsidRDefault="007A77E7" w:rsidP="007A77E7">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41 189 097,0</w:t>
            </w:r>
          </w:p>
        </w:tc>
        <w:tc>
          <w:tcPr>
            <w:tcW w:w="1174" w:type="dxa"/>
            <w:noWrap/>
          </w:tcPr>
          <w:p w14:paraId="70188B4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7 912,8</w:t>
            </w:r>
          </w:p>
        </w:tc>
      </w:tr>
      <w:tr w:rsidR="007A77E7" w:rsidRPr="007A77E7" w14:paraId="1AEC16BC" w14:textId="77777777" w:rsidTr="00545B6E">
        <w:trPr>
          <w:trHeight w:val="255"/>
        </w:trPr>
        <w:tc>
          <w:tcPr>
            <w:tcW w:w="2930" w:type="dxa"/>
          </w:tcPr>
          <w:p w14:paraId="2E9C7368"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транспорта и дорожного хозяйства РД</w:t>
            </w:r>
          </w:p>
        </w:tc>
        <w:tc>
          <w:tcPr>
            <w:tcW w:w="567" w:type="dxa"/>
          </w:tcPr>
          <w:p w14:paraId="43043AF7"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765</w:t>
            </w:r>
          </w:p>
        </w:tc>
        <w:tc>
          <w:tcPr>
            <w:tcW w:w="1276" w:type="dxa"/>
            <w:noWrap/>
          </w:tcPr>
          <w:p w14:paraId="1456FBF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12 793 711,3</w:t>
            </w:r>
          </w:p>
        </w:tc>
        <w:tc>
          <w:tcPr>
            <w:tcW w:w="1276" w:type="dxa"/>
            <w:noWrap/>
          </w:tcPr>
          <w:p w14:paraId="680BD05F"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12 733 287,2</w:t>
            </w:r>
          </w:p>
        </w:tc>
        <w:tc>
          <w:tcPr>
            <w:tcW w:w="1134" w:type="dxa"/>
            <w:noWrap/>
          </w:tcPr>
          <w:p w14:paraId="2845B07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60 424,1</w:t>
            </w:r>
          </w:p>
        </w:tc>
        <w:tc>
          <w:tcPr>
            <w:tcW w:w="1276" w:type="dxa"/>
            <w:noWrap/>
          </w:tcPr>
          <w:p w14:paraId="148FAAE9" w14:textId="77777777" w:rsidR="007A77E7" w:rsidRPr="007A77E7" w:rsidRDefault="007A77E7" w:rsidP="007A77E7">
            <w:pPr>
              <w:widowControl w:val="0"/>
              <w:autoSpaceDE w:val="0"/>
              <w:autoSpaceDN w:val="0"/>
              <w:adjustRightInd w:val="0"/>
              <w:spacing w:after="0" w:line="220" w:lineRule="exact"/>
              <w:ind w:hanging="7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11 052 674,7</w:t>
            </w:r>
          </w:p>
        </w:tc>
        <w:tc>
          <w:tcPr>
            <w:tcW w:w="1174" w:type="dxa"/>
            <w:noWrap/>
          </w:tcPr>
          <w:p w14:paraId="669C72C6" w14:textId="77777777" w:rsidR="007A77E7" w:rsidRPr="007A77E7" w:rsidRDefault="007A77E7" w:rsidP="007A77E7">
            <w:pPr>
              <w:widowControl w:val="0"/>
              <w:autoSpaceDE w:val="0"/>
              <w:autoSpaceDN w:val="0"/>
              <w:adjustRightInd w:val="0"/>
              <w:spacing w:after="0" w:line="220" w:lineRule="exact"/>
              <w:ind w:hanging="108"/>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1 680 612,5</w:t>
            </w:r>
          </w:p>
        </w:tc>
      </w:tr>
      <w:tr w:rsidR="007A77E7" w:rsidRPr="007A77E7" w14:paraId="6A50D118" w14:textId="77777777" w:rsidTr="00545B6E">
        <w:trPr>
          <w:trHeight w:val="765"/>
        </w:trPr>
        <w:tc>
          <w:tcPr>
            <w:tcW w:w="2930" w:type="dxa"/>
          </w:tcPr>
          <w:p w14:paraId="6E30E6FC"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Государственная инспекция РД по надзору за техническим состоянием самоходных машин и других видов техники</w:t>
            </w:r>
          </w:p>
        </w:tc>
        <w:tc>
          <w:tcPr>
            <w:tcW w:w="567" w:type="dxa"/>
          </w:tcPr>
          <w:p w14:paraId="651A56B1"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930</w:t>
            </w:r>
          </w:p>
        </w:tc>
        <w:tc>
          <w:tcPr>
            <w:tcW w:w="1276" w:type="dxa"/>
            <w:noWrap/>
          </w:tcPr>
          <w:p w14:paraId="3E7CBBF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34 699,2</w:t>
            </w:r>
          </w:p>
        </w:tc>
        <w:tc>
          <w:tcPr>
            <w:tcW w:w="1276" w:type="dxa"/>
            <w:noWrap/>
          </w:tcPr>
          <w:p w14:paraId="5243A94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34 699,2</w:t>
            </w:r>
          </w:p>
        </w:tc>
        <w:tc>
          <w:tcPr>
            <w:tcW w:w="1134" w:type="dxa"/>
            <w:noWrap/>
          </w:tcPr>
          <w:p w14:paraId="08C1EBA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1279230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34 574,2</w:t>
            </w:r>
          </w:p>
        </w:tc>
        <w:tc>
          <w:tcPr>
            <w:tcW w:w="1174" w:type="dxa"/>
            <w:noWrap/>
          </w:tcPr>
          <w:p w14:paraId="4C40BAF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125,0</w:t>
            </w:r>
          </w:p>
        </w:tc>
      </w:tr>
      <w:tr w:rsidR="007A77E7" w:rsidRPr="007A77E7" w14:paraId="38497035" w14:textId="77777777" w:rsidTr="00545B6E">
        <w:trPr>
          <w:trHeight w:val="231"/>
        </w:trPr>
        <w:tc>
          <w:tcPr>
            <w:tcW w:w="2930" w:type="dxa"/>
          </w:tcPr>
          <w:p w14:paraId="3972773C"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юстиции РД</w:t>
            </w:r>
          </w:p>
        </w:tc>
        <w:tc>
          <w:tcPr>
            <w:tcW w:w="567" w:type="dxa"/>
          </w:tcPr>
          <w:p w14:paraId="775519C0"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934</w:t>
            </w:r>
          </w:p>
        </w:tc>
        <w:tc>
          <w:tcPr>
            <w:tcW w:w="1276" w:type="dxa"/>
            <w:noWrap/>
          </w:tcPr>
          <w:p w14:paraId="16C9DC9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619 575,5</w:t>
            </w:r>
          </w:p>
        </w:tc>
        <w:tc>
          <w:tcPr>
            <w:tcW w:w="1276" w:type="dxa"/>
            <w:noWrap/>
          </w:tcPr>
          <w:p w14:paraId="5920D18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619 575,5</w:t>
            </w:r>
          </w:p>
        </w:tc>
        <w:tc>
          <w:tcPr>
            <w:tcW w:w="1134" w:type="dxa"/>
            <w:noWrap/>
          </w:tcPr>
          <w:p w14:paraId="5B1393E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191E70B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615 498,9</w:t>
            </w:r>
          </w:p>
        </w:tc>
        <w:tc>
          <w:tcPr>
            <w:tcW w:w="1174" w:type="dxa"/>
            <w:noWrap/>
          </w:tcPr>
          <w:p w14:paraId="3FD70E39"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4 076,6</w:t>
            </w:r>
          </w:p>
        </w:tc>
      </w:tr>
      <w:tr w:rsidR="007A77E7" w:rsidRPr="007A77E7" w14:paraId="0F4630A6" w14:textId="77777777" w:rsidTr="00545B6E">
        <w:trPr>
          <w:trHeight w:val="420"/>
        </w:trPr>
        <w:tc>
          <w:tcPr>
            <w:tcW w:w="2930" w:type="dxa"/>
          </w:tcPr>
          <w:p w14:paraId="74627060"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Уполномоченный по защите прав предпринимателей в РД</w:t>
            </w:r>
          </w:p>
        </w:tc>
        <w:tc>
          <w:tcPr>
            <w:tcW w:w="567" w:type="dxa"/>
          </w:tcPr>
          <w:p w14:paraId="7F7E0BE1"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936</w:t>
            </w:r>
          </w:p>
        </w:tc>
        <w:tc>
          <w:tcPr>
            <w:tcW w:w="1276" w:type="dxa"/>
            <w:noWrap/>
          </w:tcPr>
          <w:p w14:paraId="219AC46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15 279,2</w:t>
            </w:r>
          </w:p>
        </w:tc>
        <w:tc>
          <w:tcPr>
            <w:tcW w:w="1276" w:type="dxa"/>
            <w:noWrap/>
          </w:tcPr>
          <w:p w14:paraId="496E760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15 279,2</w:t>
            </w:r>
          </w:p>
        </w:tc>
        <w:tc>
          <w:tcPr>
            <w:tcW w:w="1134" w:type="dxa"/>
            <w:noWrap/>
          </w:tcPr>
          <w:p w14:paraId="2DB2714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31B0E4B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14 829,5</w:t>
            </w:r>
          </w:p>
        </w:tc>
        <w:tc>
          <w:tcPr>
            <w:tcW w:w="1174" w:type="dxa"/>
            <w:noWrap/>
          </w:tcPr>
          <w:p w14:paraId="6A425F1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449,7</w:t>
            </w:r>
          </w:p>
        </w:tc>
      </w:tr>
      <w:tr w:rsidR="007A77E7" w:rsidRPr="007A77E7" w14:paraId="5B78AA72" w14:textId="77777777" w:rsidTr="00545B6E">
        <w:trPr>
          <w:trHeight w:val="255"/>
        </w:trPr>
        <w:tc>
          <w:tcPr>
            <w:tcW w:w="2930" w:type="dxa"/>
          </w:tcPr>
          <w:p w14:paraId="12C5147E"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Комитет по государственным закупкам РД</w:t>
            </w:r>
          </w:p>
        </w:tc>
        <w:tc>
          <w:tcPr>
            <w:tcW w:w="567" w:type="dxa"/>
          </w:tcPr>
          <w:p w14:paraId="2DAFE47D"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939</w:t>
            </w:r>
          </w:p>
        </w:tc>
        <w:tc>
          <w:tcPr>
            <w:tcW w:w="1276" w:type="dxa"/>
            <w:noWrap/>
          </w:tcPr>
          <w:p w14:paraId="4FDD6A8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34 988,5</w:t>
            </w:r>
          </w:p>
        </w:tc>
        <w:tc>
          <w:tcPr>
            <w:tcW w:w="1276" w:type="dxa"/>
            <w:noWrap/>
          </w:tcPr>
          <w:p w14:paraId="7C4C6BB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34 988,5</w:t>
            </w:r>
          </w:p>
        </w:tc>
        <w:tc>
          <w:tcPr>
            <w:tcW w:w="1134" w:type="dxa"/>
            <w:noWrap/>
          </w:tcPr>
          <w:p w14:paraId="1ACD784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578B9D7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32 970,0</w:t>
            </w:r>
          </w:p>
        </w:tc>
        <w:tc>
          <w:tcPr>
            <w:tcW w:w="1174" w:type="dxa"/>
            <w:noWrap/>
          </w:tcPr>
          <w:p w14:paraId="222408F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2 018,5</w:t>
            </w:r>
          </w:p>
        </w:tc>
      </w:tr>
      <w:tr w:rsidR="007A77E7" w:rsidRPr="007A77E7" w14:paraId="496392A2" w14:textId="77777777" w:rsidTr="00545B6E">
        <w:trPr>
          <w:trHeight w:val="255"/>
        </w:trPr>
        <w:tc>
          <w:tcPr>
            <w:tcW w:w="2930" w:type="dxa"/>
          </w:tcPr>
          <w:p w14:paraId="3F2FB287"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Агентство по предпринимательству и инвестициям РД</w:t>
            </w:r>
          </w:p>
        </w:tc>
        <w:tc>
          <w:tcPr>
            <w:tcW w:w="567" w:type="dxa"/>
          </w:tcPr>
          <w:p w14:paraId="23E0BA17"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940</w:t>
            </w:r>
          </w:p>
        </w:tc>
        <w:tc>
          <w:tcPr>
            <w:tcW w:w="1276" w:type="dxa"/>
            <w:noWrap/>
          </w:tcPr>
          <w:p w14:paraId="7F4FBE0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999 771,8</w:t>
            </w:r>
          </w:p>
        </w:tc>
        <w:tc>
          <w:tcPr>
            <w:tcW w:w="1276" w:type="dxa"/>
            <w:noWrap/>
          </w:tcPr>
          <w:p w14:paraId="313ACD5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999 771,8</w:t>
            </w:r>
          </w:p>
        </w:tc>
        <w:tc>
          <w:tcPr>
            <w:tcW w:w="1134" w:type="dxa"/>
            <w:noWrap/>
          </w:tcPr>
          <w:p w14:paraId="37E3791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2CAA1B7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980 251,6</w:t>
            </w:r>
          </w:p>
        </w:tc>
        <w:tc>
          <w:tcPr>
            <w:tcW w:w="1174" w:type="dxa"/>
            <w:noWrap/>
          </w:tcPr>
          <w:p w14:paraId="14EC541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19 520,2</w:t>
            </w:r>
          </w:p>
        </w:tc>
      </w:tr>
      <w:tr w:rsidR="007A77E7" w:rsidRPr="007A77E7" w14:paraId="59E9493C" w14:textId="77777777" w:rsidTr="00545B6E">
        <w:trPr>
          <w:trHeight w:val="255"/>
        </w:trPr>
        <w:tc>
          <w:tcPr>
            <w:tcW w:w="2930" w:type="dxa"/>
          </w:tcPr>
          <w:p w14:paraId="0BFD303D"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по туризму и народным художественным промыслам РД</w:t>
            </w:r>
          </w:p>
        </w:tc>
        <w:tc>
          <w:tcPr>
            <w:tcW w:w="567" w:type="dxa"/>
          </w:tcPr>
          <w:p w14:paraId="0B305068"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941</w:t>
            </w:r>
          </w:p>
        </w:tc>
        <w:tc>
          <w:tcPr>
            <w:tcW w:w="1276" w:type="dxa"/>
            <w:noWrap/>
          </w:tcPr>
          <w:p w14:paraId="57895AC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197 221,0</w:t>
            </w:r>
          </w:p>
        </w:tc>
        <w:tc>
          <w:tcPr>
            <w:tcW w:w="1276" w:type="dxa"/>
            <w:noWrap/>
          </w:tcPr>
          <w:p w14:paraId="4B6B881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197 221,0</w:t>
            </w:r>
          </w:p>
        </w:tc>
        <w:tc>
          <w:tcPr>
            <w:tcW w:w="1134" w:type="dxa"/>
            <w:noWrap/>
          </w:tcPr>
          <w:p w14:paraId="774FA18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44F3CDF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194 923,0</w:t>
            </w:r>
          </w:p>
        </w:tc>
        <w:tc>
          <w:tcPr>
            <w:tcW w:w="1174" w:type="dxa"/>
            <w:noWrap/>
          </w:tcPr>
          <w:p w14:paraId="58308EF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2 298,0</w:t>
            </w:r>
          </w:p>
        </w:tc>
      </w:tr>
      <w:tr w:rsidR="007A77E7" w:rsidRPr="007A77E7" w14:paraId="10BB4ED8" w14:textId="77777777" w:rsidTr="00545B6E">
        <w:trPr>
          <w:trHeight w:val="255"/>
        </w:trPr>
        <w:tc>
          <w:tcPr>
            <w:tcW w:w="2930" w:type="dxa"/>
          </w:tcPr>
          <w:p w14:paraId="65AB62C7"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Управление Правительства РД по вопросам переселения лакского населения Новолакского района и восстановление Ауховского района</w:t>
            </w:r>
          </w:p>
        </w:tc>
        <w:tc>
          <w:tcPr>
            <w:tcW w:w="567" w:type="dxa"/>
          </w:tcPr>
          <w:p w14:paraId="7AF96047"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943</w:t>
            </w:r>
          </w:p>
        </w:tc>
        <w:tc>
          <w:tcPr>
            <w:tcW w:w="1276" w:type="dxa"/>
            <w:noWrap/>
          </w:tcPr>
          <w:p w14:paraId="4BEF8AE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621 677,9</w:t>
            </w:r>
          </w:p>
        </w:tc>
        <w:tc>
          <w:tcPr>
            <w:tcW w:w="1276" w:type="dxa"/>
            <w:noWrap/>
          </w:tcPr>
          <w:p w14:paraId="3FB0137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621 677,9</w:t>
            </w:r>
          </w:p>
        </w:tc>
        <w:tc>
          <w:tcPr>
            <w:tcW w:w="1134" w:type="dxa"/>
            <w:noWrap/>
          </w:tcPr>
          <w:p w14:paraId="60E860E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4DDA4420"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589 511,5</w:t>
            </w:r>
          </w:p>
        </w:tc>
        <w:tc>
          <w:tcPr>
            <w:tcW w:w="1174" w:type="dxa"/>
            <w:noWrap/>
          </w:tcPr>
          <w:p w14:paraId="49746108"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32 166,4</w:t>
            </w:r>
          </w:p>
        </w:tc>
      </w:tr>
      <w:tr w:rsidR="007A77E7" w:rsidRPr="007A77E7" w14:paraId="7F879AB3" w14:textId="77777777" w:rsidTr="00545B6E">
        <w:trPr>
          <w:trHeight w:val="255"/>
        </w:trPr>
        <w:tc>
          <w:tcPr>
            <w:tcW w:w="2930" w:type="dxa"/>
          </w:tcPr>
          <w:p w14:paraId="7CCC6D43"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Агентство по охране объектов культурного наследия РД</w:t>
            </w:r>
          </w:p>
        </w:tc>
        <w:tc>
          <w:tcPr>
            <w:tcW w:w="567" w:type="dxa"/>
          </w:tcPr>
          <w:p w14:paraId="49889767"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944</w:t>
            </w:r>
          </w:p>
        </w:tc>
        <w:tc>
          <w:tcPr>
            <w:tcW w:w="1276" w:type="dxa"/>
            <w:noWrap/>
          </w:tcPr>
          <w:p w14:paraId="18253232"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40 504,0</w:t>
            </w:r>
          </w:p>
        </w:tc>
        <w:tc>
          <w:tcPr>
            <w:tcW w:w="1276" w:type="dxa"/>
            <w:noWrap/>
          </w:tcPr>
          <w:p w14:paraId="6603719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40 504,0</w:t>
            </w:r>
          </w:p>
        </w:tc>
        <w:tc>
          <w:tcPr>
            <w:tcW w:w="1134" w:type="dxa"/>
            <w:noWrap/>
          </w:tcPr>
          <w:p w14:paraId="2D29AE5C"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3312C69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39 974,2</w:t>
            </w:r>
          </w:p>
        </w:tc>
        <w:tc>
          <w:tcPr>
            <w:tcW w:w="1174" w:type="dxa"/>
            <w:noWrap/>
          </w:tcPr>
          <w:p w14:paraId="7259F13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529,8</w:t>
            </w:r>
          </w:p>
        </w:tc>
      </w:tr>
      <w:tr w:rsidR="007A77E7" w:rsidRPr="007A77E7" w14:paraId="72842E17" w14:textId="77777777" w:rsidTr="00545B6E">
        <w:trPr>
          <w:trHeight w:val="255"/>
        </w:trPr>
        <w:tc>
          <w:tcPr>
            <w:tcW w:w="2930" w:type="dxa"/>
          </w:tcPr>
          <w:p w14:paraId="1046CF6C"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Министерство по земельным и имущественным отношениям РД</w:t>
            </w:r>
          </w:p>
        </w:tc>
        <w:tc>
          <w:tcPr>
            <w:tcW w:w="567" w:type="dxa"/>
          </w:tcPr>
          <w:p w14:paraId="07902899"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947</w:t>
            </w:r>
          </w:p>
        </w:tc>
        <w:tc>
          <w:tcPr>
            <w:tcW w:w="1276" w:type="dxa"/>
            <w:noWrap/>
          </w:tcPr>
          <w:p w14:paraId="40721833"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529 786,3</w:t>
            </w:r>
          </w:p>
        </w:tc>
        <w:tc>
          <w:tcPr>
            <w:tcW w:w="1276" w:type="dxa"/>
            <w:noWrap/>
          </w:tcPr>
          <w:p w14:paraId="74173337"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529 786,3</w:t>
            </w:r>
          </w:p>
        </w:tc>
        <w:tc>
          <w:tcPr>
            <w:tcW w:w="1134" w:type="dxa"/>
            <w:noWrap/>
          </w:tcPr>
          <w:p w14:paraId="3914CB41"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6DC64345"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245 309,4</w:t>
            </w:r>
          </w:p>
        </w:tc>
        <w:tc>
          <w:tcPr>
            <w:tcW w:w="1174" w:type="dxa"/>
            <w:noWrap/>
          </w:tcPr>
          <w:p w14:paraId="6A0F92EB"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284 476,9</w:t>
            </w:r>
          </w:p>
        </w:tc>
      </w:tr>
      <w:tr w:rsidR="007A77E7" w:rsidRPr="007A77E7" w14:paraId="5EC376F3" w14:textId="77777777" w:rsidTr="00545B6E">
        <w:trPr>
          <w:trHeight w:val="255"/>
        </w:trPr>
        <w:tc>
          <w:tcPr>
            <w:tcW w:w="2930" w:type="dxa"/>
          </w:tcPr>
          <w:p w14:paraId="53E917B3"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Служба государственного финансового контроля РД</w:t>
            </w:r>
          </w:p>
        </w:tc>
        <w:tc>
          <w:tcPr>
            <w:tcW w:w="567" w:type="dxa"/>
          </w:tcPr>
          <w:p w14:paraId="303F04DF" w14:textId="77777777" w:rsidR="007A77E7" w:rsidRPr="007A77E7" w:rsidRDefault="007A77E7" w:rsidP="007A77E7">
            <w:pPr>
              <w:widowControl w:val="0"/>
              <w:autoSpaceDE w:val="0"/>
              <w:autoSpaceDN w:val="0"/>
              <w:adjustRightInd w:val="0"/>
              <w:spacing w:after="0" w:line="220" w:lineRule="exact"/>
              <w:jc w:val="center"/>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948</w:t>
            </w:r>
          </w:p>
        </w:tc>
        <w:tc>
          <w:tcPr>
            <w:tcW w:w="1276" w:type="dxa"/>
            <w:noWrap/>
          </w:tcPr>
          <w:p w14:paraId="7CAAA67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50 216,5</w:t>
            </w:r>
          </w:p>
        </w:tc>
        <w:tc>
          <w:tcPr>
            <w:tcW w:w="1276" w:type="dxa"/>
            <w:noWrap/>
          </w:tcPr>
          <w:p w14:paraId="39C2148D"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50 216,5</w:t>
            </w:r>
          </w:p>
        </w:tc>
        <w:tc>
          <w:tcPr>
            <w:tcW w:w="1134" w:type="dxa"/>
            <w:noWrap/>
          </w:tcPr>
          <w:p w14:paraId="659B4AE6"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0,0</w:t>
            </w:r>
          </w:p>
        </w:tc>
        <w:tc>
          <w:tcPr>
            <w:tcW w:w="1276" w:type="dxa"/>
            <w:noWrap/>
          </w:tcPr>
          <w:p w14:paraId="1195460E"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48 486,4</w:t>
            </w:r>
          </w:p>
        </w:tc>
        <w:tc>
          <w:tcPr>
            <w:tcW w:w="1174" w:type="dxa"/>
            <w:noWrap/>
          </w:tcPr>
          <w:p w14:paraId="26AD3B2A" w14:textId="77777777" w:rsidR="007A77E7" w:rsidRPr="007A77E7" w:rsidRDefault="007A77E7" w:rsidP="007A77E7">
            <w:pPr>
              <w:widowControl w:val="0"/>
              <w:autoSpaceDE w:val="0"/>
              <w:autoSpaceDN w:val="0"/>
              <w:adjustRightInd w:val="0"/>
              <w:spacing w:after="0" w:line="220" w:lineRule="exact"/>
              <w:jc w:val="right"/>
              <w:rPr>
                <w:rFonts w:ascii="Times New Roman" w:eastAsia="Times New Roman" w:hAnsi="Times New Roman" w:cs="Times New Roman"/>
                <w:sz w:val="20"/>
                <w:szCs w:val="20"/>
                <w:lang w:eastAsia="ru-RU"/>
              </w:rPr>
            </w:pPr>
            <w:r w:rsidRPr="007A77E7">
              <w:rPr>
                <w:rFonts w:ascii="Times New Roman" w:eastAsia="Times New Roman" w:hAnsi="Times New Roman" w:cs="Times New Roman"/>
                <w:sz w:val="20"/>
                <w:szCs w:val="20"/>
                <w:lang w:eastAsia="ru-RU"/>
              </w:rPr>
              <w:t>1 730,1</w:t>
            </w:r>
          </w:p>
        </w:tc>
      </w:tr>
      <w:tr w:rsidR="007A77E7" w:rsidRPr="007A77E7" w14:paraId="0A87D0CC" w14:textId="77777777" w:rsidTr="00545B6E">
        <w:trPr>
          <w:trHeight w:val="57"/>
        </w:trPr>
        <w:tc>
          <w:tcPr>
            <w:tcW w:w="2930" w:type="dxa"/>
            <w:noWrap/>
          </w:tcPr>
          <w:p w14:paraId="0BB72711" w14:textId="77777777" w:rsidR="007A77E7" w:rsidRPr="007A77E7" w:rsidRDefault="007A77E7" w:rsidP="007A77E7">
            <w:pPr>
              <w:widowControl w:val="0"/>
              <w:autoSpaceDE w:val="0"/>
              <w:autoSpaceDN w:val="0"/>
              <w:adjustRightInd w:val="0"/>
              <w:spacing w:after="0" w:line="220" w:lineRule="exact"/>
              <w:jc w:val="both"/>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Итого</w:t>
            </w:r>
          </w:p>
        </w:tc>
        <w:tc>
          <w:tcPr>
            <w:tcW w:w="567" w:type="dxa"/>
            <w:noWrap/>
          </w:tcPr>
          <w:p w14:paraId="0C62620A" w14:textId="77777777" w:rsidR="007A77E7" w:rsidRPr="007A77E7" w:rsidRDefault="007A77E7" w:rsidP="007A77E7">
            <w:pPr>
              <w:widowControl w:val="0"/>
              <w:autoSpaceDE w:val="0"/>
              <w:autoSpaceDN w:val="0"/>
              <w:adjustRightInd w:val="0"/>
              <w:spacing w:after="0" w:line="220" w:lineRule="exact"/>
              <w:rPr>
                <w:rFonts w:ascii="Times New Roman" w:eastAsia="Times New Roman" w:hAnsi="Times New Roman" w:cs="Times New Roman"/>
                <w:b/>
                <w:bCs/>
                <w:sz w:val="20"/>
                <w:szCs w:val="20"/>
                <w:lang w:eastAsia="ru-RU"/>
              </w:rPr>
            </w:pPr>
          </w:p>
        </w:tc>
        <w:tc>
          <w:tcPr>
            <w:tcW w:w="1276" w:type="dxa"/>
            <w:noWrap/>
          </w:tcPr>
          <w:p w14:paraId="3557C937" w14:textId="77777777" w:rsidR="007A77E7" w:rsidRPr="007A77E7" w:rsidRDefault="007A77E7" w:rsidP="007A77E7">
            <w:pPr>
              <w:widowControl w:val="0"/>
              <w:autoSpaceDE w:val="0"/>
              <w:autoSpaceDN w:val="0"/>
              <w:adjustRightInd w:val="0"/>
              <w:spacing w:after="0" w:line="220" w:lineRule="exact"/>
              <w:ind w:left="-105"/>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182 954 728,2</w:t>
            </w:r>
          </w:p>
        </w:tc>
        <w:tc>
          <w:tcPr>
            <w:tcW w:w="1276" w:type="dxa"/>
            <w:noWrap/>
          </w:tcPr>
          <w:p w14:paraId="03CF0393" w14:textId="77777777" w:rsidR="007A77E7" w:rsidRPr="007A77E7" w:rsidRDefault="007A77E7" w:rsidP="007A77E7">
            <w:pPr>
              <w:widowControl w:val="0"/>
              <w:autoSpaceDE w:val="0"/>
              <w:autoSpaceDN w:val="0"/>
              <w:adjustRightInd w:val="0"/>
              <w:spacing w:after="0" w:line="220" w:lineRule="exact"/>
              <w:ind w:left="-108" w:right="-57"/>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181 735 590,5</w:t>
            </w:r>
          </w:p>
        </w:tc>
        <w:tc>
          <w:tcPr>
            <w:tcW w:w="1134" w:type="dxa"/>
            <w:noWrap/>
          </w:tcPr>
          <w:p w14:paraId="37C8C18B" w14:textId="77777777" w:rsidR="007A77E7" w:rsidRPr="007A77E7" w:rsidRDefault="007A77E7" w:rsidP="007A77E7">
            <w:pPr>
              <w:widowControl w:val="0"/>
              <w:autoSpaceDE w:val="0"/>
              <w:autoSpaceDN w:val="0"/>
              <w:adjustRightInd w:val="0"/>
              <w:spacing w:after="0" w:line="220" w:lineRule="exact"/>
              <w:ind w:left="-108" w:right="-57"/>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1 219 137,7</w:t>
            </w:r>
          </w:p>
        </w:tc>
        <w:tc>
          <w:tcPr>
            <w:tcW w:w="1276" w:type="dxa"/>
            <w:noWrap/>
          </w:tcPr>
          <w:p w14:paraId="2BB5D29B" w14:textId="77777777" w:rsidR="007A77E7" w:rsidRPr="007A77E7" w:rsidRDefault="007A77E7" w:rsidP="007A77E7">
            <w:pPr>
              <w:widowControl w:val="0"/>
              <w:autoSpaceDE w:val="0"/>
              <w:autoSpaceDN w:val="0"/>
              <w:adjustRightInd w:val="0"/>
              <w:spacing w:after="0" w:line="220" w:lineRule="exact"/>
              <w:ind w:right="-57" w:hanging="78"/>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169 203 793,6</w:t>
            </w:r>
          </w:p>
        </w:tc>
        <w:tc>
          <w:tcPr>
            <w:tcW w:w="1174" w:type="dxa"/>
            <w:noWrap/>
          </w:tcPr>
          <w:p w14:paraId="795D475E" w14:textId="77777777" w:rsidR="007A77E7" w:rsidRPr="007A77E7" w:rsidRDefault="007A77E7" w:rsidP="007A77E7">
            <w:pPr>
              <w:widowControl w:val="0"/>
              <w:autoSpaceDE w:val="0"/>
              <w:autoSpaceDN w:val="0"/>
              <w:adjustRightInd w:val="0"/>
              <w:spacing w:after="0" w:line="220" w:lineRule="exact"/>
              <w:ind w:left="-108" w:right="-86"/>
              <w:jc w:val="right"/>
              <w:rPr>
                <w:rFonts w:ascii="Times New Roman" w:eastAsia="Times New Roman" w:hAnsi="Times New Roman" w:cs="Times New Roman"/>
                <w:b/>
                <w:bCs/>
                <w:sz w:val="20"/>
                <w:szCs w:val="20"/>
                <w:lang w:eastAsia="ru-RU"/>
              </w:rPr>
            </w:pPr>
            <w:r w:rsidRPr="007A77E7">
              <w:rPr>
                <w:rFonts w:ascii="Times New Roman" w:eastAsia="Times New Roman" w:hAnsi="Times New Roman" w:cs="Times New Roman"/>
                <w:b/>
                <w:bCs/>
                <w:sz w:val="20"/>
                <w:szCs w:val="20"/>
                <w:lang w:eastAsia="ru-RU"/>
              </w:rPr>
              <w:t>12 531 796,9</w:t>
            </w:r>
          </w:p>
        </w:tc>
      </w:tr>
    </w:tbl>
    <w:p w14:paraId="1761C81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D46447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Анализ исполнения республиканского бюджета Республики Дагестан показал, что на 1 января 2022 года на лицевых счетах 44 главных распорядителей бюджетных средств остатки неиспользованных бюджетных средств составили 12 531 796,6 тыс. рублей (средства федерального бюджета – 6 961 449,7 тыс. рублей и средства республиканского бюджета Республики Дагестан – 5 570 346,9 тыс. рублей).</w:t>
      </w:r>
    </w:p>
    <w:p w14:paraId="2BBC895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Наибольший объем остатков неиспользованных бюджетных средств значится на лицевых счетах следующих главных распорядителей:</w:t>
      </w:r>
    </w:p>
    <w:p w14:paraId="7AED330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lastRenderedPageBreak/>
        <w:t>1)</w:t>
      </w:r>
      <w:r w:rsidRPr="007A77E7">
        <w:rPr>
          <w:rFonts w:ascii="Times New Roman" w:eastAsia="Times New Roman" w:hAnsi="Times New Roman" w:cs="Times New Roman"/>
          <w:b/>
          <w:sz w:val="28"/>
          <w:szCs w:val="28"/>
          <w:lang w:eastAsia="ru-RU"/>
        </w:rPr>
        <w:t xml:space="preserve"> </w:t>
      </w:r>
      <w:r w:rsidRPr="007A77E7">
        <w:rPr>
          <w:rFonts w:ascii="Times New Roman" w:eastAsia="Times New Roman" w:hAnsi="Times New Roman" w:cs="Times New Roman"/>
          <w:sz w:val="28"/>
          <w:szCs w:val="28"/>
          <w:lang w:eastAsia="ru-RU"/>
        </w:rPr>
        <w:t>Управление Правительства Республики Дагестан по капитальному строительству – 7 269 221,4 тыс. рублей, или 58,0 % от общего объема остатков, из них: средства федерального бюджета – 5 186 000,7 тыс. рублей, или 74,5 % от общего объема остатков средств федерального бюджета.</w:t>
      </w:r>
    </w:p>
    <w:p w14:paraId="78CB99B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Основной причиной низкого уровня освоения бюджетных средств связано с недостаточной оперативностью организации строительного производства подрядными и субподрядными организациями, а также несвоевременное представления органами местного самоуправления исходной разрешительной документации.</w:t>
      </w:r>
    </w:p>
    <w:p w14:paraId="35D5CDC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Из общего объема остатков неиспользованных средств, значительная доля приходится на расходы, связанные с реализацией мероприятий по созданию в субъектах Российской Федерации дополнительных мест в организациях дошкольного и общего образования в рамках реализации государственной программы Российской Федерации «Развитие образования» – 5 844 040,1 тыс. рублей, или 80,4 % от общего объема остатков средств, в том числе на реализацию мероприятий:</w:t>
      </w:r>
    </w:p>
    <w:p w14:paraId="6644880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по созданию новых мест в общеобразовательных организациях в целях ликвидации третьей смены обучения и формирования условий для получения качественного общего образования – 3 897 157,2 тыс. рублей;</w:t>
      </w:r>
    </w:p>
    <w:p w14:paraId="6E23B05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по созданию дополнительных мест для детей в возрасте от 2 месяцев до 3 лет, осуществляющих деятельность по образовательным программам дошкольного образования – 208 653,7 тыс. рублей;</w:t>
      </w:r>
    </w:p>
    <w:p w14:paraId="6A2FCE3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по созданию дополнительных мест для детей от 1,5 до 3 лет в образовательных организациях, осуществляющих деятельность по образовательным программам дошкольного образования – 1 273 616,8 тыс. рублей;</w:t>
      </w:r>
    </w:p>
    <w:p w14:paraId="470810F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по созданию новых мест в общеобразовательных организациях, расположенных в сельской местности и в поселках городского типа (школа в с. Хебатли) – 67 253,6 тыс. рублей;</w:t>
      </w:r>
    </w:p>
    <w:p w14:paraId="1B80AC6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по содействию создания в субъектах Российской Федерации новых мест в общеобразовательных организациях (школы в с. Теречное, Оружба, </w:t>
      </w:r>
      <w:r w:rsidRPr="007A77E7">
        <w:rPr>
          <w:rFonts w:ascii="Times New Roman" w:eastAsia="Times New Roman" w:hAnsi="Times New Roman" w:cs="Times New Roman"/>
          <w:sz w:val="28"/>
          <w:szCs w:val="28"/>
          <w:lang w:eastAsia="ru-RU"/>
        </w:rPr>
        <w:br/>
        <w:t>№ 26 г. Махачкала) – 46 647,7 тыс. рублей;</w:t>
      </w:r>
    </w:p>
    <w:p w14:paraId="3262B3E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мероприятий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 350 711,1 тыс. рублей.</w:t>
      </w:r>
    </w:p>
    <w:p w14:paraId="0F9B64A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Кроме того, остатки неиспользованных бюджетных средств в рамках реализации мероприятий Республиканской инвестиционной программы, составили 1 151 470,0 тыс. рублей, или 15,8 %.  </w:t>
      </w:r>
    </w:p>
    <w:p w14:paraId="5771310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2) </w:t>
      </w:r>
      <w:r w:rsidRPr="007A77E7">
        <w:rPr>
          <w:rFonts w:ascii="Times New Roman" w:eastAsia="Times New Roman" w:hAnsi="Times New Roman" w:cs="Times New Roman"/>
          <w:bCs/>
          <w:sz w:val="28"/>
          <w:szCs w:val="28"/>
          <w:lang w:eastAsia="ru-RU"/>
        </w:rPr>
        <w:t>Министерства транспорта и дорожного хозяйства Республики Дагестан</w:t>
      </w:r>
      <w:r w:rsidRPr="007A77E7">
        <w:rPr>
          <w:rFonts w:ascii="Times New Roman" w:eastAsia="Times New Roman" w:hAnsi="Times New Roman" w:cs="Times New Roman"/>
          <w:sz w:val="28"/>
          <w:szCs w:val="28"/>
          <w:lang w:eastAsia="ru-RU"/>
        </w:rPr>
        <w:t xml:space="preserve"> – 1 680 612,5 тыс. рублей, или 13,4 % от общего объема остатков, в том числе средства дорожного фонда Республики Дагестан – 1 674 686,1 тыс. рублей, из них: средства федерального бюджета – 232 602,0 тыс. рублей.</w:t>
      </w:r>
    </w:p>
    <w:p w14:paraId="2C73F6D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Остатки средств дорожного фонда в сумме 1 674 686,1 тыс. рублей </w:t>
      </w:r>
      <w:r w:rsidRPr="007A77E7">
        <w:rPr>
          <w:rFonts w:ascii="Times New Roman" w:eastAsia="Times New Roman" w:hAnsi="Times New Roman" w:cs="Times New Roman"/>
          <w:sz w:val="28"/>
          <w:szCs w:val="28"/>
          <w:lang w:eastAsia="ru-RU"/>
        </w:rPr>
        <w:lastRenderedPageBreak/>
        <w:t>образовались при реализации следующих мероприятий:</w:t>
      </w:r>
    </w:p>
    <w:p w14:paraId="77D1B9F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строительство и реконструкция территориальных автомобильных дорог и сооружений на них – </w:t>
      </w:r>
      <w:r w:rsidRPr="007A77E7">
        <w:rPr>
          <w:rFonts w:ascii="Times New Roman" w:eastAsia="Times New Roman" w:hAnsi="Times New Roman" w:cs="Times New Roman"/>
          <w:bCs/>
          <w:color w:val="000000"/>
          <w:sz w:val="28"/>
          <w:szCs w:val="28"/>
          <w:lang w:eastAsia="ru-RU"/>
        </w:rPr>
        <w:t>626 122,7 тыс. рублей;</w:t>
      </w:r>
    </w:p>
    <w:p w14:paraId="43D868D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проектно-изыскательские работы, экспертиза проектов и иные мероприятия в отношении автомобильных дорог общего пользования – </w:t>
      </w:r>
      <w:r w:rsidRPr="007A77E7">
        <w:rPr>
          <w:rFonts w:ascii="Times New Roman" w:eastAsia="Times New Roman" w:hAnsi="Times New Roman" w:cs="Times New Roman"/>
          <w:bCs/>
          <w:color w:val="000000"/>
          <w:sz w:val="28"/>
          <w:szCs w:val="28"/>
          <w:lang w:eastAsia="ru-RU"/>
        </w:rPr>
        <w:t>129 955,3 тыс. рублей;</w:t>
      </w:r>
    </w:p>
    <w:p w14:paraId="6039C80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реконструкция автомобильных дорог республиканского и местного значения на осуществление крупных особо важных для социально-экономического развития Российской Федерации проектов в рамках реализации государственной программы Российской Федерации «Государственная программа развития транспортной системы» – </w:t>
      </w:r>
      <w:r w:rsidRPr="007A77E7">
        <w:rPr>
          <w:rFonts w:ascii="Times New Roman" w:eastAsia="Times New Roman" w:hAnsi="Times New Roman" w:cs="Times New Roman"/>
          <w:bCs/>
          <w:color w:val="000000"/>
          <w:sz w:val="28"/>
          <w:szCs w:val="28"/>
          <w:lang w:eastAsia="ru-RU"/>
        </w:rPr>
        <w:t>167 035,6 тыс. рублей;</w:t>
      </w:r>
    </w:p>
    <w:p w14:paraId="23BAC36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реконструкция, капитальный ремонт, ремонт автомобильных дорог и контракты жизненного цикла на автомобильных дорогах республиканского и межмуниципального значения Республики Дагестан в рамках национального проекта «Безопасные и качественные автомобильные дороги» за счет средств республиканского бюджета Республики Дагестан – </w:t>
      </w:r>
      <w:r w:rsidRPr="007A77E7">
        <w:rPr>
          <w:rFonts w:ascii="Times New Roman" w:eastAsia="Times New Roman" w:hAnsi="Times New Roman" w:cs="Times New Roman"/>
          <w:bCs/>
          <w:color w:val="000000"/>
          <w:sz w:val="28"/>
          <w:szCs w:val="28"/>
          <w:lang w:eastAsia="ru-RU"/>
        </w:rPr>
        <w:t>113 749,3 тыс. рублей;</w:t>
      </w:r>
    </w:p>
    <w:p w14:paraId="4EE7159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ремонт автомобильных дорог республиканского, межмуниципального и местного значения и сооружений на них – </w:t>
      </w:r>
      <w:r w:rsidRPr="007A77E7">
        <w:rPr>
          <w:rFonts w:ascii="Times New Roman" w:eastAsia="Times New Roman" w:hAnsi="Times New Roman" w:cs="Times New Roman"/>
          <w:bCs/>
          <w:color w:val="000000"/>
          <w:sz w:val="28"/>
          <w:szCs w:val="28"/>
          <w:lang w:eastAsia="ru-RU"/>
        </w:rPr>
        <w:t>301 776,8 тыс. рублей;</w:t>
      </w:r>
    </w:p>
    <w:p w14:paraId="1235280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содержание автомобильных дорог республиканского, межмуниципального и местного значения и сооружений на них – </w:t>
      </w:r>
      <w:r w:rsidRPr="007A77E7">
        <w:rPr>
          <w:rFonts w:ascii="Times New Roman" w:eastAsia="Times New Roman" w:hAnsi="Times New Roman" w:cs="Times New Roman"/>
          <w:bCs/>
          <w:color w:val="000000"/>
          <w:sz w:val="28"/>
          <w:szCs w:val="28"/>
          <w:lang w:eastAsia="ru-RU"/>
        </w:rPr>
        <w:t>25 827,1 тыс. рублей</w:t>
      </w:r>
      <w:r w:rsidRPr="007A77E7">
        <w:rPr>
          <w:rFonts w:ascii="Times New Roman" w:eastAsia="Times New Roman" w:hAnsi="Times New Roman" w:cs="Times New Roman"/>
          <w:color w:val="000000"/>
          <w:sz w:val="28"/>
          <w:szCs w:val="28"/>
          <w:lang w:eastAsia="ru-RU"/>
        </w:rPr>
        <w:t xml:space="preserve">; </w:t>
      </w:r>
    </w:p>
    <w:p w14:paraId="1C4CDE3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охрана Гимринского автодорожного тоннеля в рамках мероприятий по обеспечению транспортной безопасности – </w:t>
      </w:r>
      <w:r w:rsidRPr="007A77E7">
        <w:rPr>
          <w:rFonts w:ascii="Times New Roman" w:eastAsia="Times New Roman" w:hAnsi="Times New Roman" w:cs="Times New Roman"/>
          <w:bCs/>
          <w:color w:val="000000"/>
          <w:sz w:val="28"/>
          <w:szCs w:val="28"/>
          <w:lang w:eastAsia="ru-RU"/>
        </w:rPr>
        <w:t>854,8 тыс. рублей;</w:t>
      </w:r>
    </w:p>
    <w:p w14:paraId="4BF5F01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мероприятия по обеспечению безопасности и организации дорожного движения – </w:t>
      </w:r>
      <w:r w:rsidRPr="007A77E7">
        <w:rPr>
          <w:rFonts w:ascii="Times New Roman" w:eastAsia="Times New Roman" w:hAnsi="Times New Roman" w:cs="Times New Roman"/>
          <w:bCs/>
          <w:color w:val="000000"/>
          <w:sz w:val="28"/>
          <w:szCs w:val="28"/>
          <w:lang w:eastAsia="ru-RU"/>
        </w:rPr>
        <w:t>41 027,9 тыс. рублей;</w:t>
      </w:r>
    </w:p>
    <w:p w14:paraId="3508BC2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7A77E7">
        <w:rPr>
          <w:rFonts w:ascii="Times New Roman" w:eastAsia="Times New Roman" w:hAnsi="Times New Roman" w:cs="Times New Roman"/>
          <w:color w:val="000000"/>
          <w:sz w:val="28"/>
          <w:szCs w:val="28"/>
          <w:lang w:eastAsia="ru-RU"/>
        </w:rPr>
        <w:t xml:space="preserve">- внедрение интеллектуальных транспортных систем, предусматривающих автоматизацию процессов управления дорожным движением, установка автоматических пунктов весогабаритного контроля и систем видеоконтроля (камер фото-видеофиксации нарушений правил дорожного движения на автомобильных дорогах республиканского и межмуниципального значения Республики Дагестан в рамках национального проекта «Безопасные и качественные автомобильные дороги») – </w:t>
      </w:r>
      <w:r w:rsidRPr="007A77E7">
        <w:rPr>
          <w:rFonts w:ascii="Times New Roman" w:eastAsia="Times New Roman" w:hAnsi="Times New Roman" w:cs="Times New Roman"/>
          <w:bCs/>
          <w:color w:val="000000"/>
          <w:sz w:val="28"/>
          <w:szCs w:val="28"/>
          <w:lang w:eastAsia="ru-RU"/>
        </w:rPr>
        <w:t>19 740,1 тыс. рублей;</w:t>
      </w:r>
    </w:p>
    <w:p w14:paraId="2B282D6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разметка автомобильных дорог – </w:t>
      </w:r>
      <w:r w:rsidRPr="007A77E7">
        <w:rPr>
          <w:rFonts w:ascii="Times New Roman" w:eastAsia="Times New Roman" w:hAnsi="Times New Roman" w:cs="Times New Roman"/>
          <w:bCs/>
          <w:color w:val="000000"/>
          <w:sz w:val="28"/>
          <w:szCs w:val="28"/>
          <w:lang w:eastAsia="ru-RU"/>
        </w:rPr>
        <w:t>511,9 тыс. рублей;</w:t>
      </w:r>
    </w:p>
    <w:p w14:paraId="3F6238C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планово-предупредительный ремонт мостов и тоннеля – </w:t>
      </w:r>
      <w:r w:rsidRPr="007A77E7">
        <w:rPr>
          <w:rFonts w:ascii="Times New Roman" w:eastAsia="Times New Roman" w:hAnsi="Times New Roman" w:cs="Times New Roman"/>
          <w:bCs/>
          <w:color w:val="000000"/>
          <w:sz w:val="28"/>
          <w:szCs w:val="28"/>
          <w:lang w:eastAsia="ru-RU"/>
        </w:rPr>
        <w:t>4 775,7 тыс. рублей;</w:t>
      </w:r>
    </w:p>
    <w:p w14:paraId="362845B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резерв средств на ликвидацию последствий стихии – </w:t>
      </w:r>
      <w:r w:rsidRPr="007A77E7">
        <w:rPr>
          <w:rFonts w:ascii="Times New Roman" w:eastAsia="Times New Roman" w:hAnsi="Times New Roman" w:cs="Times New Roman"/>
          <w:bCs/>
          <w:color w:val="000000"/>
          <w:sz w:val="28"/>
          <w:szCs w:val="28"/>
          <w:lang w:eastAsia="ru-RU"/>
        </w:rPr>
        <w:t>112 900,8 тыс. рублей;</w:t>
      </w:r>
    </w:p>
    <w:p w14:paraId="420846A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оплата расходов, связанных с обработкой и рассылкой постановлений органов госконтроля (надзора) – </w:t>
      </w:r>
      <w:r w:rsidRPr="007A77E7">
        <w:rPr>
          <w:rFonts w:ascii="Times New Roman" w:eastAsia="Times New Roman" w:hAnsi="Times New Roman" w:cs="Times New Roman"/>
          <w:bCs/>
          <w:color w:val="000000"/>
          <w:sz w:val="28"/>
          <w:szCs w:val="28"/>
          <w:lang w:eastAsia="ru-RU"/>
        </w:rPr>
        <w:t>60 000,0 тыс. рублей;</w:t>
      </w:r>
    </w:p>
    <w:p w14:paraId="528AD96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содержание аппарата ГКУ РД «Дагестанавтодор» – </w:t>
      </w:r>
      <w:r w:rsidRPr="007A77E7">
        <w:rPr>
          <w:rFonts w:ascii="Times New Roman" w:eastAsia="Times New Roman" w:hAnsi="Times New Roman" w:cs="Times New Roman"/>
          <w:bCs/>
          <w:color w:val="000000"/>
          <w:sz w:val="28"/>
          <w:szCs w:val="28"/>
          <w:lang w:eastAsia="ru-RU"/>
        </w:rPr>
        <w:t>6 474,1 тыс. рублей;</w:t>
      </w:r>
    </w:p>
    <w:p w14:paraId="33C2CD0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содержание аппарата ГКУ РД «ЦОДД» – </w:t>
      </w:r>
      <w:r w:rsidRPr="007A77E7">
        <w:rPr>
          <w:rFonts w:ascii="Times New Roman" w:eastAsia="Times New Roman" w:hAnsi="Times New Roman" w:cs="Times New Roman"/>
          <w:bCs/>
          <w:color w:val="000000"/>
          <w:sz w:val="28"/>
          <w:szCs w:val="28"/>
          <w:lang w:eastAsia="ru-RU"/>
        </w:rPr>
        <w:t>2 309,2 тыс. рублей;</w:t>
      </w:r>
    </w:p>
    <w:p w14:paraId="5340A7D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выполнение кадастровых работ по земельным участкам, занятым </w:t>
      </w:r>
      <w:r w:rsidRPr="007A77E7">
        <w:rPr>
          <w:rFonts w:ascii="Times New Roman" w:eastAsia="Times New Roman" w:hAnsi="Times New Roman" w:cs="Times New Roman"/>
          <w:color w:val="000000"/>
          <w:sz w:val="28"/>
          <w:szCs w:val="28"/>
          <w:lang w:eastAsia="ru-RU"/>
        </w:rPr>
        <w:lastRenderedPageBreak/>
        <w:t xml:space="preserve">существующими полосами отвода автомобильных дорог общего пользования – </w:t>
      </w:r>
      <w:r w:rsidRPr="007A77E7">
        <w:rPr>
          <w:rFonts w:ascii="Times New Roman" w:eastAsia="Times New Roman" w:hAnsi="Times New Roman" w:cs="Times New Roman"/>
          <w:bCs/>
          <w:color w:val="000000"/>
          <w:sz w:val="28"/>
          <w:szCs w:val="28"/>
          <w:lang w:eastAsia="ru-RU"/>
        </w:rPr>
        <w:t>10 000,0 тыс. рублей;</w:t>
      </w:r>
    </w:p>
    <w:p w14:paraId="7273A73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мероприятия по ликвидации мест концентрации ДТП и приведению в нормативное состояние улиц Махачкалинской городской агломерации в рамках национального проекта «Безопасные и качественные автомобильные дороги» – </w:t>
      </w:r>
      <w:r w:rsidRPr="007A77E7">
        <w:rPr>
          <w:rFonts w:ascii="Times New Roman" w:eastAsia="Times New Roman" w:hAnsi="Times New Roman" w:cs="Times New Roman"/>
          <w:bCs/>
          <w:color w:val="000000"/>
          <w:sz w:val="28"/>
          <w:szCs w:val="28"/>
          <w:lang w:eastAsia="ru-RU"/>
        </w:rPr>
        <w:t xml:space="preserve">28 888,1тыс. рублей; </w:t>
      </w:r>
    </w:p>
    <w:p w14:paraId="59E2C71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НИОКР – </w:t>
      </w:r>
      <w:r w:rsidRPr="007A77E7">
        <w:rPr>
          <w:rFonts w:ascii="Times New Roman" w:eastAsia="Times New Roman" w:hAnsi="Times New Roman" w:cs="Times New Roman"/>
          <w:bCs/>
          <w:color w:val="000000"/>
          <w:sz w:val="28"/>
          <w:szCs w:val="28"/>
          <w:lang w:eastAsia="ru-RU"/>
        </w:rPr>
        <w:t>3 500,0 тыс. рублей;</w:t>
      </w:r>
    </w:p>
    <w:p w14:paraId="6BFC9C9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субсидии, предоставляемые муниципальным образованиям на поддержку дорожной деятельности – </w:t>
      </w:r>
      <w:r w:rsidRPr="007A77E7">
        <w:rPr>
          <w:rFonts w:ascii="Times New Roman" w:eastAsia="Times New Roman" w:hAnsi="Times New Roman" w:cs="Times New Roman"/>
          <w:bCs/>
          <w:color w:val="000000"/>
          <w:sz w:val="28"/>
          <w:szCs w:val="28"/>
          <w:lang w:eastAsia="ru-RU"/>
        </w:rPr>
        <w:t>10 209,9 тыс. рублей;</w:t>
      </w:r>
    </w:p>
    <w:p w14:paraId="5510218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xml:space="preserve">- исполнение судебных актов и штрафов по соглашениям и заключенным контрактам – </w:t>
      </w:r>
      <w:r w:rsidRPr="007A77E7">
        <w:rPr>
          <w:rFonts w:ascii="Times New Roman" w:eastAsia="Times New Roman" w:hAnsi="Times New Roman" w:cs="Times New Roman"/>
          <w:bCs/>
          <w:color w:val="000000"/>
          <w:sz w:val="28"/>
          <w:szCs w:val="28"/>
          <w:lang w:eastAsia="ru-RU"/>
        </w:rPr>
        <w:t xml:space="preserve">7 977,3 тыс. рублей. </w:t>
      </w:r>
    </w:p>
    <w:p w14:paraId="66E2F56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sz w:val="28"/>
          <w:szCs w:val="28"/>
          <w:lang w:eastAsia="ru-RU"/>
        </w:rPr>
        <w:t xml:space="preserve">3) </w:t>
      </w:r>
      <w:r w:rsidRPr="007A77E7">
        <w:rPr>
          <w:rFonts w:ascii="Times New Roman" w:eastAsia="Times New Roman" w:hAnsi="Times New Roman" w:cs="Times New Roman"/>
          <w:bCs/>
          <w:sz w:val="28"/>
          <w:szCs w:val="28"/>
          <w:lang w:eastAsia="ru-RU"/>
        </w:rPr>
        <w:t>Министерство здравоохранения Республики Дагестан</w:t>
      </w:r>
      <w:r w:rsidRPr="007A77E7">
        <w:rPr>
          <w:rFonts w:ascii="Times New Roman" w:eastAsia="Times New Roman" w:hAnsi="Times New Roman" w:cs="Times New Roman"/>
          <w:sz w:val="28"/>
          <w:szCs w:val="28"/>
          <w:lang w:eastAsia="ru-RU"/>
        </w:rPr>
        <w:t xml:space="preserve"> – 862 648,8 тыс. рублей, или 6,9 % от общего объема остатков, из них: средства федерального бюджета – 626 071,6 тыс. рублей, в том числе при осуществлении следующих расходов:</w:t>
      </w:r>
    </w:p>
    <w:p w14:paraId="2BED8DEB"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Calibri" w:hAnsi="Times New Roman" w:cs="Times New Roman"/>
          <w:sz w:val="28"/>
          <w:szCs w:val="28"/>
          <w:lang w:eastAsia="ru-RU"/>
        </w:rPr>
        <w:t>- приобретение и установка оборудования в рамках национального проекта «</w:t>
      </w:r>
      <w:r w:rsidRPr="007A77E7">
        <w:rPr>
          <w:rFonts w:ascii="Times New Roman" w:eastAsia="Times New Roman" w:hAnsi="Times New Roman" w:cs="Times New Roman"/>
          <w:sz w:val="28"/>
          <w:szCs w:val="28"/>
          <w:lang w:eastAsia="ru-RU"/>
        </w:rPr>
        <w:t>Борьба с онкологическими заболеваниями»</w:t>
      </w:r>
      <w:r w:rsidRPr="007A77E7">
        <w:rPr>
          <w:rFonts w:ascii="Times New Roman" w:eastAsia="Calibri" w:hAnsi="Times New Roman" w:cs="Times New Roman"/>
          <w:sz w:val="28"/>
          <w:szCs w:val="28"/>
          <w:lang w:eastAsia="ru-RU"/>
        </w:rPr>
        <w:t xml:space="preserve"> – 3 000,0 тыс. рублей (отсутствие актов ввода в эксплуатацию);</w:t>
      </w:r>
    </w:p>
    <w:p w14:paraId="536A42DE"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w:t>
      </w:r>
      <w:r w:rsidRPr="007A77E7">
        <w:rPr>
          <w:rFonts w:ascii="Times New Roman" w:eastAsia="Calibri" w:hAnsi="Times New Roman" w:cs="Times New Roman"/>
          <w:sz w:val="28"/>
          <w:szCs w:val="28"/>
          <w:lang w:eastAsia="ru-RU"/>
        </w:rPr>
        <w:t>поставка оборудования в рамках программы «Модернизация первичного звена здравоохранения» – 2 346,6 тыс. рублей (нарушение подрядными организациями сроков исполнения контрактов);</w:t>
      </w:r>
    </w:p>
    <w:p w14:paraId="2E9417F7"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w:t>
      </w:r>
      <w:r w:rsidRPr="007A77E7">
        <w:rPr>
          <w:rFonts w:ascii="Times New Roman" w:eastAsia="Calibri" w:hAnsi="Times New Roman" w:cs="Times New Roman"/>
          <w:sz w:val="28"/>
          <w:szCs w:val="28"/>
          <w:lang w:eastAsia="ru-RU"/>
        </w:rPr>
        <w:t>поставка, установка и монтаж ФАП и врачебных амбулаторий в рамках программы «Модернизация первичного звена» – 355 572,4 тыс. рублей (нарушение подрядными организациями сроков исполнения контрактов);</w:t>
      </w:r>
    </w:p>
    <w:p w14:paraId="026825FE" w14:textId="77777777" w:rsidR="007A77E7" w:rsidRPr="007A77E7" w:rsidRDefault="007A77E7" w:rsidP="007A77E7">
      <w:pPr>
        <w:spacing w:after="0" w:line="240" w:lineRule="auto"/>
        <w:ind w:firstLine="709"/>
        <w:jc w:val="both"/>
        <w:outlineLvl w:val="2"/>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w:t>
      </w:r>
      <w:r w:rsidRPr="007A77E7">
        <w:rPr>
          <w:rFonts w:ascii="Times New Roman" w:eastAsia="Times New Roman" w:hAnsi="Times New Roman" w:cs="Times New Roman"/>
          <w:color w:val="000000"/>
          <w:sz w:val="28"/>
          <w:szCs w:val="28"/>
          <w:lang w:eastAsia="ru-RU"/>
        </w:rPr>
        <w:t xml:space="preserve">поставка оборудования в рамках регионального проекта «Создание единого цифрового контура здравоохранения на основе единой государственной информационной системы в сфере здравоохранения (ЕГИСЗ)» – 124 673,4 </w:t>
      </w:r>
      <w:r w:rsidRPr="007A77E7">
        <w:rPr>
          <w:rFonts w:ascii="Times New Roman" w:eastAsia="Calibri" w:hAnsi="Times New Roman" w:cs="Times New Roman"/>
          <w:sz w:val="28"/>
          <w:szCs w:val="28"/>
          <w:lang w:eastAsia="ru-RU"/>
        </w:rPr>
        <w:t>тыс. рублей (нарушение подрядными организациями сроков исполнения контрактов);</w:t>
      </w:r>
      <w:r w:rsidRPr="007A77E7">
        <w:rPr>
          <w:rFonts w:ascii="Times New Roman" w:eastAsia="Times New Roman" w:hAnsi="Times New Roman" w:cs="Times New Roman"/>
          <w:color w:val="000000"/>
          <w:sz w:val="28"/>
          <w:szCs w:val="28"/>
          <w:lang w:eastAsia="ru-RU"/>
        </w:rPr>
        <w:t xml:space="preserve"> </w:t>
      </w:r>
    </w:p>
    <w:p w14:paraId="70862AC8"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color w:val="000000"/>
          <w:sz w:val="28"/>
          <w:szCs w:val="28"/>
          <w:lang w:eastAsia="ru-RU"/>
        </w:rPr>
        <w:t xml:space="preserve">- поставка оборудования в рамках государственной </w:t>
      </w:r>
      <w:r w:rsidRPr="007A77E7">
        <w:rPr>
          <w:rFonts w:ascii="Times New Roman" w:eastAsia="Calibri" w:hAnsi="Times New Roman" w:cs="Times New Roman"/>
          <w:sz w:val="28"/>
          <w:szCs w:val="28"/>
          <w:lang w:eastAsia="ru-RU"/>
        </w:rPr>
        <w:t>программы «Развитие здравоохранения в Республике Дагестан»</w:t>
      </w:r>
      <w:r w:rsidRPr="007A77E7">
        <w:rPr>
          <w:rFonts w:ascii="Times New Roman" w:eastAsia="Times New Roman" w:hAnsi="Times New Roman" w:cs="Times New Roman"/>
          <w:color w:val="000000"/>
          <w:sz w:val="28"/>
          <w:szCs w:val="28"/>
          <w:lang w:eastAsia="ru-RU"/>
        </w:rPr>
        <w:t xml:space="preserve"> (концентраторы кислорода) – 111 300,0 </w:t>
      </w:r>
      <w:r w:rsidRPr="007A77E7">
        <w:rPr>
          <w:rFonts w:ascii="Times New Roman" w:eastAsia="Calibri" w:hAnsi="Times New Roman" w:cs="Times New Roman"/>
          <w:sz w:val="28"/>
          <w:szCs w:val="28"/>
          <w:lang w:eastAsia="ru-RU"/>
        </w:rPr>
        <w:t xml:space="preserve">тыс. рублей (несвоевременное заключение контракта в связи с поздним доведением лимитов бюджетных обязательств); </w:t>
      </w:r>
    </w:p>
    <w:p w14:paraId="66242C9F"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Calibri" w:hAnsi="Times New Roman" w:cs="Times New Roman"/>
          <w:sz w:val="28"/>
          <w:szCs w:val="28"/>
          <w:lang w:eastAsia="ru-RU"/>
        </w:rPr>
        <w:t>- поставка медицинского оборудования для оснащения медицинских организаций и прочее – 29 903,7 тыс. рублей (отсутствие актов ввода в эксплуатацию);</w:t>
      </w:r>
    </w:p>
    <w:p w14:paraId="14D0CB2C"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w:t>
      </w:r>
      <w:r w:rsidRPr="007A77E7">
        <w:rPr>
          <w:rFonts w:ascii="Times New Roman" w:eastAsia="Calibri" w:hAnsi="Times New Roman" w:cs="Times New Roman"/>
          <w:sz w:val="28"/>
          <w:szCs w:val="28"/>
          <w:lang w:eastAsia="ru-RU"/>
        </w:rPr>
        <w:t>приобретение лекарственных препаратов – 17 345,2 тыс. рублей (нарушение подрядными организациями сроков исполнения контрактов);</w:t>
      </w:r>
    </w:p>
    <w:p w14:paraId="290F10AE"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Calibri" w:hAnsi="Times New Roman" w:cs="Times New Roman"/>
          <w:sz w:val="28"/>
          <w:szCs w:val="28"/>
          <w:lang w:eastAsia="ru-RU"/>
        </w:rPr>
        <w:t>- проведение мероприятий по дезинфекции очагов заражения – 26 103,0 тыс. рублей (оплата по факту выполненных работ в соответствии с поданными заявками);</w:t>
      </w:r>
    </w:p>
    <w:p w14:paraId="41FFB7CE"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Calibri" w:hAnsi="Times New Roman" w:cs="Times New Roman"/>
          <w:sz w:val="28"/>
          <w:szCs w:val="28"/>
          <w:lang w:eastAsia="ru-RU"/>
        </w:rPr>
        <w:t>- остаток средств на счетах подведомственных учреждений, потребность в которых отсутствует – 915,1 тыс. рублей;</w:t>
      </w:r>
    </w:p>
    <w:p w14:paraId="0A3B367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возврат субсидии в связи с невыполнением государственного задания </w:t>
      </w:r>
      <w:r w:rsidRPr="007A77E7">
        <w:rPr>
          <w:rFonts w:ascii="Times New Roman" w:eastAsia="Times New Roman" w:hAnsi="Times New Roman" w:cs="Times New Roman"/>
          <w:sz w:val="28"/>
          <w:szCs w:val="28"/>
          <w:lang w:eastAsia="ru-RU"/>
        </w:rPr>
        <w:lastRenderedPageBreak/>
        <w:t>– 115 690,1 тыс. рублей;</w:t>
      </w:r>
    </w:p>
    <w:p w14:paraId="1CA4A0B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не проведение торгов на приобретение лекарственных препаратов в связи с поздним доведением лимитов бюджетных обязательств – 35 533,9 тыс. рублей;</w:t>
      </w:r>
    </w:p>
    <w:p w14:paraId="72B726A8"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экономия по результатам конкурсных процедур – 27 718,0 тыс. рублей;</w:t>
      </w:r>
    </w:p>
    <w:p w14:paraId="7752FD7A"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остаток средств, выделенных на выплату пособий сиротам – 1 954,5 тыс. рублей (отсутствие потребности в средствах);</w:t>
      </w:r>
    </w:p>
    <w:p w14:paraId="45D33AAA"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не освоение средств в связи с незаконченным судебным процессом – 1 000,0 тыс. рублей; </w:t>
      </w:r>
    </w:p>
    <w:p w14:paraId="537E63A6" w14:textId="77777777" w:rsidR="007A77E7" w:rsidRPr="007A77E7" w:rsidRDefault="007A77E7" w:rsidP="007A77E7">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сокращение количество больных, направленных на лечение за пределы Республики Дагестан в связи с карантином в лечебных учреждениях – 9 592,8 тыс. рублей.</w:t>
      </w:r>
    </w:p>
    <w:p w14:paraId="32C1B39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4) </w:t>
      </w:r>
      <w:r w:rsidRPr="007A77E7">
        <w:rPr>
          <w:rFonts w:ascii="Times New Roman" w:eastAsia="Times New Roman" w:hAnsi="Times New Roman" w:cs="Times New Roman"/>
          <w:bCs/>
          <w:sz w:val="28"/>
          <w:szCs w:val="28"/>
          <w:lang w:eastAsia="ru-RU"/>
        </w:rPr>
        <w:t>Министерство экономики и территориального развития Республики Дагестан</w:t>
      </w:r>
      <w:r w:rsidRPr="007A77E7">
        <w:rPr>
          <w:rFonts w:ascii="Times New Roman" w:eastAsia="Times New Roman" w:hAnsi="Times New Roman" w:cs="Times New Roman"/>
          <w:sz w:val="28"/>
          <w:szCs w:val="28"/>
          <w:lang w:eastAsia="ru-RU"/>
        </w:rPr>
        <w:t xml:space="preserve"> – 613,9 млн рублей, или 4,9 % от общего объема остатков, из них: средства федерального бюджета – 265 759,0 тыс. рублей и в разрезе мероприятий сложился следующим образом:</w:t>
      </w:r>
    </w:p>
    <w:p w14:paraId="4C1485D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пособия по социальной помощи населению, предоставление и обеспечение предоставления гражданам субсидий на оплату жилого помещения и коммунальных услуг – 20,8 млн рублей (14,2 млн рублей – экономия средств и 6,6 млн рублей – остаток образовался в связи с невозможностью выплаты инвентаризационной задолженности ввиду отсутствия в делах заявителей действующих банковских реквизитов);</w:t>
      </w:r>
    </w:p>
    <w:p w14:paraId="4A5F9A5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создание объектов социального и производственного комплекса (в рамках РИП, резервные средства) – остаток лимитов бюджетных обязательств – 212,5 млн рублей. Использование средств осуществляется по отдельным распоряжениям Правительства Республики Дагестан с определением конкретных получателей бюджетных средств; </w:t>
      </w:r>
    </w:p>
    <w:p w14:paraId="50AFF00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государственная программа «Социально-экономическое развитие горных территорий Республики Дагестан» – 26,8 млн рублей в связи с тем, что Комиссией было принято решение об отказе в предоставлении субсидий на часть заявок по причине их несоответствия условиям и порядку предоставления субсидий; </w:t>
      </w:r>
    </w:p>
    <w:p w14:paraId="0897941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государственная программа Республики Дагестан «Комплексное территориальное развитие муниципального образования «городской округ «город Дербент» – остаток средств – 545,4 млн рублей (федеральные средства – 265,8 млн рублей), в том числе:</w:t>
      </w:r>
    </w:p>
    <w:p w14:paraId="3A18C02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44,6 млн рублей – экономия средств в ходе заключения соглашений в связи с уточнением стоимостных характеристик мероприятий с учетом утвержденной проектной документации;</w:t>
      </w:r>
    </w:p>
    <w:p w14:paraId="629129F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232,3 млн рублей – нераспределенный объем средств образовался в связи с переносом части значений целевых индикаторов на последующие годы;</w:t>
      </w:r>
    </w:p>
    <w:p w14:paraId="76036AE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268,4 млн рублей – неосвоенный остаток средств на создание новых мест в общеобразовательных организациях в связи с ростом числа обучающихся, </w:t>
      </w:r>
      <w:r w:rsidRPr="007A77E7">
        <w:rPr>
          <w:rFonts w:ascii="Times New Roman" w:eastAsia="Times New Roman" w:hAnsi="Times New Roman" w:cs="Times New Roman"/>
          <w:sz w:val="28"/>
          <w:szCs w:val="28"/>
          <w:lang w:eastAsia="ru-RU"/>
        </w:rPr>
        <w:lastRenderedPageBreak/>
        <w:t xml:space="preserve">вызванным демографическим фактором, том числе по федеральным средствам – 265,8 млн рублей образовался в связи с поздним доведением лимитов и сложностями организационного характера при казначейском исполнении; </w:t>
      </w:r>
    </w:p>
    <w:p w14:paraId="7C290405" w14:textId="64DFE174"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остаток лимитов бюджетных обязательств в размере 46,0 млн рублей – средства резерва на подготовку проектной документации, потребность в которых отпала в результате корректировки госпрограммы </w:t>
      </w:r>
      <w:r w:rsidR="00B45176" w:rsidRPr="007639C4">
        <w:rPr>
          <w:rFonts w:ascii="Times New Roman" w:eastAsia="Times New Roman" w:hAnsi="Times New Roman" w:cs="Times New Roman"/>
          <w:sz w:val="28"/>
          <w:szCs w:val="28"/>
          <w:lang w:eastAsia="ru-RU"/>
        </w:rPr>
        <w:t>Республики Дагестан</w:t>
      </w:r>
      <w:r w:rsidRPr="007A77E7">
        <w:rPr>
          <w:rFonts w:ascii="Times New Roman" w:eastAsia="Times New Roman" w:hAnsi="Times New Roman" w:cs="Times New Roman"/>
          <w:sz w:val="28"/>
          <w:szCs w:val="28"/>
          <w:lang w:eastAsia="ru-RU"/>
        </w:rPr>
        <w:t>.</w:t>
      </w:r>
    </w:p>
    <w:p w14:paraId="4C8C276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5) </w:t>
      </w:r>
      <w:r w:rsidRPr="007A77E7">
        <w:rPr>
          <w:rFonts w:ascii="Times New Roman" w:eastAsia="Times New Roman" w:hAnsi="Times New Roman" w:cs="Times New Roman"/>
          <w:bCs/>
          <w:sz w:val="28"/>
          <w:szCs w:val="28"/>
          <w:lang w:eastAsia="ru-RU"/>
        </w:rPr>
        <w:t>Министерство образования и науки Республики Дагестан</w:t>
      </w:r>
      <w:r w:rsidRPr="007A77E7">
        <w:rPr>
          <w:rFonts w:ascii="Times New Roman" w:eastAsia="Times New Roman" w:hAnsi="Times New Roman" w:cs="Times New Roman"/>
          <w:sz w:val="28"/>
          <w:szCs w:val="28"/>
          <w:lang w:eastAsia="ru-RU"/>
        </w:rPr>
        <w:t xml:space="preserve"> – 539 210,1 тыс. рублей, или 4,3 % от общего объема остатков, из них: средства федерального бюджета – 380 920,3 тыс. рублей, в том числе на реализацию следующих мероприятий:</w:t>
      </w:r>
    </w:p>
    <w:p w14:paraId="37D18B4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 335 345,7 тыс. рублей;</w:t>
      </w:r>
    </w:p>
    <w:p w14:paraId="7CD9780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33 377,7 тыс. рублей;</w:t>
      </w:r>
    </w:p>
    <w:p w14:paraId="3DDEEF8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закупку товаров, работ и услуг (коммунальные услуги, услуги связи, продукты питания для образовательных учреждений) – 40 862,8 тыс. рублей;</w:t>
      </w:r>
    </w:p>
    <w:p w14:paraId="2C97C41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обеспечение социальных выплат (двухразовое питание детей, обучающихся на дому, компенсация части родительской платы за содержание ребенка в детском саду, социальное обеспечение детей-сирот, обучающихся в учреждениях среднего профессионального образования, содержание детей в семьях опекунов (попечителей), приемных семьях) – 36 176,8 тыс. рублей;</w:t>
      </w:r>
    </w:p>
    <w:p w14:paraId="5549989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обеспечение реализации мероприятий федеральных проектов в рамках национального проекта «Образование» – 22 001,1 тыс. рублей;</w:t>
      </w:r>
    </w:p>
    <w:p w14:paraId="036FBF9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организацию проведения детской оздоровительной компании (экономия по итогам проведения компании) – 21 583,7 тыс. рублей;</w:t>
      </w:r>
    </w:p>
    <w:p w14:paraId="7115921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оплату труда работников подведомственных образовательных учреждений – 12 527,4 тыс. рублей;</w:t>
      </w:r>
    </w:p>
    <w:p w14:paraId="639269D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финансовое обеспечение выполнения функций частных образовательных организаций дошкольного и общего образования (отсутствие потребности в связи с уменьшением контингента обучающихся) – 12 057,5 тыс. рублей;</w:t>
      </w:r>
    </w:p>
    <w:p w14:paraId="02F2AC0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оплату услуг интернет-трафика в общеобразовательных учреждениях республики (в связи с расторжением контракта по причине передачи с 1 октября 2021 года функций по обеспечению интернетом Минцифры РД) – 9 368,6 тыс. рублей;</w:t>
      </w:r>
    </w:p>
    <w:p w14:paraId="32BE635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 3 254,9 тыс. рублей;</w:t>
      </w:r>
    </w:p>
    <w:p w14:paraId="4CF6799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предоставление жилых помещений детям-сиротам и детям, оставшимся без попечения родителей, лицам из их числа – 2 673,0 тыс. рублей;</w:t>
      </w:r>
    </w:p>
    <w:p w14:paraId="26A39D6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на осуществление полномочий по надзору и контролю в сфере образования – 758,2 тыс. рублей;</w:t>
      </w:r>
    </w:p>
    <w:p w14:paraId="6DDA427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единовременные пособия при всех формах устройства детей, лишенных родительского попечения, в семью – 481,5 тыс. рублей;</w:t>
      </w:r>
    </w:p>
    <w:p w14:paraId="6933FAE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на прочие расходы, связанные с текущей деятельностью – 8 044,5 тыс. рублей. </w:t>
      </w:r>
    </w:p>
    <w:p w14:paraId="0A2E95D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6) </w:t>
      </w:r>
      <w:r w:rsidRPr="007A77E7">
        <w:rPr>
          <w:rFonts w:ascii="Times New Roman" w:eastAsia="Times New Roman" w:hAnsi="Times New Roman" w:cs="Times New Roman"/>
          <w:bCs/>
          <w:sz w:val="28"/>
          <w:szCs w:val="28"/>
          <w:lang w:eastAsia="ru-RU"/>
        </w:rPr>
        <w:t>Министерство энергетики и жилищно-коммунального хозяйства Республики Дагестан</w:t>
      </w:r>
      <w:r w:rsidRPr="007A77E7">
        <w:rPr>
          <w:rFonts w:ascii="Times New Roman" w:eastAsia="Times New Roman" w:hAnsi="Times New Roman" w:cs="Times New Roman"/>
          <w:sz w:val="28"/>
          <w:szCs w:val="28"/>
          <w:lang w:eastAsia="ru-RU"/>
        </w:rPr>
        <w:t xml:space="preserve"> – 344 586,4 тыс. рублей, или 2,7 % от общего объема остатков, из них: средства федерального бюджета – 7 182,9 тыс. рублей, в том числе:</w:t>
      </w:r>
    </w:p>
    <w:p w14:paraId="38372BF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осуществление первоначального взноса на приобретение в лизинг коммунальной техники в соответствии с распоряжением Правительства Республики Дагестан от 4 октября 2021 года № 363-р – 141 206,0 тыс. рублей;</w:t>
      </w:r>
    </w:p>
    <w:p w14:paraId="379EEB9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сумма заключенных контрактов, исполнение которых предусмотрено в 2022 году – 93 157,76 тыс. рублей (приобретение и монтаж модульных котельных для ГБУ РД «Республиканская клиническая больница» – 52 500,0 тыс. рублей; приобретение и монтаж модульных котельных для ГБУ РД «Детская республиканская клиническая больница им. Н.М. Кураева» – 32 500,0 тыс. рублей; приобретение и монтаж модульных локальных очистных сооружений для ГБУ РД «Хунзахская центральная районная больница» - 3 929,66 тыс. рублей; приобретение и монтаж модульных локальных очистных сооружений для ГБУ РД «Сулейман-Стальская центральная районная больница» – 4 228,1 тыс. рублей);</w:t>
      </w:r>
    </w:p>
    <w:p w14:paraId="66C1BF0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экономия по результатам торгов – 1 492,24 тыс. рублей;</w:t>
      </w:r>
    </w:p>
    <w:p w14:paraId="31CB277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реализацию подпрограммы «Газификация населенных пунктов Республики Дагестан» государственной программы Республики Дагестан «Развитие топливно-энергетического комплекса Республики Дагестан» – 95 275,5 тыс. рублей;</w:t>
      </w:r>
    </w:p>
    <w:p w14:paraId="59B606F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не освоенные средства на разработку проектно-сметной документации по объекту «Модернизация Тарнаирских водопроводных очистных сооружений» – 7 482,42 тыс. рублей, в том числе средства федерального бюджета – 7 103,55 тыс. рублей;</w:t>
      </w:r>
    </w:p>
    <w:p w14:paraId="373588B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Calibri"/>
          <w:color w:val="000000"/>
          <w:sz w:val="28"/>
          <w:szCs w:val="24"/>
          <w:lang w:eastAsia="ru-RU"/>
        </w:rPr>
      </w:pPr>
      <w:r w:rsidRPr="007A77E7">
        <w:rPr>
          <w:rFonts w:ascii="Times New Roman" w:eastAsia="Times New Roman" w:hAnsi="Times New Roman" w:cs="Times New Roman"/>
          <w:sz w:val="28"/>
          <w:szCs w:val="28"/>
          <w:lang w:eastAsia="ru-RU"/>
        </w:rPr>
        <w:t xml:space="preserve">- остаток средств, предусмотренных на выполнение </w:t>
      </w:r>
      <w:r w:rsidRPr="007A77E7">
        <w:rPr>
          <w:rFonts w:ascii="Times New Roman" w:eastAsia="Times New Roman" w:hAnsi="Times New Roman" w:cs="Calibri"/>
          <w:color w:val="000000"/>
          <w:sz w:val="28"/>
          <w:szCs w:val="24"/>
          <w:lang w:eastAsia="ru-RU"/>
        </w:rPr>
        <w:t>на выполнение научно-исследовательской работы по теме: «Схема и программа перспективного развития электроэнергетики Республики Дагестан на 2022-2026 годы» – 103.3 тыс. рублей;</w:t>
      </w:r>
    </w:p>
    <w:p w14:paraId="1BCBD38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Calibri"/>
          <w:color w:val="000000"/>
          <w:sz w:val="28"/>
          <w:szCs w:val="24"/>
          <w:lang w:eastAsia="ru-RU"/>
        </w:rPr>
        <w:t xml:space="preserve">- </w:t>
      </w:r>
      <w:r w:rsidRPr="007A77E7">
        <w:rPr>
          <w:rFonts w:ascii="Times New Roman" w:eastAsia="Times New Roman" w:hAnsi="Times New Roman" w:cs="Times New Roman"/>
          <w:sz w:val="28"/>
          <w:szCs w:val="28"/>
          <w:lang w:eastAsia="ru-RU"/>
        </w:rPr>
        <w:t>остаток средств, предусмотренных на прочую закупку товаров, работ и услуг – 181,5 тыс. рублей;</w:t>
      </w:r>
    </w:p>
    <w:p w14:paraId="757E376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остаток средств, предусмотренных на иные выплаты персоналу учреждений – 276,9 тыс. рублей;</w:t>
      </w:r>
    </w:p>
    <w:p w14:paraId="0620836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остаток средств, предусмотренных на оплату налога на имущество новых объектов газоснабжения, своевременно не переданных на баланс учреждения – 5 104,4 тыс. рублей.</w:t>
      </w:r>
    </w:p>
    <w:p w14:paraId="285E9CC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7) </w:t>
      </w:r>
      <w:r w:rsidRPr="007A77E7">
        <w:rPr>
          <w:rFonts w:ascii="Times New Roman" w:eastAsia="Times New Roman" w:hAnsi="Times New Roman" w:cs="Times New Roman"/>
          <w:bCs/>
          <w:sz w:val="28"/>
          <w:szCs w:val="28"/>
          <w:lang w:eastAsia="ru-RU"/>
        </w:rPr>
        <w:t xml:space="preserve">Министерство земельных и имущественных отношений Республики </w:t>
      </w:r>
      <w:r w:rsidRPr="007A77E7">
        <w:rPr>
          <w:rFonts w:ascii="Times New Roman" w:eastAsia="Times New Roman" w:hAnsi="Times New Roman" w:cs="Times New Roman"/>
          <w:bCs/>
          <w:sz w:val="28"/>
          <w:szCs w:val="28"/>
          <w:lang w:eastAsia="ru-RU"/>
        </w:rPr>
        <w:lastRenderedPageBreak/>
        <w:t>Дагестан</w:t>
      </w:r>
      <w:r w:rsidRPr="007A77E7">
        <w:rPr>
          <w:rFonts w:ascii="Times New Roman" w:eastAsia="Times New Roman" w:hAnsi="Times New Roman" w:cs="Times New Roman"/>
          <w:sz w:val="28"/>
          <w:szCs w:val="28"/>
          <w:lang w:eastAsia="ru-RU"/>
        </w:rPr>
        <w:t xml:space="preserve"> – 264 476,9 тыс. рублей, или 2,3 % от общего объема остатков, в том числе на реализацию следующих мероприятий:</w:t>
      </w:r>
    </w:p>
    <w:p w14:paraId="50B1504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остаток средств, предусмотренных на обеспечение деятельности аппарата Минимущества РД – 516,1 тыс. рублей (иные выплаты персоналу – 96,6 тыс. рублей, прочая закупка товаров, работ и услуг – 91,4 тыс. рублей, исполнение судебных актов – 230,4 тыс. рублей, уплата иных платежей 97,7 тыс. рублей);</w:t>
      </w:r>
    </w:p>
    <w:p w14:paraId="3D610F9A" w14:textId="77777777" w:rsidR="007A77E7" w:rsidRPr="007A77E7" w:rsidRDefault="007A77E7" w:rsidP="007A77E7">
      <w:pPr>
        <w:spacing w:after="0" w:line="240" w:lineRule="auto"/>
        <w:ind w:firstLine="708"/>
        <w:jc w:val="both"/>
        <w:outlineLvl w:val="2"/>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sz w:val="28"/>
          <w:szCs w:val="28"/>
          <w:lang w:eastAsia="ru-RU"/>
        </w:rPr>
        <w:t>-</w:t>
      </w:r>
      <w:r w:rsidRPr="007A77E7">
        <w:rPr>
          <w:rFonts w:ascii="Times New Roman" w:eastAsia="Times New Roman" w:hAnsi="Times New Roman" w:cs="Times New Roman"/>
          <w:color w:val="000000"/>
          <w:sz w:val="28"/>
          <w:szCs w:val="28"/>
          <w:lang w:eastAsia="ru-RU"/>
        </w:rPr>
        <w:t xml:space="preserve"> остаток средств, предусмотренных на реализацию мероприятий, направленных на обеспечение общественного порядка и противодействие преступности – 30,0 тыс. рублей (экономия от проведения торгов);</w:t>
      </w:r>
    </w:p>
    <w:p w14:paraId="4FA06B0D" w14:textId="77777777" w:rsidR="007A77E7" w:rsidRPr="007A77E7" w:rsidRDefault="007A77E7" w:rsidP="007A77E7">
      <w:pPr>
        <w:spacing w:after="0" w:line="240" w:lineRule="auto"/>
        <w:ind w:firstLine="708"/>
        <w:jc w:val="both"/>
        <w:outlineLvl w:val="2"/>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на реализацию мероприятий государственной программы «Управление государственным имуществом Республики Дагестан» – 13 687,2 тыс. рублей (неисполнение государственных контрактов и экономия от проведения торгов);</w:t>
      </w:r>
    </w:p>
    <w:p w14:paraId="58379EF9" w14:textId="77777777" w:rsidR="007A77E7" w:rsidRPr="007A77E7" w:rsidRDefault="007A77E7" w:rsidP="007A77E7">
      <w:pPr>
        <w:spacing w:after="0" w:line="240" w:lineRule="auto"/>
        <w:ind w:firstLine="708"/>
        <w:jc w:val="both"/>
        <w:outlineLvl w:val="2"/>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color w:val="000000"/>
          <w:sz w:val="28"/>
          <w:szCs w:val="28"/>
          <w:lang w:eastAsia="ru-RU"/>
        </w:rPr>
        <w:t>- на реализацию мероприятий государственной программы «Социально-экономическое развитие горных территорий» – 15 000.0 тыс. рублей;</w:t>
      </w:r>
    </w:p>
    <w:p w14:paraId="68DA9AB5" w14:textId="77777777" w:rsidR="007A77E7" w:rsidRPr="007A77E7" w:rsidRDefault="007A77E7" w:rsidP="007A77E7">
      <w:pPr>
        <w:spacing w:after="0" w:line="240" w:lineRule="auto"/>
        <w:ind w:firstLine="708"/>
        <w:jc w:val="both"/>
        <w:outlineLvl w:val="2"/>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sz w:val="28"/>
          <w:szCs w:val="28"/>
          <w:lang w:eastAsia="ru-RU"/>
        </w:rPr>
        <w:t>-</w:t>
      </w:r>
      <w:r w:rsidRPr="007A77E7">
        <w:rPr>
          <w:rFonts w:ascii="Times New Roman" w:eastAsia="Times New Roman" w:hAnsi="Times New Roman" w:cs="Times New Roman"/>
          <w:color w:val="000000"/>
          <w:sz w:val="28"/>
          <w:szCs w:val="28"/>
          <w:lang w:eastAsia="ru-RU"/>
        </w:rPr>
        <w:t xml:space="preserve"> остаток средств, предусмотренных на капитальные вложения в объекты государственной собственности (приобретение газопровода в </w:t>
      </w:r>
      <w:r w:rsidRPr="007A77E7">
        <w:rPr>
          <w:rFonts w:ascii="Times New Roman" w:eastAsia="Times New Roman" w:hAnsi="Times New Roman" w:cs="Times New Roman"/>
          <w:color w:val="000000"/>
          <w:sz w:val="28"/>
          <w:szCs w:val="28"/>
          <w:lang w:eastAsia="ru-RU"/>
        </w:rPr>
        <w:br/>
        <w:t>с. Дагниса – 252 176,0 тыс. рублей, приобретение имущественных комплексов детских садов – 249 000,0 тыс. рублей) – 3 176,0 тыс. рублей;</w:t>
      </w:r>
    </w:p>
    <w:p w14:paraId="256E134F" w14:textId="77777777" w:rsidR="007A77E7" w:rsidRPr="007A77E7" w:rsidRDefault="007A77E7" w:rsidP="007A77E7">
      <w:pPr>
        <w:spacing w:after="0" w:line="240" w:lineRule="auto"/>
        <w:ind w:firstLine="708"/>
        <w:jc w:val="both"/>
        <w:outlineLvl w:val="2"/>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sz w:val="28"/>
          <w:szCs w:val="28"/>
          <w:lang w:eastAsia="ru-RU"/>
        </w:rPr>
        <w:t>-</w:t>
      </w:r>
      <w:r w:rsidRPr="007A77E7">
        <w:rPr>
          <w:rFonts w:ascii="Times New Roman" w:eastAsia="Times New Roman" w:hAnsi="Times New Roman" w:cs="Times New Roman"/>
          <w:color w:val="000000"/>
          <w:sz w:val="28"/>
          <w:szCs w:val="28"/>
          <w:lang w:eastAsia="ru-RU"/>
        </w:rPr>
        <w:t xml:space="preserve"> остаток средств, предусмотренных на страхование сотрудников – 67,6 тыс. рублей;</w:t>
      </w:r>
    </w:p>
    <w:p w14:paraId="0AE7735A" w14:textId="77777777" w:rsidR="007A77E7" w:rsidRPr="007A77E7" w:rsidRDefault="007A77E7" w:rsidP="007A77E7">
      <w:pPr>
        <w:spacing w:after="0" w:line="240" w:lineRule="auto"/>
        <w:ind w:firstLine="708"/>
        <w:jc w:val="both"/>
        <w:outlineLvl w:val="2"/>
        <w:rPr>
          <w:rFonts w:ascii="Times New Roman" w:eastAsia="Times New Roman" w:hAnsi="Times New Roman" w:cs="Times New Roman"/>
          <w:color w:val="000000"/>
          <w:sz w:val="28"/>
          <w:szCs w:val="28"/>
          <w:lang w:eastAsia="ru-RU"/>
        </w:rPr>
      </w:pPr>
      <w:r w:rsidRPr="007A77E7">
        <w:rPr>
          <w:rFonts w:ascii="Times New Roman" w:eastAsia="Times New Roman" w:hAnsi="Times New Roman" w:cs="Times New Roman"/>
          <w:sz w:val="28"/>
          <w:szCs w:val="28"/>
          <w:lang w:eastAsia="ru-RU"/>
        </w:rPr>
        <w:t>-</w:t>
      </w:r>
      <w:r w:rsidRPr="007A77E7">
        <w:rPr>
          <w:rFonts w:ascii="Times New Roman" w:eastAsia="Times New Roman" w:hAnsi="Times New Roman" w:cs="Times New Roman"/>
          <w:color w:val="000000"/>
          <w:sz w:val="28"/>
          <w:szCs w:val="28"/>
          <w:lang w:eastAsia="ru-RU"/>
        </w:rPr>
        <w:t xml:space="preserve"> остаток средств, предусмотренных на иные непрограммные мероприятия (оценка МФЦ) – 3 000,0 тыс. рублей.  </w:t>
      </w:r>
    </w:p>
    <w:p w14:paraId="6C40F94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8) </w:t>
      </w:r>
      <w:r w:rsidRPr="007A77E7">
        <w:rPr>
          <w:rFonts w:ascii="Times New Roman" w:eastAsia="Times New Roman" w:hAnsi="Times New Roman" w:cs="Times New Roman"/>
          <w:bCs/>
          <w:sz w:val="28"/>
          <w:szCs w:val="28"/>
          <w:lang w:eastAsia="ru-RU"/>
        </w:rPr>
        <w:t>Министерство труда и социального развития Республики Дагестан</w:t>
      </w:r>
      <w:r w:rsidRPr="007A77E7">
        <w:rPr>
          <w:rFonts w:ascii="Times New Roman" w:eastAsia="Times New Roman" w:hAnsi="Times New Roman" w:cs="Times New Roman"/>
          <w:sz w:val="28"/>
          <w:szCs w:val="28"/>
          <w:lang w:eastAsia="ru-RU"/>
        </w:rPr>
        <w:t xml:space="preserve"> – 160 458,4 тыс. рублей, или 1,3 % от общего объема остатков, из них: средства федерального бюджета – 105 035,4 тыс. рублей, в том числе на реализацию следующих мероприятий:</w:t>
      </w:r>
    </w:p>
    <w:p w14:paraId="13A7A10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оплату жилищно-коммунальных услуг отдельным категориям граждан – 100 469,6 тыс. рублей;</w:t>
      </w:r>
    </w:p>
    <w:p w14:paraId="20D9AF8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ежемесячные денежные выплаты ветеранам труда – 7 838,1 тыс. рублей;</w:t>
      </w:r>
    </w:p>
    <w:p w14:paraId="5A2EF4E1" w14:textId="77777777" w:rsidR="007A77E7" w:rsidRPr="007A77E7" w:rsidRDefault="007A77E7" w:rsidP="007A77E7">
      <w:pPr>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ежемесячные доплаты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 – 195,1 тыс. рублей;</w:t>
      </w:r>
    </w:p>
    <w:p w14:paraId="56752FBB"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ежемесячные денежные выплаты реабилитированным лицам и лицам, признанным пострадавшими от политических репрессий – 1 182,7 тыс. рублей;</w:t>
      </w:r>
    </w:p>
    <w:p w14:paraId="68B50A86"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ежемесячные денежные выплаты труженикам тыла – 2 261,0 тыс. рублей;</w:t>
      </w:r>
    </w:p>
    <w:p w14:paraId="04619E9C"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ежемесячные денежные выплаты по оплате жилого помещения и коммунальных услуг ветеранам труда – 1 529,8 тыс. рублей;</w:t>
      </w:r>
    </w:p>
    <w:p w14:paraId="300E77AD"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xml:space="preserve">- на ежемесячные денежные выплаты по оплате жилого помещения и </w:t>
      </w:r>
      <w:r w:rsidRPr="007A77E7">
        <w:rPr>
          <w:rFonts w:ascii="Times New Roman" w:eastAsia="Times New Roman" w:hAnsi="Times New Roman" w:cs="Times New Roman"/>
          <w:bCs/>
          <w:sz w:val="28"/>
          <w:szCs w:val="28"/>
          <w:lang w:eastAsia="ru-RU"/>
        </w:rPr>
        <w:lastRenderedPageBreak/>
        <w:t>коммунальных услуг реабилитированным лицам и лицам, признанным пострадавшими от политических репрессий – 351,1 тыс. рублей;</w:t>
      </w:r>
    </w:p>
    <w:p w14:paraId="3611F9BF"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ежемесячные денежные выплаты отдельным категориям граждан, работающим и проживающим в сельской местности и поселках городского типа – 15 238,5 тыс. рублей;</w:t>
      </w:r>
    </w:p>
    <w:p w14:paraId="6AA6DC51"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ежемесячные денежные выплаты по оплате жилого помещения и коммунальных услуг участникам Великой Отечественной войны и приравненным к ним лицам – 1 008,2 тыс. рублей;</w:t>
      </w:r>
    </w:p>
    <w:p w14:paraId="1E5EF7A7"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 1 475,1 тыс. рублей;</w:t>
      </w:r>
    </w:p>
    <w:p w14:paraId="3C4F8E8C"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возмещение затрат, связанных с погребением умерших реабилитированных лиц, а также возмещение расходов по погребению умерших, личность которых не установлена органами внутренних дел в определенные законодательством Российской Федерации сроки, в соответствии с Федеральным законом от 12 января 1996 года № 8-ФЗ «О погребении и похоронном деле» – 977,0 тыс. рублей;</w:t>
      </w:r>
    </w:p>
    <w:p w14:paraId="531C5245"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дополнительное ежемесячное материальное обеспечение граждан за особые заслуги перед Республикой Дагестан – 786,1 тыс. рублей;</w:t>
      </w:r>
    </w:p>
    <w:p w14:paraId="008D10DD"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единовременное пособие в случае гибели (смерти) или причинения вреда здоровью народного дружинника в связи с его участием в охране общественного порядка – 2 080,0 тыс. рублей;</w:t>
      </w:r>
    </w:p>
    <w:p w14:paraId="3ECCA210"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единовременное пособие в случае гибели или получения работником добровольной пожарной охраны и добровольным пожарным увечья, заболевания, приведших к стойкой утрате трудоспособности – 2 256,0 тыс. рублей;</w:t>
      </w:r>
    </w:p>
    <w:p w14:paraId="4B7206FF"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осуществление ежемесячной денежной выплаты по оплате жилого помещения и коммунальных услуг многодетным семьям – 2 776,3 тыс. рублей;</w:t>
      </w:r>
    </w:p>
    <w:p w14:paraId="70833901"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социальные выплаты безработным гражданам в соответствии с Законом Российской Федерации от 19 апреля 1991 года № 1032-1 «О занятости населения в Российской Федерации» – 406,6 тыс. рублей;</w:t>
      </w:r>
    </w:p>
    <w:p w14:paraId="752EC96E"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 1 279,3 тыс. рублей;</w:t>
      </w:r>
    </w:p>
    <w:p w14:paraId="1EF27AB9" w14:textId="77777777" w:rsidR="007A77E7" w:rsidRPr="007A77E7" w:rsidRDefault="007A77E7" w:rsidP="007A77E7">
      <w:pPr>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выплату ежемесячного пособия на ребенка в соответствии с Федеральным законом от 19 мая 1995 года № 81-ФЗ «О государственных пособиях гражданам, имеющим детей» – 5 919,2 тыс. рублей;</w:t>
      </w:r>
    </w:p>
    <w:p w14:paraId="575AC520"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осуществление ежемесячных выплат на детей в возрасте от 3 до 7 лет включительно – 329,9 тыс. рублей;</w:t>
      </w:r>
    </w:p>
    <w:p w14:paraId="50494620"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xml:space="preserve">- на финансовое обеспечение выполнения функций государственных </w:t>
      </w:r>
      <w:r w:rsidRPr="007A77E7">
        <w:rPr>
          <w:rFonts w:ascii="Times New Roman" w:eastAsia="Times New Roman" w:hAnsi="Times New Roman" w:cs="Times New Roman"/>
          <w:bCs/>
          <w:sz w:val="28"/>
          <w:szCs w:val="28"/>
          <w:lang w:eastAsia="ru-RU"/>
        </w:rPr>
        <w:lastRenderedPageBreak/>
        <w:t>органов – 1 652,3 тыс. рублей;</w:t>
      </w:r>
    </w:p>
    <w:p w14:paraId="261409E0"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финансовое обеспечение УСЗН – 3 910,1 тыс. рублей;</w:t>
      </w:r>
    </w:p>
    <w:p w14:paraId="69CB9E74"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обеспечение деятельности (оказание услуг) государственных учреждений – 1 050,4 тыс. рублей;</w:t>
      </w:r>
    </w:p>
    <w:p w14:paraId="438ABE4D"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обязательное государственное страхование государственных гражданских служащих Республики Дагестан – 185,5 тыс. рублей;</w:t>
      </w:r>
    </w:p>
    <w:p w14:paraId="3CB37AF9"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дополнительные меры по улучшению материального обеспечения участников Великой Отечественной войны 1941-1945 годов и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995,4 тыс. рублей;</w:t>
      </w:r>
    </w:p>
    <w:p w14:paraId="4C81649E" w14:textId="77777777" w:rsidR="007A77E7" w:rsidRPr="007A77E7" w:rsidRDefault="007A77E7" w:rsidP="002E57D3">
      <w:pPr>
        <w:widowControl w:val="0"/>
        <w:spacing w:after="0" w:line="240" w:lineRule="auto"/>
        <w:ind w:firstLine="709"/>
        <w:jc w:val="both"/>
        <w:rPr>
          <w:rFonts w:ascii="Times New Roman" w:eastAsia="Times New Roman" w:hAnsi="Times New Roman" w:cs="Times New Roman"/>
          <w:bCs/>
          <w:sz w:val="28"/>
          <w:szCs w:val="28"/>
          <w:lang w:eastAsia="ru-RU"/>
        </w:rPr>
      </w:pPr>
      <w:r w:rsidRPr="007A77E7">
        <w:rPr>
          <w:rFonts w:ascii="Times New Roman" w:eastAsia="Times New Roman" w:hAnsi="Times New Roman" w:cs="Times New Roman"/>
          <w:bCs/>
          <w:sz w:val="28"/>
          <w:szCs w:val="28"/>
          <w:lang w:eastAsia="ru-RU"/>
        </w:rPr>
        <w:t>- на 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социальному обслуживанию населения – 882,3 тыс. рублей.</w:t>
      </w:r>
    </w:p>
    <w:p w14:paraId="1AFDEA27" w14:textId="77777777" w:rsidR="007A77E7" w:rsidRPr="007A77E7" w:rsidRDefault="007A77E7" w:rsidP="002E57D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9) </w:t>
      </w:r>
      <w:r w:rsidRPr="007A77E7">
        <w:rPr>
          <w:rFonts w:ascii="Times New Roman" w:eastAsia="Times New Roman" w:hAnsi="Times New Roman" w:cs="Times New Roman"/>
          <w:bCs/>
          <w:sz w:val="28"/>
          <w:szCs w:val="28"/>
          <w:lang w:eastAsia="ru-RU"/>
        </w:rPr>
        <w:t>Министерства строительства Республики Дагестан</w:t>
      </w:r>
      <w:r w:rsidRPr="007A77E7">
        <w:rPr>
          <w:rFonts w:ascii="Times New Roman" w:eastAsia="Times New Roman" w:hAnsi="Times New Roman" w:cs="Times New Roman"/>
          <w:sz w:val="28"/>
          <w:szCs w:val="28"/>
          <w:lang w:eastAsia="ru-RU"/>
        </w:rPr>
        <w:t xml:space="preserve"> – 125 513,8 тыс. рублей, или 1,0 % от общего объема остатков, из них: средства федерального бюджета – 119 046,9 тыс. рублей, в том числе на реализацию следующих мероприятий:</w:t>
      </w:r>
    </w:p>
    <w:p w14:paraId="1A0C8B19" w14:textId="77777777" w:rsidR="007A77E7" w:rsidRPr="007A77E7" w:rsidRDefault="007A77E7" w:rsidP="002E57D3">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остаток средств, выделенных в рамках мероприятий по обеспечению условий для реализации проектов развития социальной и инженерной инфраструктуры на территории Северо-Кавказского федерального округа государственной программы Российской Федерации «Развитие Северо-Кавказского федерального округа» - 96 076,1 тыс. рублей. В целях устранения замечаний Минстроя России, заказчиками объектов – администрациями муниципальных образований с привлечением специализированных организаций, имеющих соответствующий опыт, проведена работа по пересмотру исходных данных, приведению Схем водоснабжения и водоотведения в соответствие с учетом фактических и перспективных объемов сточных вод, корректировке технических заданий, что явилось причиной поздних заключений государственных контрактов администрациями муниципальных образований и освоению средств в полном объеме;</w:t>
      </w:r>
    </w:p>
    <w:p w14:paraId="6E410902" w14:textId="77777777" w:rsidR="007A77E7" w:rsidRPr="007A77E7" w:rsidRDefault="007A77E7" w:rsidP="002E57D3">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средства, предусмотренные на реализацию строительства очистных сооружений канализации в г. Дербент – 29 111,2 тыс. рублей. Основной причиной не освоения явилась неэффективная работа администрации муниципального образования, выполняющего функции заказчика объекта; </w:t>
      </w:r>
    </w:p>
    <w:p w14:paraId="50038424" w14:textId="77777777" w:rsidR="007A77E7" w:rsidRPr="007A77E7" w:rsidRDefault="007A77E7" w:rsidP="007A77E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средства, предусмотренные на строительство и реконструкцию (модернизацию) объектов питьевого водоснабжения – 120,2 тыс. рублей. Остаток средств образовался в связи с тем, что при уточнении лимитов бюджетных обязательств на 2021 год в рамках данного мероприятия сумма остатка не была возвращена в федеральный бюджет в результате чего лицевом счете Министерства строительства Российской Федерации указанные </w:t>
      </w:r>
      <w:r w:rsidRPr="007A77E7">
        <w:rPr>
          <w:rFonts w:ascii="Times New Roman" w:eastAsia="Times New Roman" w:hAnsi="Times New Roman" w:cs="Times New Roman"/>
          <w:sz w:val="28"/>
          <w:szCs w:val="28"/>
          <w:lang w:eastAsia="ru-RU"/>
        </w:rPr>
        <w:lastRenderedPageBreak/>
        <w:t xml:space="preserve">средства не выявлены, что повлияло на проведение кассового расхода; </w:t>
      </w:r>
    </w:p>
    <w:p w14:paraId="31F14101" w14:textId="77777777" w:rsidR="007A77E7" w:rsidRPr="007A77E7" w:rsidRDefault="007A77E7" w:rsidP="007A77E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28" w:name="_Hlk92955133"/>
      <w:r w:rsidRPr="007A77E7">
        <w:rPr>
          <w:rFonts w:ascii="Times New Roman" w:eastAsia="Times New Roman" w:hAnsi="Times New Roman" w:cs="Times New Roman"/>
          <w:sz w:val="28"/>
          <w:szCs w:val="28"/>
          <w:lang w:eastAsia="ru-RU"/>
        </w:rPr>
        <w:t>- средства, предусмотренные на расходы текущего характера по содержанию аппарата Министерства строительства Республики Дагестан и подведомственного учреждения ГКУ РД «Жилище» – 206,3 тыс. рублей, из которых 115,3 тыс. рублей – экономия по результатам торгов.</w:t>
      </w:r>
      <w:bookmarkEnd w:id="28"/>
      <w:r w:rsidRPr="007A77E7">
        <w:rPr>
          <w:rFonts w:ascii="Times New Roman" w:eastAsia="Times New Roman" w:hAnsi="Times New Roman" w:cs="Times New Roman"/>
          <w:sz w:val="28"/>
          <w:szCs w:val="28"/>
          <w:lang w:eastAsia="ru-RU"/>
        </w:rPr>
        <w:t xml:space="preserve"> </w:t>
      </w:r>
    </w:p>
    <w:p w14:paraId="0F579ABC" w14:textId="77777777" w:rsidR="007A77E7" w:rsidRPr="007A77E7" w:rsidRDefault="007A77E7" w:rsidP="007A77E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 xml:space="preserve">4.2.7. </w:t>
      </w:r>
      <w:r w:rsidRPr="007A77E7">
        <w:rPr>
          <w:rFonts w:ascii="Times New Roman" w:eastAsia="Times New Roman" w:hAnsi="Times New Roman" w:cs="Times New Roman"/>
          <w:sz w:val="28"/>
          <w:szCs w:val="28"/>
          <w:lang w:eastAsia="ru-RU"/>
        </w:rPr>
        <w:t xml:space="preserve">В ходе контрольного мероприятия была проведена проверка главных распорядителей бюджетных средств в части полноты и достоверности бюджетной отчетности, представленной в Министерство финансов Республики Дагестан за 2021 год, по результатам которой установлено следующее. </w:t>
      </w:r>
    </w:p>
    <w:p w14:paraId="2ED7C9D5" w14:textId="77777777" w:rsidR="007A77E7" w:rsidRPr="007A77E7" w:rsidRDefault="007A77E7" w:rsidP="007A77E7">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состав бюджетной отчетности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включаются формы отчетов, утвержденные приказом Министерства финансов Российской Федерации от 28 декабря 2010 г.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(в редакции приказа от 16 декабря 2020 г. № 311н) и приказом Министерства финансов Российской Федерации от 25 марта 2011 г.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(в редакции приказа от 30.06.2020 г. № 127н).</w:t>
      </w:r>
    </w:p>
    <w:p w14:paraId="2766B85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Как показал анализ бюджетной отчетности за 2021 год, представленной главными распорядителями бюджетных средств в Министерство финансов Республики Дагестан, требования приказов Министерства финансов Российской Федерации в основном соблюдаются. Вместе с тем, бюджетная отчетность главными распорядителями представляется не в полном объеме, часть форм, утвержденных вышеназванными приказами, отсутствует. При этом перечень форм отчетности, не включенных в состав бюджетной отчетности за отчетный период, ввиду отсутствия числовых значений показателей, в соответствии с требованиями пункта 8 Инструкции в пояснительной записке отсутствует.</w:t>
      </w:r>
    </w:p>
    <w:p w14:paraId="2AB996E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Приведенные в отчетах об исполнении бюджета главного распорядителя, распорядителя, получателя бюджетных средств (ф. 0503127) показатели по графе 4 «Утвержденные бюджетные назначения», графе 5 «Лимиты бюджетных обязательств» соответствуют показателям уточненной бюджетной росписи на 2021 год, а также доведенным Министерством финансов Республики Дагестан лимитам бюджетных обязательств. Кассовые выплаты за 2020 год соответствуют данным отчета УФК по РД о состоянии лицевых счетов главных распорядителей бюджетных средств. </w:t>
      </w:r>
    </w:p>
    <w:p w14:paraId="2CDFCEFA" w14:textId="78269DDD" w:rsid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C831953" w14:textId="77777777" w:rsidR="002E57D3" w:rsidRPr="007A77E7" w:rsidRDefault="002E57D3"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DF9460D" w14:textId="4B3F1C50" w:rsid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r w:rsidRPr="007A77E7">
        <w:rPr>
          <w:rFonts w:ascii="Times New Roman" w:eastAsia="Times New Roman" w:hAnsi="Times New Roman" w:cs="Times New Roman"/>
          <w:b/>
          <w:bCs/>
          <w:color w:val="002060"/>
          <w:sz w:val="28"/>
          <w:szCs w:val="28"/>
          <w:lang w:eastAsia="ru-RU"/>
        </w:rPr>
        <w:lastRenderedPageBreak/>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Исполнение расходов республиканского бюджета Республики Дагестан в разрезе разделов и подразделов классификации расходов.</w:t>
      </w:r>
    </w:p>
    <w:p w14:paraId="4F2DFABC" w14:textId="77777777" w:rsidR="007C1F98" w:rsidRPr="007A77E7" w:rsidRDefault="007C1F98" w:rsidP="007A77E7">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2060"/>
          <w:sz w:val="28"/>
          <w:szCs w:val="28"/>
          <w:lang w:eastAsia="ru-RU"/>
        </w:rPr>
      </w:pPr>
    </w:p>
    <w:p w14:paraId="0F014461" w14:textId="61A996E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.1. </w:t>
      </w:r>
      <w:r w:rsidRPr="007A77E7">
        <w:rPr>
          <w:rFonts w:ascii="Times New Roman" w:eastAsia="Times New Roman" w:hAnsi="Times New Roman" w:cs="Times New Roman"/>
          <w:sz w:val="28"/>
          <w:szCs w:val="28"/>
          <w:lang w:eastAsia="ru-RU"/>
        </w:rPr>
        <w:t xml:space="preserve">Расходы по разделу </w:t>
      </w:r>
      <w:r w:rsidRPr="007A77E7">
        <w:rPr>
          <w:rFonts w:ascii="Times New Roman" w:eastAsia="Times New Roman" w:hAnsi="Times New Roman" w:cs="Times New Roman"/>
          <w:b/>
          <w:color w:val="002060"/>
          <w:sz w:val="28"/>
          <w:szCs w:val="28"/>
          <w:lang w:eastAsia="ru-RU"/>
        </w:rPr>
        <w:t xml:space="preserve">0100 «Общегосударственные вопросы» </w:t>
      </w:r>
      <w:r w:rsidRPr="007A77E7">
        <w:rPr>
          <w:rFonts w:ascii="Times New Roman" w:eastAsia="Times New Roman" w:hAnsi="Times New Roman" w:cs="Times New Roman"/>
          <w:sz w:val="28"/>
          <w:szCs w:val="28"/>
          <w:lang w:eastAsia="ru-RU"/>
        </w:rPr>
        <w:t>профинансированы в сумме 4 781 296,7 тыс. рублей, что составляет 97,7 % к утвержденным бюджетным назначениям (4 894 353,2 тыс. рублей)</w:t>
      </w:r>
    </w:p>
    <w:p w14:paraId="3EA9073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Недофинансированы расходы в сумме 113 056,5 тыс. рублей. Кассовое исполнение по данному разделу составляет 4 657 821,5 тыс. рублей, или </w:t>
      </w:r>
      <w:r w:rsidRPr="007A77E7">
        <w:rPr>
          <w:rFonts w:ascii="Times New Roman" w:eastAsia="Times New Roman" w:hAnsi="Times New Roman" w:cs="Times New Roman"/>
          <w:sz w:val="28"/>
          <w:szCs w:val="28"/>
          <w:lang w:eastAsia="ru-RU"/>
        </w:rPr>
        <w:br/>
        <w:t xml:space="preserve">97,4 % к объему профинансированных расходов, не исполнены назначения в сумме 123 475,2 тыс. рублей. </w:t>
      </w:r>
    </w:p>
    <w:p w14:paraId="7585C75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0102 «Функционирование высшего должностного лица субъекта Российской Федерации и органа местного самоуправления» расходы профинансированы в сумму 3 359,9 тыс. рублей, или на 100 % к утвержденным бюджетным назначениям. Кассовое исполнение составило 3 262,3 тыс. рублей, или 97,1 % к объему профинансированных расходов. Не исполнены назначения в сумме 97,6 тыс. рублей. </w:t>
      </w:r>
    </w:p>
    <w:p w14:paraId="283DBEC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Расходы по подразделу 0103 «Функционирование законодательных (представительных) органов государственной власти и местного самоуправления» профинансированы в сумме 211 075,6 тыс. рублей, или </w:t>
      </w:r>
      <w:r w:rsidRPr="007A77E7">
        <w:rPr>
          <w:rFonts w:ascii="Times New Roman" w:eastAsia="Times New Roman" w:hAnsi="Times New Roman" w:cs="Times New Roman"/>
          <w:sz w:val="28"/>
          <w:szCs w:val="28"/>
          <w:lang w:eastAsia="ru-RU"/>
        </w:rPr>
        <w:br/>
        <w:t xml:space="preserve">95,2 % к утвержденным бюджетным назначениям (221 678,6 тыс. рублей). Недофинансированы расходы в сумме 10 603,0 тыс. рублей. Кассовое исполнение составило 209 767,8 тыс. рублей, или 99,4 % к объему профинансированных расходов. Не исполнены назначения в сумме 1 307,8 тыс. рублей. </w:t>
      </w:r>
    </w:p>
    <w:p w14:paraId="63CBE41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Расходы по подразделу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профинансированы в сумме 675 400,2 тыс. рублей, или на 100 % к утвержденным бюджетным назначениям. Кассовое исполнение составило 637 969,3 тыс. рублей, или 94,4 % к объему профинансированных расходов. Не исполнены назначения в сумме 37 430,9 тыс. рублей.</w:t>
      </w:r>
    </w:p>
    <w:p w14:paraId="1FF9B7A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Расходы по подразделу 0105 «Судебная система» профинансированы в сумме 463 914,4 тыс. рублей, или 99,9% к утвержденным бюджетным назначениям (464 226,3 тыс. рублей). Недофинансированы расходы в сумме 311,9 тыс. рублей. Кассовое исполнение составило 457 247,2 тыс. рублей, или 98,6 % к объему профинансированных расходов. Не исполнены назначения в сумме 6 667,2 тыс. рублей. </w:t>
      </w:r>
    </w:p>
    <w:p w14:paraId="4A08043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Расходы по подразделу 0106 «Обеспечение деятельности финансовых, налоговых и таможенных органов и органов финансового (финансово-бюджетного) надзора» профинансированы в сумме 256 191,8 тыс. рублей, или 100 % к утвержденным назначениям. Кассовое исполнение составило 250 840,0 тыс. рублей, или 97,9 % к объему профинансированных расходов. Не исполнены назначения в сумме 5 351,8 тыс. рублей. </w:t>
      </w:r>
    </w:p>
    <w:p w14:paraId="3097B8A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Расходы по подразделу 0107 «Обеспечение проведения выборов и </w:t>
      </w:r>
      <w:r w:rsidRPr="007A77E7">
        <w:rPr>
          <w:rFonts w:ascii="Times New Roman" w:eastAsia="Times New Roman" w:hAnsi="Times New Roman" w:cs="Times New Roman"/>
          <w:sz w:val="28"/>
          <w:szCs w:val="28"/>
          <w:lang w:eastAsia="ru-RU"/>
        </w:rPr>
        <w:lastRenderedPageBreak/>
        <w:t xml:space="preserve">референдумов» профинансированы в сумме 349 232,3 тыс. рублей, или на </w:t>
      </w:r>
      <w:r w:rsidRPr="007A77E7">
        <w:rPr>
          <w:rFonts w:ascii="Times New Roman" w:eastAsia="Times New Roman" w:hAnsi="Times New Roman" w:cs="Times New Roman"/>
          <w:sz w:val="28"/>
          <w:szCs w:val="28"/>
          <w:lang w:eastAsia="ru-RU"/>
        </w:rPr>
        <w:br/>
        <w:t xml:space="preserve">100 % к утвержденным назначениям. Кассовое исполнение составило 348 611,6 тыс. рублей, или 99,8 % к объему профинансированных расходов. Не исполнены назначения в сумме 620,7 тыс. рублей. </w:t>
      </w:r>
    </w:p>
    <w:p w14:paraId="4793E1B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Расходы по подразделу 0111 «Резервные фонды» первоначально были утверждены в сумме 2 200 000,0 тыс. рублей, в том числе:</w:t>
      </w:r>
    </w:p>
    <w:p w14:paraId="0F471DC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резервный фонд Правительства Республики Дагестан – 100 000,0 тыс. рублей;</w:t>
      </w:r>
    </w:p>
    <w:p w14:paraId="364DE4C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резервный фонд Правительства Республики Дагестан по предупреждению и ликвидации чрезвычайных ситуаций и последствий стихийных бедствий – 100 000,0 тыс. рублей;</w:t>
      </w:r>
    </w:p>
    <w:p w14:paraId="654FB5A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резервный фонд Республики Дагестан – 2 000 000,0 тыс. рублей.</w:t>
      </w:r>
    </w:p>
    <w:p w14:paraId="3DF8F3C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С учетом внесенных изменений уточненной сводной бюджетной росписью объем резервных фондов на 2021 год утвержден в размере 1 142 000,0 тыс. рублей, в том числе:  </w:t>
      </w:r>
    </w:p>
    <w:p w14:paraId="12ACFBE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резервный фонд Правительства Республики Дагестан – 1 042 000,0 тыс. рублей;</w:t>
      </w:r>
    </w:p>
    <w:p w14:paraId="114881E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резервный фонд Правительства Республики Дагестан по предупреждению и ликвидации чрезвычайных ситуаций и последствий стихийных бедствий – 100 000,0 тыс. рублей.</w:t>
      </w:r>
    </w:p>
    <w:p w14:paraId="25ABF1C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Фактически за счет указанных средств в 2021 году осуществлены расходы в общей сумме 1 061 157,4 тыс. рублей, что составляет 92,9 % к утвержденным назначениям, в том числе:</w:t>
      </w:r>
    </w:p>
    <w:p w14:paraId="506732F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за счет резервного фонда Правительства Республики Дагестан – 1 041 641,4 тыс. рублей, или 99,9 % к утвержденным назначениям;</w:t>
      </w:r>
    </w:p>
    <w:p w14:paraId="221BE9A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за счет резервного фонда Правительства Республики Дагестан по предупреждению и ликвидации чрезвычайных ситуаций и последствий стихийных бедствий – 19 516,0 тыс. рублей, или 19,5 % к утвержденным назначениям.</w:t>
      </w:r>
    </w:p>
    <w:p w14:paraId="23DE978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Остаток неиспользованных средств резервных фондов на 1 января 2022 года составил 80 842,6 тыс. рублей, в том числе:</w:t>
      </w:r>
    </w:p>
    <w:p w14:paraId="2D6838A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резервного фонда Правительства Республики Дагестан – 358,6 тыс. рублей;</w:t>
      </w:r>
    </w:p>
    <w:p w14:paraId="1251A53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резервного фонда Правительства Республики Дагестан по предупреждению и ликвидации чрезвычайных ситуаций и последствий стихийных бедствий – 80 484,0 тыс. рублей. </w:t>
      </w:r>
    </w:p>
    <w:p w14:paraId="613B632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bookmarkStart w:id="29" w:name="OLE_LINK1"/>
      <w:bookmarkStart w:id="30" w:name="OLE_LINK2"/>
      <w:r w:rsidRPr="007A77E7">
        <w:rPr>
          <w:rFonts w:ascii="Times New Roman" w:eastAsia="Times New Roman" w:hAnsi="Times New Roman" w:cs="Times New Roman"/>
          <w:spacing w:val="-1"/>
          <w:sz w:val="28"/>
          <w:szCs w:val="28"/>
          <w:lang w:eastAsia="ru-RU"/>
        </w:rPr>
        <w:t xml:space="preserve">Анализ расходования средств резервных фондов показал, что в 2021 году основной объем выделенных средств </w:t>
      </w:r>
      <w:r w:rsidRPr="007A77E7">
        <w:rPr>
          <w:rFonts w:ascii="Times New Roman" w:eastAsia="Times New Roman" w:hAnsi="Times New Roman" w:cs="Times New Roman"/>
          <w:spacing w:val="2"/>
          <w:sz w:val="28"/>
          <w:szCs w:val="28"/>
          <w:lang w:eastAsia="ru-RU"/>
        </w:rPr>
        <w:t>направлен на:</w:t>
      </w:r>
    </w:p>
    <w:p w14:paraId="3E57AFE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pacing w:val="2"/>
          <w:sz w:val="28"/>
          <w:szCs w:val="28"/>
          <w:lang w:eastAsia="ru-RU"/>
        </w:rPr>
        <w:t xml:space="preserve">- </w:t>
      </w:r>
      <w:r w:rsidRPr="007A77E7">
        <w:rPr>
          <w:rFonts w:ascii="Times New Roman" w:eastAsia="Times New Roman" w:hAnsi="Times New Roman" w:cs="Times New Roman"/>
          <w:sz w:val="28"/>
          <w:szCs w:val="28"/>
          <w:lang w:eastAsia="ru-RU"/>
        </w:rPr>
        <w:t>реализацию мер, направленных на предотвращение распространения новой коронавирусной инфекции – 172 184,3 тыс. рублей;</w:t>
      </w:r>
    </w:p>
    <w:p w14:paraId="4503F78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закупку</w:t>
      </w:r>
      <w:r w:rsidRPr="007A77E7">
        <w:rPr>
          <w:rFonts w:ascii="Times New Roman" w:eastAsia="Times New Roman" w:hAnsi="Times New Roman" w:cs="Times New Roman"/>
          <w:spacing w:val="2"/>
          <w:sz w:val="28"/>
          <w:szCs w:val="28"/>
          <w:lang w:eastAsia="ru-RU"/>
        </w:rPr>
        <w:t xml:space="preserve"> лекарственных препаратов для предотвращения новой коронавирусной инфекции</w:t>
      </w:r>
      <w:r w:rsidRPr="007A77E7">
        <w:rPr>
          <w:rFonts w:ascii="Times New Roman" w:eastAsia="Times New Roman" w:hAnsi="Times New Roman" w:cs="Times New Roman"/>
          <w:sz w:val="28"/>
          <w:szCs w:val="28"/>
          <w:lang w:eastAsia="ru-RU"/>
        </w:rPr>
        <w:t xml:space="preserve"> – 123 445,5 тыс. рублей;</w:t>
      </w:r>
    </w:p>
    <w:p w14:paraId="443AC76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дополнительные выплаты стимулирующего характера работникам медицинских учреждений – 204 721,5 тыс. рублей;</w:t>
      </w:r>
    </w:p>
    <w:p w14:paraId="1DFFEB4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проведение работ по дезинфекции в очагах новой коронавирусной инфекции – 135 391,2 тыс. рублей;</w:t>
      </w:r>
    </w:p>
    <w:p w14:paraId="7DF27D4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обеспечение социальных выплат детям от 3-х до 7 лет – 38 326,7 тыс. рублей;</w:t>
      </w:r>
    </w:p>
    <w:p w14:paraId="5ABCEF3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ликвидацию последствий пожара – 19 516,0 тыс. рублей;</w:t>
      </w:r>
    </w:p>
    <w:p w14:paraId="1D3337C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предоставление субсидии АО «Корпорация развития Дагестана» – 250 000,0 тыс. рублей. </w:t>
      </w:r>
      <w:bookmarkEnd w:id="29"/>
      <w:bookmarkEnd w:id="30"/>
    </w:p>
    <w:p w14:paraId="50F08D3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Расходы по подразделу 0112 «Прикладные научные исследования в области общегосударственных вопросов» профинансированы и исполнены в сумме 25 311,2 тыс. рублей, или на 100 % к утвержденным назначениям. </w:t>
      </w:r>
    </w:p>
    <w:p w14:paraId="376727D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указанному подразделу по виду расходов 611 «Субсидии бюджетным учреждениям на финансовое обеспечение государственного задания на оказание государственных услуг» Министерством образования и науки Республики Дагестан профинансированы расходы ГБУ РД «Дагестанский научно-исследовательский институт педагогики им. А.А. Тахо-Годи».</w:t>
      </w:r>
    </w:p>
    <w:p w14:paraId="0B7126C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Расходы по подразделу 0113 «Другие общегосударственные вопросы» профинансированы в сумме 2 796 811,3 тыс. рублей, или на 99,2 % к утвержденным назначениям (2 818 110,3 тыс. рублей). Недофинансированы расходы в сумме 21 299,0 тыс. рублей. Кассовое исполнение составило 2 198 585,9 тыс. рублей, или 97,4 % к объему профинансированных расходов. Не исполнены назначения в сумме 71 999,1 тыс. рублей. </w:t>
      </w:r>
    </w:p>
    <w:p w14:paraId="0EEA2DF7" w14:textId="3F960B86"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.2.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 xml:space="preserve">0200 «Национальная оборона» </w:t>
      </w:r>
      <w:r w:rsidRPr="007A77E7">
        <w:rPr>
          <w:rFonts w:ascii="Times New Roman" w:eastAsia="Times New Roman" w:hAnsi="Times New Roman" w:cs="Times New Roman"/>
          <w:sz w:val="28"/>
          <w:szCs w:val="28"/>
          <w:lang w:eastAsia="ru-RU"/>
        </w:rPr>
        <w:t>подразделу 0203 «Мобилизационная и вневойсковая подготовка» расходы профинансированы и исполнены в сумме 112 082,4 тыс. рублей, или на 100 %.</w:t>
      </w:r>
    </w:p>
    <w:p w14:paraId="48F205A4" w14:textId="415324B6"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.3. </w:t>
      </w:r>
      <w:r w:rsidRPr="007A77E7">
        <w:rPr>
          <w:rFonts w:ascii="Times New Roman" w:eastAsia="Times New Roman" w:hAnsi="Times New Roman" w:cs="Times New Roman"/>
          <w:bCs/>
          <w:sz w:val="28"/>
          <w:szCs w:val="28"/>
          <w:lang w:eastAsia="ru-RU"/>
        </w:rPr>
        <w:t xml:space="preserve">По разделу </w:t>
      </w:r>
      <w:r w:rsidRPr="007A77E7">
        <w:rPr>
          <w:rFonts w:ascii="Times New Roman" w:eastAsia="Times New Roman" w:hAnsi="Times New Roman" w:cs="Times New Roman"/>
          <w:b/>
          <w:bCs/>
          <w:color w:val="002060"/>
          <w:sz w:val="28"/>
          <w:szCs w:val="28"/>
          <w:lang w:eastAsia="ru-RU"/>
        </w:rPr>
        <w:t xml:space="preserve">0300 «Национальная безопасность и правоохранительная деятельность»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2 296 261,1 тыс. рублей, или на 97,4 % к утвержденным назначениям (2 358 123,6 тыс. рублей). Недофинансированы расходы в сумме 61 862,5 тыс. рублей. Кассовое исполнение составило 2 263 324,2 тыс. рублей, или 98,6 % к объему профинансированных расходов. Не исполнены назначения в сумме 32 936,9 тыс. рублей. </w:t>
      </w:r>
    </w:p>
    <w:p w14:paraId="07CF452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0304 «Органы юстиции»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92 070,8 тыс. рублей, или на 100 % к утвержденным бюджетным назначениям. Кассовое исполнение составило 91 034,7 тыс. рублей, или </w:t>
      </w:r>
      <w:r w:rsidRPr="007A77E7">
        <w:rPr>
          <w:rFonts w:ascii="Times New Roman" w:eastAsia="Times New Roman" w:hAnsi="Times New Roman" w:cs="Times New Roman"/>
          <w:sz w:val="28"/>
          <w:szCs w:val="28"/>
          <w:lang w:eastAsia="ru-RU"/>
        </w:rPr>
        <w:br/>
        <w:t xml:space="preserve">98,9 % к объему профинансированных расходов. Не исполнены назначения в сумме 1 036,1 тыс. рублей. </w:t>
      </w:r>
    </w:p>
    <w:p w14:paraId="359D14E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Cs/>
          <w:sz w:val="28"/>
          <w:szCs w:val="28"/>
          <w:lang w:eastAsia="ru-RU"/>
        </w:rPr>
        <w:t xml:space="preserve">По подразделу 0309 «Защита населения и территории от последствий чрезвычайных ситуаций природного и техногенного характера, гражданская оборона» </w:t>
      </w:r>
      <w:r w:rsidRPr="007A77E7">
        <w:rPr>
          <w:rFonts w:ascii="Times New Roman" w:eastAsia="Times New Roman" w:hAnsi="Times New Roman" w:cs="Times New Roman"/>
          <w:sz w:val="28"/>
          <w:szCs w:val="28"/>
          <w:lang w:eastAsia="ru-RU"/>
        </w:rPr>
        <w:t xml:space="preserve">расходы профинансированы в сумме 214 914,0 тыс. рублей, или на 100 % к утвержденным назначениям. Кассовое исполнение составило 209 559,1 тыс. рублей, или 97,5 % к объему профинансированных расходов. Не исполнены назначения в сумме 5 354,9 тыс. рублей. </w:t>
      </w:r>
    </w:p>
    <w:p w14:paraId="6637C80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Cs/>
          <w:sz w:val="28"/>
          <w:szCs w:val="28"/>
          <w:lang w:eastAsia="ru-RU"/>
        </w:rPr>
        <w:t xml:space="preserve">По подразделу 0310 «Обеспечение пожарной безопасности» расходы </w:t>
      </w:r>
      <w:r w:rsidRPr="007A77E7">
        <w:rPr>
          <w:rFonts w:ascii="Times New Roman" w:eastAsia="Times New Roman" w:hAnsi="Times New Roman" w:cs="Times New Roman"/>
          <w:sz w:val="28"/>
          <w:szCs w:val="28"/>
          <w:lang w:eastAsia="ru-RU"/>
        </w:rPr>
        <w:t xml:space="preserve">профинансированы в сумме 1 171 656,4 тыс. рублей, или на 100 % к </w:t>
      </w:r>
      <w:r w:rsidRPr="007A77E7">
        <w:rPr>
          <w:rFonts w:ascii="Times New Roman" w:eastAsia="Times New Roman" w:hAnsi="Times New Roman" w:cs="Times New Roman"/>
          <w:sz w:val="28"/>
          <w:szCs w:val="28"/>
          <w:lang w:eastAsia="ru-RU"/>
        </w:rPr>
        <w:lastRenderedPageBreak/>
        <w:t xml:space="preserve">утвержденным назначениям. Кассовое исполнение составило 1 149 898,2 тыс. рублей, или 98,1 % к объему профинансированных расходов. Не исполнены назначения в сумме 21 758,2 тыс. рублей. </w:t>
      </w:r>
    </w:p>
    <w:p w14:paraId="05023DF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Cs/>
          <w:sz w:val="28"/>
          <w:szCs w:val="28"/>
          <w:lang w:eastAsia="ru-RU"/>
        </w:rPr>
        <w:t xml:space="preserve">По подразделу 0311 «Миграционная политика» расходы </w:t>
      </w:r>
      <w:r w:rsidRPr="007A77E7">
        <w:rPr>
          <w:rFonts w:ascii="Times New Roman" w:eastAsia="Times New Roman" w:hAnsi="Times New Roman" w:cs="Times New Roman"/>
          <w:sz w:val="28"/>
          <w:szCs w:val="28"/>
          <w:lang w:eastAsia="ru-RU"/>
        </w:rPr>
        <w:t xml:space="preserve">профинансированы в сумме 624,0 тыс. рублей, или на 100 % к утвержденным назначениям. Кассовое исполнение составило 616,6 тыс. рублей, или 98,8 % к объему профинансированных расходов. Не исполнены назначения в сумме </w:t>
      </w:r>
      <w:r w:rsidRPr="007A77E7">
        <w:rPr>
          <w:rFonts w:ascii="Times New Roman" w:eastAsia="Times New Roman" w:hAnsi="Times New Roman" w:cs="Times New Roman"/>
          <w:sz w:val="28"/>
          <w:szCs w:val="28"/>
          <w:lang w:eastAsia="ru-RU"/>
        </w:rPr>
        <w:br/>
        <w:t xml:space="preserve">7,4 тыс. рублей. </w:t>
      </w:r>
    </w:p>
    <w:p w14:paraId="420F084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0314 «Другие вопросы в области национальной безопасности и правоохранительной деятельности» расходы профинансированы в сумме 816 995,9 тыс. рублей, или на 92,9 % к утвержденным назначениям (878 858,4 тыс. рублей). Недофинансированы расходы в сумме 61 862,5 тыс. рублей. Кассовое исполнение составило 812 215,6 тыс. рублей, или 99,4 % к объему профинансированных расходов. Не исполнены назначения в сумме 4 780,3 тыс. рублей. </w:t>
      </w:r>
    </w:p>
    <w:p w14:paraId="55BCD7A4" w14:textId="75344FEE"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.4. </w:t>
      </w:r>
      <w:r w:rsidRPr="007A77E7">
        <w:rPr>
          <w:rFonts w:ascii="Times New Roman" w:eastAsia="Times New Roman" w:hAnsi="Times New Roman" w:cs="Times New Roman"/>
          <w:bCs/>
          <w:sz w:val="28"/>
          <w:szCs w:val="28"/>
          <w:lang w:eastAsia="ru-RU"/>
        </w:rPr>
        <w:t xml:space="preserve">По разделу </w:t>
      </w:r>
      <w:r w:rsidRPr="007A77E7">
        <w:rPr>
          <w:rFonts w:ascii="Times New Roman" w:eastAsia="Times New Roman" w:hAnsi="Times New Roman" w:cs="Times New Roman"/>
          <w:b/>
          <w:bCs/>
          <w:color w:val="002060"/>
          <w:sz w:val="28"/>
          <w:szCs w:val="28"/>
          <w:lang w:eastAsia="ru-RU"/>
        </w:rPr>
        <w:t>0400 «Национальная экономика»</w:t>
      </w:r>
      <w:r w:rsidRPr="007A77E7">
        <w:rPr>
          <w:rFonts w:ascii="Times New Roman" w:eastAsia="Times New Roman" w:hAnsi="Times New Roman" w:cs="Times New Roman"/>
          <w:bCs/>
          <w:color w:val="002060"/>
          <w:sz w:val="28"/>
          <w:szCs w:val="28"/>
          <w:lang w:eastAsia="ru-RU"/>
        </w:rPr>
        <w:t xml:space="preserve">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20 553 750,2 тыс. рублей, или 98,5 % к утвержденным назначениям (20 872 590,4 тыс. рублей). Недофинансированы расходы в сумме 318 840,2 тыс. рублей. Кассовое исполнение составило 18 308 531,2 тыс. рублей, или 89,1 % к объему профинансированных расходов. Не исполнены назначения в сумме 2 245 219,0 тыс. рублей. </w:t>
      </w:r>
    </w:p>
    <w:p w14:paraId="48A99E9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0401 «Общеэкономические вопросы» расходы профинансированы в сумме 402 260,7 тыс. рублей, или на 100 % к утвержденным назначениям. Кассовое исполнение составило 401 010,1 тыс. рублей, или 99,7 % к объему профинансированных расходов. Не исполнены назначения в сумме 1 250,6 тыс. рублей.</w:t>
      </w:r>
    </w:p>
    <w:p w14:paraId="2E361C4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0402 «Топливно-энергетический комплекс» расходы профинансированы в сумме 63 043,7 тыс. рублей, или на 100 % к утвержденным назначениям. Кассовое исполнение составило 62 607,3 тыс. рублей, или 99,3 % к объему профинансированных расходов. Не исполнены назначения в сумме 436,4 тыс. рублей.</w:t>
      </w:r>
    </w:p>
    <w:p w14:paraId="6CE7178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0404 «Воспроизводство минерально-сырьевой базы» расходы профинансированы и исполнены в сумме 2 550,0 тыс. рублей, или на 100 % к утвержденным назначениям. </w:t>
      </w:r>
    </w:p>
    <w:p w14:paraId="787E39B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0405 «Сельское хозяйство и рыболовство» расходы профинансированы в сумме 4 214 645,3 тыс. рублей, или на 100 % к утвержденным назначениям. Кассовое исполнение составило 4 137 230,0 тыс. рублей, или 98,2 % к объему профинансированных расходов. Не исполнены назначения в сумме 77 415,3 тыс. рублей.</w:t>
      </w:r>
    </w:p>
    <w:p w14:paraId="1D78C04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0406 «Водное хозяйство» расходы профинансированы и исполнены в сумме 293 085,8 тыс. рублей, или на 100 % к утвержденным назначениям. </w:t>
      </w:r>
    </w:p>
    <w:p w14:paraId="3C75307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0407 «Лесное хозяйство» расходы профинансированы в сумме 219 762,3 тыс. рублей, или на 100 % к утвержденным назначениям. </w:t>
      </w:r>
      <w:r w:rsidRPr="007A77E7">
        <w:rPr>
          <w:rFonts w:ascii="Times New Roman" w:eastAsia="Times New Roman" w:hAnsi="Times New Roman" w:cs="Times New Roman"/>
          <w:sz w:val="28"/>
          <w:szCs w:val="28"/>
          <w:lang w:eastAsia="ru-RU"/>
        </w:rPr>
        <w:lastRenderedPageBreak/>
        <w:t>Кассовое исполнение составило 218 896,8 тыс. рублей, или 99,6 % к объему профинансированных расходов. Не исполнены назначения в сумме 865,5 тыс. рублей.</w:t>
      </w:r>
    </w:p>
    <w:p w14:paraId="76D0584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0408 «Транспорт» расходы профинансированы в сумме 331 791,7 тыс. рублей, или на 84,6 % к утвержденным назначениям (392 215,8 тыс. рублей). Недофинансированы расходы в сумме 60 424,1 тыс. рублей. Кассовое исполнение составило 190 585,7 тыс. рублей, или 57,4 % к объему профинансированных расходов. Не исполнены назначения в сумме 141 206,0 тыс. рублей.</w:t>
      </w:r>
    </w:p>
    <w:p w14:paraId="31D7BE5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Cs/>
          <w:sz w:val="28"/>
          <w:szCs w:val="28"/>
          <w:lang w:eastAsia="ru-RU"/>
        </w:rPr>
        <w:t>По подразделу 0409 «Дорожное хозяйство (дорожные фонды)»</w:t>
      </w:r>
      <w:r w:rsidRPr="007A77E7">
        <w:rPr>
          <w:rFonts w:ascii="Times New Roman" w:eastAsia="Times New Roman" w:hAnsi="Times New Roman" w:cs="Times New Roman"/>
          <w:b/>
          <w:bCs/>
          <w:sz w:val="28"/>
          <w:szCs w:val="28"/>
          <w:lang w:eastAsia="ru-RU"/>
        </w:rPr>
        <w:t xml:space="preserve"> </w:t>
      </w:r>
      <w:r w:rsidRPr="007A77E7">
        <w:rPr>
          <w:rFonts w:ascii="Times New Roman" w:eastAsia="Times New Roman" w:hAnsi="Times New Roman" w:cs="Times New Roman"/>
          <w:bCs/>
          <w:sz w:val="28"/>
          <w:szCs w:val="28"/>
          <w:lang w:eastAsia="ru-RU"/>
        </w:rPr>
        <w:t>расходы</w:t>
      </w:r>
      <w:r w:rsidRPr="007A77E7">
        <w:rPr>
          <w:rFonts w:ascii="Times New Roman" w:eastAsia="Times New Roman" w:hAnsi="Times New Roman" w:cs="Times New Roman"/>
          <w:sz w:val="28"/>
          <w:szCs w:val="28"/>
          <w:lang w:eastAsia="ru-RU"/>
        </w:rPr>
        <w:t xml:space="preserve"> </w:t>
      </w:r>
      <w:r w:rsidRPr="007A77E7">
        <w:rPr>
          <w:rFonts w:ascii="Times New Roman" w:eastAsia="Times New Roman" w:hAnsi="Times New Roman" w:cs="Times New Roman"/>
          <w:bCs/>
          <w:sz w:val="28"/>
          <w:szCs w:val="28"/>
          <w:lang w:eastAsia="ru-RU"/>
        </w:rPr>
        <w:t xml:space="preserve">про финансированы в сумме 13 054 398,8 </w:t>
      </w:r>
      <w:r w:rsidRPr="007A77E7">
        <w:rPr>
          <w:rFonts w:ascii="Times New Roman" w:eastAsia="Times New Roman" w:hAnsi="Times New Roman" w:cs="Times New Roman"/>
          <w:sz w:val="28"/>
          <w:szCs w:val="28"/>
          <w:lang w:eastAsia="ru-RU"/>
        </w:rPr>
        <w:t xml:space="preserve">тыс. рублей, или на 100 % к утвержденным назначениям. </w:t>
      </w:r>
      <w:r w:rsidRPr="007A77E7">
        <w:rPr>
          <w:rFonts w:ascii="Times New Roman" w:eastAsia="Times New Roman" w:hAnsi="Times New Roman" w:cs="Times New Roman"/>
          <w:bCs/>
          <w:sz w:val="28"/>
          <w:szCs w:val="28"/>
          <w:lang w:eastAsia="ru-RU"/>
        </w:rPr>
        <w:t>Кассовое</w:t>
      </w:r>
      <w:r w:rsidRPr="007A77E7">
        <w:rPr>
          <w:rFonts w:ascii="Times New Roman" w:eastAsia="Times New Roman" w:hAnsi="Times New Roman" w:cs="Times New Roman"/>
          <w:sz w:val="28"/>
          <w:szCs w:val="28"/>
          <w:lang w:eastAsia="ru-RU"/>
        </w:rPr>
        <w:t xml:space="preserve"> исполнение составило 11 267 478,6 тыс. рублей, или 86,3 % к объему профинансированных расходо</w:t>
      </w:r>
      <w:r w:rsidRPr="007A77E7">
        <w:rPr>
          <w:rFonts w:ascii="Times New Roman" w:eastAsia="Times New Roman" w:hAnsi="Times New Roman" w:cs="Times New Roman"/>
          <w:sz w:val="28"/>
          <w:szCs w:val="28"/>
          <w:shd w:val="clear" w:color="auto" w:fill="FFFFFF"/>
          <w:lang w:eastAsia="ru-RU"/>
        </w:rPr>
        <w:t>в. Н</w:t>
      </w:r>
      <w:r w:rsidRPr="007A77E7">
        <w:rPr>
          <w:rFonts w:ascii="Times New Roman" w:eastAsia="Times New Roman" w:hAnsi="Times New Roman" w:cs="Times New Roman"/>
          <w:sz w:val="28"/>
          <w:szCs w:val="28"/>
          <w:lang w:eastAsia="ru-RU"/>
        </w:rPr>
        <w:t>е исполнены назначения в сумме 1 786 920,2 тыс. рублей.</w:t>
      </w:r>
    </w:p>
    <w:p w14:paraId="3CACDC2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2021 году по подразделу 0409 «Дорожное хозяйство (дорожные фонды)» профинансированы расходы следующих главных распорядителей бюджетных средств:</w:t>
      </w:r>
    </w:p>
    <w:p w14:paraId="4E869CE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7A77E7">
        <w:rPr>
          <w:rFonts w:ascii="Times New Roman" w:eastAsia="Times New Roman" w:hAnsi="Times New Roman" w:cs="Times New Roman"/>
          <w:sz w:val="28"/>
          <w:szCs w:val="28"/>
          <w:lang w:eastAsia="ru-RU"/>
        </w:rPr>
        <w:t xml:space="preserve">- </w:t>
      </w:r>
      <w:r w:rsidRPr="007A77E7">
        <w:rPr>
          <w:rFonts w:ascii="Times New Roman" w:eastAsia="Times New Roman" w:hAnsi="Times New Roman" w:cs="Calibri"/>
          <w:sz w:val="28"/>
          <w:szCs w:val="28"/>
          <w:lang w:eastAsia="ru-RU"/>
        </w:rPr>
        <w:t>Министерство транспорта и дорожного хозяйства Республики Дагестан – в сумме 12 475 559,6 тыс. рублей, или на 100 %, кассовое исполнение составило 10 800 873,5 тыс. рублей, или 86,6 % к объему профинансированных расходов. Неиспользованные остатки средств дорожного фонда в сумме 1 674 686,1 тыс. рублей возвращены в республиканский бюджет Республики Дагестан;</w:t>
      </w:r>
    </w:p>
    <w:p w14:paraId="1D3D665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7A77E7">
        <w:rPr>
          <w:rFonts w:ascii="Times New Roman" w:eastAsia="Times New Roman" w:hAnsi="Times New Roman" w:cs="Calibri"/>
          <w:sz w:val="28"/>
          <w:szCs w:val="28"/>
          <w:lang w:eastAsia="ru-RU"/>
        </w:rPr>
        <w:t>- Министерство экономики и территориального развития Республики Дагестан – в сумме 518 011,9 тыс. рублей, или на 100 %, кассовое исполнение составило 419 111,9 тыс. рублей, или 80,9 % к объему профинансированных расходов. Неиспользованные остатки средств в сумме 98 900,0 тыс. рублей возвращены в республиканский бюджет Республики Дагестан;</w:t>
      </w:r>
    </w:p>
    <w:p w14:paraId="578BE21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Calibri"/>
          <w:sz w:val="28"/>
          <w:szCs w:val="28"/>
          <w:lang w:eastAsia="ru-RU"/>
        </w:rPr>
        <w:t xml:space="preserve">- Управление Правительства Республики Дагестан по капитальному </w:t>
      </w:r>
      <w:r w:rsidRPr="007A77E7">
        <w:rPr>
          <w:rFonts w:ascii="Times New Roman" w:eastAsia="Times New Roman" w:hAnsi="Times New Roman" w:cs="Times New Roman"/>
          <w:sz w:val="28"/>
          <w:szCs w:val="28"/>
          <w:lang w:eastAsia="ru-RU"/>
        </w:rPr>
        <w:t xml:space="preserve">строительству – 20 914,0 тыс. рублей, или на 100 %, кассовое исполнение составило 19 233,2 тыс. рублей, или 92,0 % к объему профинансированных расходов. Неиспользованные остатки средств в сумме 1 680,8 тыс. рублей возвращены в республиканский бюджет </w:t>
      </w:r>
      <w:r w:rsidRPr="007A77E7">
        <w:rPr>
          <w:rFonts w:ascii="Times New Roman" w:eastAsia="Times New Roman" w:hAnsi="Times New Roman" w:cs="Calibri"/>
          <w:sz w:val="28"/>
          <w:szCs w:val="28"/>
          <w:lang w:eastAsia="ru-RU"/>
        </w:rPr>
        <w:t>Республики Дагестан</w:t>
      </w:r>
      <w:r w:rsidRPr="007A77E7">
        <w:rPr>
          <w:rFonts w:ascii="Times New Roman" w:eastAsia="Times New Roman" w:hAnsi="Times New Roman" w:cs="Times New Roman"/>
          <w:sz w:val="28"/>
          <w:szCs w:val="28"/>
          <w:lang w:eastAsia="ru-RU"/>
        </w:rPr>
        <w:t>;</w:t>
      </w:r>
    </w:p>
    <w:p w14:paraId="2C6D2E9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Управление Правительства Республики Дагестан по вопросам переселения лакского населения Новолакского района и восстановление Ауховского района – 39 913,3 тыс. рублей, </w:t>
      </w:r>
      <w:r w:rsidRPr="007A77E7">
        <w:rPr>
          <w:rFonts w:ascii="Times New Roman" w:eastAsia="Times New Roman" w:hAnsi="Times New Roman" w:cs="Calibri"/>
          <w:sz w:val="28"/>
          <w:szCs w:val="28"/>
          <w:lang w:eastAsia="ru-RU"/>
        </w:rPr>
        <w:t xml:space="preserve">или на 100 %, кассовое исполнение составило 28 259,9 тыс. рублей, </w:t>
      </w:r>
      <w:r w:rsidRPr="007A77E7">
        <w:rPr>
          <w:rFonts w:ascii="Times New Roman" w:eastAsia="Times New Roman" w:hAnsi="Times New Roman" w:cs="Times New Roman"/>
          <w:sz w:val="28"/>
          <w:szCs w:val="28"/>
          <w:lang w:eastAsia="ru-RU"/>
        </w:rPr>
        <w:t xml:space="preserve">или 70,8 % к объему профинансированных расходов. Неиспользованные остатки средств в сумме 11 653,4 тыс. рублей возвращены в республиканский бюджет </w:t>
      </w:r>
      <w:r w:rsidRPr="007A77E7">
        <w:rPr>
          <w:rFonts w:ascii="Times New Roman" w:eastAsia="Times New Roman" w:hAnsi="Times New Roman" w:cs="Calibri"/>
          <w:sz w:val="28"/>
          <w:szCs w:val="28"/>
          <w:lang w:eastAsia="ru-RU"/>
        </w:rPr>
        <w:t>Республики Дагестан</w:t>
      </w:r>
      <w:r w:rsidRPr="007A77E7">
        <w:rPr>
          <w:rFonts w:ascii="Times New Roman" w:eastAsia="Times New Roman" w:hAnsi="Times New Roman" w:cs="Times New Roman"/>
          <w:sz w:val="28"/>
          <w:szCs w:val="28"/>
          <w:lang w:eastAsia="ru-RU"/>
        </w:rPr>
        <w:t>.</w:t>
      </w:r>
    </w:p>
    <w:p w14:paraId="73A17DCB" w14:textId="77777777" w:rsidR="007A77E7" w:rsidRPr="007A77E7" w:rsidRDefault="007A77E7" w:rsidP="007A77E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соответствии с постановлением Правительства Республики Дагестан от 29 декабря 2011 года «Об утверждении порядка формирования и использования бюджетных ассигнований дорожного фонда Республики Дагестан» (в редакции Постановления от 9 июля 2018 г. № 80) уполномоченным органом по формированию и использованию бюджетных </w:t>
      </w:r>
      <w:r w:rsidRPr="007A77E7">
        <w:rPr>
          <w:rFonts w:ascii="Times New Roman" w:eastAsia="Times New Roman" w:hAnsi="Times New Roman" w:cs="Times New Roman"/>
          <w:sz w:val="28"/>
          <w:szCs w:val="28"/>
          <w:lang w:eastAsia="ru-RU"/>
        </w:rPr>
        <w:lastRenderedPageBreak/>
        <w:t>ассигнований дорожного фонда Республики Дагестан определено Министерство транспорта и дорожного хозяйства Республики Дагестан.</w:t>
      </w:r>
    </w:p>
    <w:p w14:paraId="1563C94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Статьей 179.4 Бюджетного кодекса Российской Федерации и Законом Республики Дагестан от 1 декабря 2011 года № 77 «О дорожном фонде Республики Дагестан» (в редакции Закона от 6 апреля 2020 года № 23) установлено, что объем бюджетных ассигнований дорожного фонда субъекта Российской Федерации утверждается законом субъекта Российской Федерации о бюджете на очередной финансовый год и плановый период в размере не менее прогнозируемого объема:</w:t>
      </w:r>
    </w:p>
    <w:p w14:paraId="302CD43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доходов бюджета субъекта Российской Федерации от акцизов на автомобильный бензин, прямогонный бензин, дизельное топливо, моторные масла, подлежащих зачислению в бюджет субъекта Российской Федерации;</w:t>
      </w:r>
    </w:p>
    <w:p w14:paraId="42D57F9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доходов бюджета субъекта Российской Федерации от транспортного налога; </w:t>
      </w:r>
    </w:p>
    <w:p w14:paraId="138CC69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доходов бюджета субъекта Российской Федерации от денежных взысканий (штрафов) за нарушение законодательства Российской Федерации о безопасности дорожного движения;</w:t>
      </w:r>
    </w:p>
    <w:p w14:paraId="1AAC00B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межбюджетных трансфертов из федерального бюджета бюджетам субъектов Российской Федерации;</w:t>
      </w:r>
    </w:p>
    <w:p w14:paraId="53A49FE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доходов бюджета субъекта Российской Федерации от иных поступлений в бюджет, утвержденных законом субъекта Российской Федерации, предусматривающим создание дорожного фонда субъекта Российской Федерации.</w:t>
      </w:r>
    </w:p>
    <w:p w14:paraId="6D986EC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Вместе с тем, Законом Республики Дагестан от 28 декабря 2020 года </w:t>
      </w:r>
      <w:r w:rsidRPr="007A77E7">
        <w:rPr>
          <w:rFonts w:ascii="Times New Roman" w:eastAsia="Times New Roman" w:hAnsi="Times New Roman" w:cs="Times New Roman"/>
          <w:sz w:val="28"/>
          <w:szCs w:val="28"/>
          <w:lang w:eastAsia="ru-RU"/>
        </w:rPr>
        <w:br/>
        <w:t xml:space="preserve">№ 103 «О республиканском бюджете Республики Дагестан на 2021 год и на плановый период 2022 и 2023 годов» объем бюджетных ассигнований дорожного фонда Республики Дагестан на 2021 год и на плановый период 2022 и 2023 годов фактически не утвержден. Статьей 8 Закона Республики Дагестан «О республиканском бюджете Республики Дагестан на 2021 год и на плановый период 2022 и 2023 годов» (в уточненной редакции) утверждены мероприятия по государственной поддержке дорожного хозяйства Республики Дагестан на 2021 год (приложение № 18) с объемом финансирования в сумме 12 475 559,6 тыс. рублей, в том числе за счет средств федерального бюджета – 1 969 966,0 тыс. рублей и республиканского бюджета Республики Дагестан – 10 505 593,6 тыс. рублей. </w:t>
      </w:r>
    </w:p>
    <w:p w14:paraId="0BDF027E" w14:textId="77777777" w:rsidR="007A77E7" w:rsidRPr="007A77E7" w:rsidRDefault="007A77E7" w:rsidP="007A77E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Следует также отметить, что Законом Республики Дагестан от </w:t>
      </w:r>
      <w:r w:rsidRPr="007A77E7">
        <w:rPr>
          <w:rFonts w:ascii="Times New Roman" w:eastAsia="Times New Roman" w:hAnsi="Times New Roman" w:cs="Times New Roman"/>
          <w:sz w:val="28"/>
          <w:szCs w:val="28"/>
          <w:lang w:eastAsia="ru-RU"/>
        </w:rPr>
        <w:br/>
        <w:t xml:space="preserve">28 декабря 2020 года № 103 «О республиканском бюджете Республики Дагестан на 2021 год и на плановый период 2022 и 2023 годов» прогнозируемый объем поступлений доходов на 2021 год, учитываемый при формировании дорожного фонда Республики Дагестан, утвержден в сумме 9 349 735,4 тыс. рублей (акцизы – 7 249 906,4 тыс. рублей, транспортный налог – 1 353 120,0 тыс. рублей, штрафы за нарушение законодательства о безопасности дорожного движения – 746 709.0 тыс. рублей), что на 43 364,0 тыс. рублей больше объема доходов, учтенных в приложении № 18 </w:t>
      </w:r>
      <w:r w:rsidRPr="007A77E7">
        <w:rPr>
          <w:rFonts w:ascii="Times New Roman" w:eastAsia="Times New Roman" w:hAnsi="Times New Roman" w:cs="Times New Roman"/>
          <w:sz w:val="28"/>
          <w:szCs w:val="28"/>
          <w:lang w:eastAsia="ru-RU"/>
        </w:rPr>
        <w:lastRenderedPageBreak/>
        <w:t>«Мероприятия по государственной поддержке дорожного хозяйства Республики Дагестан на 2021 год» (9 306 371,4 тыс. рублей). При этом доходная часть дорожного фонда в указанном приложении приведена без расшифровки прогнозируемых поступлений, учитываемых при формировании дорожного фонда.</w:t>
      </w:r>
    </w:p>
    <w:p w14:paraId="056F5DC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Кроме того, в указанном приложении учтены поступления межбюджетных трансфертов из федерального бюджета в объеме 1 969 966,0 тыс. рублей, а также неиспользованные бюджетные ассигнования дорожного фонда на 1 января 2021 года в объеме 1 199 222,2 тыс. рублей,</w:t>
      </w:r>
    </w:p>
    <w:p w14:paraId="1C6DC2D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Таким образом, исходя из прогнозируемого поступления доходов, учитываемых при формировании дорожного фонда, утвержденных в республиканском бюджете Республики Дагестан на 2021 год в сумме 11 319 701.4 тыс. рублей, а также с учетом неполного использования бюджетных ассигнований дорожного фонда на начало 2021 года в сумме 1 199 222,2 тыс. рублей, объем бюджетных ассигнований дорожного фонда Республики Дагестан на 2021 год Министерству транспорта и дорожного хозяйства Республики Дагестан следовало утвердить в сумме 12 518 923,6 тыс. рублей, или больше на 43 364,0 тыс. рублей.</w:t>
      </w:r>
    </w:p>
    <w:p w14:paraId="39D844E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Фактически Министерству транспорта и дорожного хозяйства Республики Дагестан в соответствии с уточненной сводной бюджетной росписью на 2021 год были утверждены и профинансированы расходы за счет средств дорожного фонда Республики Дагестан в сумме 12 475 559,6 тыс. рублей. Кассовые расходы за 2021 год составили 10 800 873,5 тыс. рублей. Остаток неиспользованных средств в сумме 1 674 686,1 тыс. рублей в полном объеме возвращен в республиканский бюджет Республики Дагестан.</w:t>
      </w:r>
    </w:p>
    <w:p w14:paraId="38D88F3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Необходимо также отметить, что в соответствии со статьей 179.4 Бюджетного кодекса Российской Федерации и Законом Республики Дагестан от 1 декабря 2011 года № 77 «О дорожном фонде Республики Дагестан» (в редакции Закона от 6 апреля 2020 года № 23) объем бюджетных ассигнований дорожного фонда субъекта Российской Федерации:</w:t>
      </w:r>
    </w:p>
    <w:p w14:paraId="66F9F788" w14:textId="69EC92EA"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подлежит увеличению в текущем финансовом году и (или) очередном финансовом году на положительную разницу между фактически поступившим и прогнозир</w:t>
      </w:r>
      <w:r w:rsidR="00FD2249">
        <w:rPr>
          <w:rFonts w:ascii="Times New Roman" w:eastAsia="Times New Roman" w:hAnsi="Times New Roman" w:cs="Times New Roman"/>
          <w:sz w:val="28"/>
          <w:szCs w:val="28"/>
          <w:lang w:eastAsia="ru-RU"/>
        </w:rPr>
        <w:t xml:space="preserve">уемым </w:t>
      </w:r>
      <w:r w:rsidRPr="007A77E7">
        <w:rPr>
          <w:rFonts w:ascii="Times New Roman" w:eastAsia="Times New Roman" w:hAnsi="Times New Roman" w:cs="Times New Roman"/>
          <w:sz w:val="28"/>
          <w:szCs w:val="28"/>
          <w:lang w:eastAsia="ru-RU"/>
        </w:rPr>
        <w:t>объем</w:t>
      </w:r>
      <w:r w:rsidR="00FD2249">
        <w:rPr>
          <w:rFonts w:ascii="Times New Roman" w:eastAsia="Times New Roman" w:hAnsi="Times New Roman" w:cs="Times New Roman"/>
          <w:sz w:val="28"/>
          <w:szCs w:val="28"/>
          <w:lang w:eastAsia="ru-RU"/>
        </w:rPr>
        <w:t>ам</w:t>
      </w:r>
      <w:r w:rsidRPr="007A77E7">
        <w:rPr>
          <w:rFonts w:ascii="Times New Roman" w:eastAsia="Times New Roman" w:hAnsi="Times New Roman" w:cs="Times New Roman"/>
          <w:sz w:val="28"/>
          <w:szCs w:val="28"/>
          <w:lang w:eastAsia="ru-RU"/>
        </w:rPr>
        <w:t xml:space="preserve"> доходов бюджета субъекта Российской Федерации, учитывае</w:t>
      </w:r>
      <w:r w:rsidR="00FD2249">
        <w:rPr>
          <w:rFonts w:ascii="Times New Roman" w:eastAsia="Times New Roman" w:hAnsi="Times New Roman" w:cs="Times New Roman"/>
          <w:sz w:val="28"/>
          <w:szCs w:val="28"/>
          <w:lang w:eastAsia="ru-RU"/>
        </w:rPr>
        <w:t>мых</w:t>
      </w:r>
      <w:r w:rsidRPr="007A77E7">
        <w:rPr>
          <w:rFonts w:ascii="Times New Roman" w:eastAsia="Times New Roman" w:hAnsi="Times New Roman" w:cs="Times New Roman"/>
          <w:sz w:val="28"/>
          <w:szCs w:val="28"/>
          <w:lang w:eastAsia="ru-RU"/>
        </w:rPr>
        <w:t xml:space="preserve"> при формировании дорожного фонда субъекта Российской Федерации;</w:t>
      </w:r>
    </w:p>
    <w:p w14:paraId="1E9A071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может быть уменьшен в текущем финансовом году и (или) очередном финансовом году на отрицательную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14:paraId="160F637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Согласно годовому отчету об исполнении республиканского бюджета Республики Дагестан в 2021 году в республиканский бюджет Республики Дагестан фактически поступили доходы, учитываемые при формировании дорожного фонда Республики Дагестан, на общую сумму 11 969 137,8 тыс. </w:t>
      </w:r>
      <w:r w:rsidRPr="007A77E7">
        <w:rPr>
          <w:rFonts w:ascii="Times New Roman" w:eastAsia="Times New Roman" w:hAnsi="Times New Roman" w:cs="Times New Roman"/>
          <w:sz w:val="28"/>
          <w:szCs w:val="28"/>
          <w:lang w:eastAsia="ru-RU"/>
        </w:rPr>
        <w:lastRenderedPageBreak/>
        <w:t>рублей, или на 649 436,4 тыс. рублей больше запланированного объема, в том числе:</w:t>
      </w:r>
    </w:p>
    <w:p w14:paraId="676778B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доходы от акцизов на автомобильный бензин, прямогонный бензин, дизельное топливо, моторные масла, подлежащих зачислению в республиканский бюджет Республики Дагестан – 7 389 182,6 тыс. рублей, или больше на 139 275,8 тыс. рублей;</w:t>
      </w:r>
    </w:p>
    <w:p w14:paraId="078FC07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доходы от транспортного налога – 1 553 829,0 тыс. рублей, или больше на 200 709,0 тыс. рублей; </w:t>
      </w:r>
    </w:p>
    <w:p w14:paraId="30D6FB2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доходы от денежных взысканий (штрафов) за нарушение законодательства Российской Федерации о безопасности дорожного движения – 1 200 087,2 тыс. рублей, или больше на 453 378,2 тыс. рублей;</w:t>
      </w:r>
    </w:p>
    <w:p w14:paraId="426DFF4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межбюджетных трансфертов из федерального бюджета – 1 826 039,0 тыс. рублей, меньше на 143 927,0 тыс. рублей.</w:t>
      </w:r>
    </w:p>
    <w:p w14:paraId="10E7272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С учетом фактических поступлений доходов уточненный объем бюджетных ассигнований дорожного фонда Республики Дагестан на 2021 год составил 13 168 360,0 тыс. рублей. Фактически за счет средств дорожного фонда в 2021 году осуществлены расходы в сумме 10 800 873,5 тыс. рублей.</w:t>
      </w:r>
    </w:p>
    <w:p w14:paraId="0ED5CD4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Таким образом, остаток неиспользованных бюджетных ассигнований дорожного фонда на 1 января 2022 года составляет 2 367 486,5 тыс. рублей. Вместе с тем, последней редакцией Закона Республики Дагестан от 30 апреля 2022 года № 32 «О республиканском бюджета Республики Дагестан на 2022 год и на плановый период 2023 и 2024 годов» при формировании бюджетных ассигнований дорожного фонда на 2022 год учтены неиспользованные бюджетные ассигнования дорожного фонда 2021 года в сумме 2 348 235,6 тыс. рублей, или меньше на 19 250,9 тыс. рублей. </w:t>
      </w:r>
    </w:p>
    <w:p w14:paraId="3B30C28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0410 «Связь и информатика» расходы профинансированы в сумме 354 824,7 тыс. рублей, или на 100 % к утвержденным бюджетным назначениям. Кассовое исполнение составило 199 440,8 тыс. рублей, или 56,2 % к объему профинансированных расходов. Не исполнены назначения в сумме 155 383,9 тыс. рублей.</w:t>
      </w:r>
    </w:p>
    <w:p w14:paraId="58A4B06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Cs/>
          <w:sz w:val="28"/>
          <w:szCs w:val="28"/>
          <w:lang w:eastAsia="ru-RU"/>
        </w:rPr>
        <w:t xml:space="preserve">По подразделу 0412 «Другие вопросы в области национальной экономики» расходы </w:t>
      </w:r>
      <w:r w:rsidRPr="007A77E7">
        <w:rPr>
          <w:rFonts w:ascii="Times New Roman" w:eastAsia="Times New Roman" w:hAnsi="Times New Roman" w:cs="Times New Roman"/>
          <w:sz w:val="28"/>
          <w:szCs w:val="28"/>
          <w:lang w:eastAsia="ru-RU"/>
        </w:rPr>
        <w:t xml:space="preserve">профинансированы в сумме 1 617 387,1 тыс. рублей, или 86,2% к утвержденным бюджетным назначениям (1 875 803,2 тыс. рублей). Недофинансированы расходы в сумме 258 416,1 тыс. рублей. Кассовое исполнение составило 1 535 646,1 тыс. рублей, или 94,9% к объему профинансированных расходов. Не исполнены назначения в сумме 81 741,0 тыс. рублей. </w:t>
      </w:r>
    </w:p>
    <w:p w14:paraId="4110520F" w14:textId="4BA0070E"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.5.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 xml:space="preserve">0500 «Жилищно-коммунальное хозяйство»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7 966 854,9 тыс. рублей, что составляет 99,5 % к утвержденным назначениям (8 006 854,9 тыс. рублей). Недофинансированы расходы в сумме 40 000,0 тыс. рублей. Кассовое исполнение составило 7 217 017,6 тыс. рублей, или 90,6 % к объему профинансированных расходов. Не исполнены назначения в сумме 749 837,3 тыс. рублей. </w:t>
      </w:r>
    </w:p>
    <w:p w14:paraId="2A28DFD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xml:space="preserve">По подразделу 0501 «Жилищное хозяйство»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200 521,3 тыс. рублей, что составляет 83,4 % к утвержденным бюджетным назначениям (240 521,3 тыс. рублей). Недофинансированы расходы в сумме 40 000,0 тыс. рублей. Кассовое исполнение составило 200 400,2 тыс. рублей, или 99,9 % к объему профинансированных расходов. Не исполнены назначения в сумме 121,1 тыс. рублей. </w:t>
      </w:r>
    </w:p>
    <w:p w14:paraId="7D20258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0502 «Коммунальное хозяйство» расходы профинансированы в сумме 3 073 340,0 тыс. рублей, или на 100 % к утвержденным бюджетным назначениям. Кассовое исполнение составило 2 429 110,5 тыс. рублей, или 79,0 % к объему профинансированных расходов. Не исполнены назначения в сумме 644 229,5 тыс. рублей. </w:t>
      </w:r>
    </w:p>
    <w:p w14:paraId="554B9D0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0503 «Благоустройство»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3 146 425,5 тыс. рублей, или на 100 % к утвержденным бюджетным назначениям. Кассовое исполнение составило 3 142 730,2 тыс. рублей, или 99,9 % к объему профинансированных расходов. Не исполнены назначения в сумме 3 695,3 тыс. рублей. </w:t>
      </w:r>
    </w:p>
    <w:p w14:paraId="50D312C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0505 «Другие вопросы в области жилищно-коммунального хозяйства»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1 546 568,1 тыс. рублей, или на 100 % к утвержденным бюджетным назначениям. Кассовое исполнение составило 1 444 776,7 тыс. рублей, или 93,4 % к объему профинансированных расходов. Не исполнены назначения в сумме 101 791,4 тыс. рублей. </w:t>
      </w:r>
    </w:p>
    <w:p w14:paraId="4C84D102" w14:textId="665ABEC4"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.6. </w:t>
      </w:r>
      <w:r w:rsidRPr="007A77E7">
        <w:rPr>
          <w:rFonts w:ascii="Times New Roman" w:eastAsia="Times New Roman" w:hAnsi="Times New Roman" w:cs="Times New Roman"/>
          <w:bCs/>
          <w:sz w:val="28"/>
          <w:szCs w:val="28"/>
          <w:lang w:eastAsia="ru-RU"/>
        </w:rPr>
        <w:t xml:space="preserve">По разделу </w:t>
      </w:r>
      <w:r w:rsidRPr="007A77E7">
        <w:rPr>
          <w:rFonts w:ascii="Times New Roman" w:eastAsia="Times New Roman" w:hAnsi="Times New Roman" w:cs="Times New Roman"/>
          <w:b/>
          <w:bCs/>
          <w:color w:val="002060"/>
          <w:sz w:val="28"/>
          <w:szCs w:val="28"/>
          <w:lang w:eastAsia="ru-RU"/>
        </w:rPr>
        <w:t>0600 «Охрана окружающей среды»</w:t>
      </w:r>
      <w:r w:rsidRPr="007A77E7">
        <w:rPr>
          <w:rFonts w:ascii="Times New Roman" w:eastAsia="Times New Roman" w:hAnsi="Times New Roman" w:cs="Times New Roman"/>
          <w:bCs/>
          <w:color w:val="002060"/>
          <w:sz w:val="28"/>
          <w:szCs w:val="28"/>
          <w:lang w:eastAsia="ru-RU"/>
        </w:rPr>
        <w:t xml:space="preserve">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249 534,7 тыс. рублей, или на 100 % к утвержденным бюджетным назначениям. Кассовое исполнение составило 183 813,6 тыс. рублей, или 73,7 % к объему профинансированных расходов. Не исполнены назначения в сумме 65 721,1 тыс. рублей. </w:t>
      </w:r>
    </w:p>
    <w:p w14:paraId="1E531CB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w:t>
      </w:r>
      <w:r w:rsidRPr="007A77E7">
        <w:rPr>
          <w:rFonts w:ascii="Times New Roman" w:eastAsia="Times New Roman" w:hAnsi="Times New Roman" w:cs="Times New Roman"/>
          <w:bCs/>
          <w:sz w:val="28"/>
          <w:szCs w:val="28"/>
          <w:lang w:eastAsia="ru-RU"/>
        </w:rPr>
        <w:t>подразделу 0603</w:t>
      </w:r>
      <w:r w:rsidRPr="007A77E7">
        <w:rPr>
          <w:rFonts w:ascii="Times New Roman" w:eastAsia="Times New Roman" w:hAnsi="Times New Roman" w:cs="Times New Roman"/>
          <w:sz w:val="28"/>
          <w:szCs w:val="28"/>
          <w:lang w:eastAsia="ru-RU"/>
        </w:rPr>
        <w:t xml:space="preserve"> «Охрана объектов растительного и животного мира и среды их обитания»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140 858,1 тыс. рублей, или на 100 % к утвержденным бюджетным назначениям. Кассовое исполнение составило 75 290,8 тыс. рублей, или 53,5 % к объему профинансированных расходов. Не исполнены назначения в сумме 65 567,3 тыс. рублей. </w:t>
      </w:r>
    </w:p>
    <w:p w14:paraId="7581239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0605 «Другие вопросы в области охраны окружающей среды»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108 676,6 тыс. рублей, или на </w:t>
      </w:r>
      <w:r w:rsidRPr="007A77E7">
        <w:rPr>
          <w:rFonts w:ascii="Times New Roman" w:eastAsia="Times New Roman" w:hAnsi="Times New Roman" w:cs="Times New Roman"/>
          <w:sz w:val="28"/>
          <w:szCs w:val="28"/>
          <w:lang w:eastAsia="ru-RU"/>
        </w:rPr>
        <w:br/>
        <w:t xml:space="preserve">100 % к утвержденным бюджетным назначениям. Кассовое исполнение составило 108 522,8 тыс. рублей, или 99,8% к объему профинансированных расходов. Не исполнены назначения в сумме 153,8 тыс. рублей. </w:t>
      </w:r>
    </w:p>
    <w:p w14:paraId="763E6D61" w14:textId="610ED93A"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.7.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 xml:space="preserve">0700 «Образование»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58 629 138,9 тыс. рублей, что составляет 99,0 % к утвержденным бюджетным назначениям (59 194 515,2 тыс. рублей). Недофинансированы расходы в сумме 565 376,3 тыс. рублей. Кассовое исполнение составило 50 710 404,0 тыс. рублей, или 86,5 % к объему профинансированных расходов. </w:t>
      </w:r>
      <w:r w:rsidRPr="007A77E7">
        <w:rPr>
          <w:rFonts w:ascii="Times New Roman" w:eastAsia="Times New Roman" w:hAnsi="Times New Roman" w:cs="Times New Roman"/>
          <w:sz w:val="28"/>
          <w:szCs w:val="28"/>
          <w:lang w:eastAsia="ru-RU"/>
        </w:rPr>
        <w:lastRenderedPageBreak/>
        <w:t xml:space="preserve">Не исполнены назначения в сумме 7 918 734,9 тыс. рублей. </w:t>
      </w:r>
    </w:p>
    <w:p w14:paraId="53F71E3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0701 «Дошкольное образование» расходы профинансированы в сумме 10 134 950,8 тыс. рублей, что составляет 99,8 % к утвержденным бюджетным назначениям (10 152 211,8 тыс. рублей). Недофинансированы расходы в сумме 17 261,0 тыс. рублей. Кассовое исполнение составило 7 809 594,0 тыс. рублей, или 77,1 % к объему профинансированных расходов. Не исполнены назначения в сумме 2 325 356,8 тыс. рублей.</w:t>
      </w:r>
    </w:p>
    <w:p w14:paraId="4A50220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общем объеме расходов, предусмотренных по указанному подразделу, 5 401 196,0 тыс. рублей, или 53,2 % составляют субвенции на получение общедоступного и бесплатного дошкольного образования в муниципальных дошкольных образовательных организациях. </w:t>
      </w:r>
    </w:p>
    <w:p w14:paraId="7F36BA9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Кассовое исполнение за счет госстандарта дошкольного образования составило 5 383 935,0 тыс. рублей. Остаток неиспользованных средств госстандарта дошкольного образования на 1 января 2022 года составил 17 261,0 тыс. рублей.   </w:t>
      </w:r>
    </w:p>
    <w:p w14:paraId="71A10E5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0702 «Общее образование» расходы профинансированы в сумме 43 465 944,6 тыс. рублей, что составляет 98,8 % к утвержденным бюджетным назначениям (44 012 223,9 тыс. рублей). Недофинансированы расходы в сумме 546 279,3 тыс. рублей. Кассовое исполнение составило 37 918 737,7 тыс. рублей, или 87,2 % к объему профинансированных расходов. Не исполнены назначения в сумме 5 547 206,9 тыс. рублей.</w:t>
      </w:r>
    </w:p>
    <w:p w14:paraId="4AB0179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общем объеме расходов, предусмотренных по указанному подразделу, 24 967 285,0 тыс. рублей, или 56,7 % составляют субвенции на получение общедоступного и бесплатного образования в муниципальных образовательных организациях общего образования. </w:t>
      </w:r>
    </w:p>
    <w:p w14:paraId="6084E82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Кассовое исполнение за счет госстандарта общего образования составило 24 967 285,0 тыс. рублей, или 100 % к утвержденным бюджетным назначениям. </w:t>
      </w:r>
    </w:p>
    <w:p w14:paraId="65CBB94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0703 «Дополнительное образование детей» расходы профинансированы в сумме 923 444,5 тыс. рублей, или на 100 % к утвержденным бюджетным назначениям. Кассовое исполнение составило 904 493,3 тыс. рублей, или 97,9 % к объему профинансированных расходов. Не исполнены назначения в сумме 18 951,2 тыс. рублей. </w:t>
      </w:r>
    </w:p>
    <w:p w14:paraId="5390863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0704 «Среднее профессиональное образование» расходы профинансированы в сумме 2 475 630,6 тыс. рублей, или на 100 % к утвержденным бюджетным назначениям. Кассовое исполнение составило 2 474 704,7 тыс. рублей, или 99,9 % к объему профинансированных расходов. Не исполнены назначения в сумме 925,9 тыс. рублей. </w:t>
      </w:r>
    </w:p>
    <w:p w14:paraId="6A7A554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0705 «Переподготовка и повышение квалификации» расходы профинансированы в сумме 352 291,5 тыс. рублей, или на 100 % к утвержденным бюджетным назначениям. Кассовое исполнение составило 350 818,8 тыс. рублей, или 99,6 % к объему профинансированных расходов. Не исполнены назначения в сумме 1 472,7 тыс. рублей. </w:t>
      </w:r>
    </w:p>
    <w:p w14:paraId="7227834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xml:space="preserve">По подразделу 0706 «Высшее профессиональное образование» расходы профинансированы в сумме 344 920,4 тыс. рублей, или на 100 % к утвержденным бюджетным назначениям. Кассовое исполнение составило 344 770,4 тыс. рублей, или 99,98 % к объему профинансированных расходов. Не исполнены назначения в сумме 50,0 тыс. рублей. </w:t>
      </w:r>
    </w:p>
    <w:p w14:paraId="70E5056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0707 «Молодежная политика и оздоровление детей» расходы профинансированы в сумме 341 333,4 тыс. рублей, или на 100 % к утвержденным бюджетным назначениям. Кассовое исполнение составило 319 749,0 тыс. рублей, или 93,7 % к объему профинансированных расходов. Не исполнены назначения в сумме 21 584,4 тыс. рублей.</w:t>
      </w:r>
    </w:p>
    <w:p w14:paraId="1D0C1D0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0709 «Другие вопросы в области образования»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профинансированы в сумме 590 723,0 тыс. рублей, или на 99,7 % к утвержденным бюджетным назначениям (592 559,0 тыс. рублей). Недофинансированы расходы в сумме 1 836,0 тыс. рублей. Кассовое исполнение составило 587 536,1 тыс. рублей, или 99,5 % к объему профинансированных расходов. Не исполнены назначения в сумме 3 186,9 тыс. рублей.</w:t>
      </w:r>
    </w:p>
    <w:p w14:paraId="74C15CD8" w14:textId="39FF956A"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.8.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 xml:space="preserve">0800 «Культура и кинематография»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профинансированы в сумме 2 366 355,5 тыс. рублей, или на 100 % к утвержденным назначениям. Кассовое исполнение составило 2 310 447,3 тыс. рублей, или 97,6 % к объему профинансированных расходов. Не исполнены назначения в сумме 55 908,2 тыс. рублей.</w:t>
      </w:r>
    </w:p>
    <w:p w14:paraId="3913AE2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0801 «Культура»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профинансированы в сумме 2 253 466,1 тыс. рублей, или на 100 % к утвержденным назначениям. Кассовое исполнение составило 2 198 200,4 тыс. рублей, или 97,5 % к объему профинансированных расходов. Не исполнены назначения в сумме 55 265,7 тыс. рублей.</w:t>
      </w:r>
    </w:p>
    <w:p w14:paraId="430BCB9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0804 «Другие вопросы в области культуры и кинематографии»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профинансированы в сумме 112 889,4 тыс. рублей, или на 100 % к утвержденным назначениям. Кассовое исполнение составило 112 246,9 тыс. рублей, или 99,4 % к объему профинансированных расходов. Не исполнены назначения в сумме 642,5 тыс. рублей.</w:t>
      </w:r>
    </w:p>
    <w:p w14:paraId="368DD152" w14:textId="1F2DA4D9"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465093">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.9.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 xml:space="preserve">0900 «Здравоохранение»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15 653 913,0 тыс. рублей, что составляет 99,2 % к утвержденным назначениям (15 773 915,1 тыс. рублей). Недофинансированы расходы в сумме 120 002,1 тыс. рублей. Кассовое исполнение составило 14 763 947,2 тыс. рублей, или 94,3 % к объему профинансированных расходов. Не исполнены назначения в сумме 889 965,8 тыс. рублей. </w:t>
      </w:r>
    </w:p>
    <w:p w14:paraId="79A4077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0901 «Стационарная медицинская помощь» расходы профинансированы в сумме 3 362 500,2 тыс. рублей, или на 100 % к утвержденным бюджетным назначениям (3 362 501,4 тыс. рублей). Недофинансированы расходы в сумме 1,2 тыс. рублей. Кассовое исполнение составило 3 156 220,5 тыс. рублей, или 93,9% к объему профинансированных расходов. Не исполнены назначения в сумме 206 279,7 тыс. рублей. </w:t>
      </w:r>
    </w:p>
    <w:p w14:paraId="24C011F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xml:space="preserve">По подразделу 0902 «Амбулаторная медицинская помощь» расходы профинансированы в сумме 2 569 892,1 тыс. рублей, или на 100 % к утвержденным назначениям. Кассовое исполнение составило 2 552 254,3 тыс. рублей, или 99,3 % к объему профинансированных расходов. Не исполнены назначения в сумме 17 637,8 тыс. рублей. </w:t>
      </w:r>
    </w:p>
    <w:p w14:paraId="777D019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0903 «Медицинская помощь в дневных стационарах» расходы профинансированы в сумме 25 090,0 тыс. рублей, или на 100 % к утвержденным назначениям. Кассовое исполнение составило 24 714,4 тыс. рублей, или 98,5 % к объему профинансированных расходов. Не исполнены назначения в сумме 375,6 тыс. рублей. </w:t>
      </w:r>
    </w:p>
    <w:p w14:paraId="11B41E0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0904 «Скорая медицинская помощь» расходы профинансированы в сумме 347 093,9 тыс. рублей, или на 100 % к утвержденным назначениям. Кассовое исполнение составило 339 694,9 тыс. рублей, или 97,9 % к объему профинансированных расходов. Не исполнены назначения в сумме 7 399,0 тыс. рублей. </w:t>
      </w:r>
    </w:p>
    <w:p w14:paraId="45F0064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0905 «Санаторно-оздоровительная помощь» расходы профинансированы в сумме 88 836,3 тыс. рублей, или на 100 % к утвержденным назначениям. Кассовое исполнение составило 78 505,8 тыс. рублей, или 88,4 % к объему профинансированных расходов. Не исполнены назначения в сумме 10 330,5 тыс. рублей. </w:t>
      </w:r>
    </w:p>
    <w:p w14:paraId="242D733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0906 «Заготовка, переработка, хранение и обеспечение безопасности донорской крови и ее компонентов» расходы профинансированы и исполнены в сумме 218 454,4 тыс. рублей, или на 100 % к утвержденным назначениям. </w:t>
      </w:r>
    </w:p>
    <w:p w14:paraId="7EA9B8E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0907 «Санитарно-эпидемиологическое благополучие» расходы профинансированы в сумме 23 999,1 тыс. рублей, или на 100 % к утвержденным м назначениям (24 000,0 тыс. рублей). Недофинансированы расходы в сумме 0,9 тыс. рублей. Кассовое исполнение составило 23 998,8 тыс. рублей, или 100 % к объему профинансированных расходов, не исполнены назначения в сумме 0,3 тыс. рублей. </w:t>
      </w:r>
    </w:p>
    <w:p w14:paraId="5027716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0909 «Другие вопросы в области здравоохранения» расходы профинансированы в сумме 9 018 047,0 тыс. рублей, или на 98,7 % к утвержденным назначениям (9 138 047,0 тыс. рублей). Недофинансированы расходы в сумме 120 000,0 тыс. рублей. Кассовое исполнение составило 8 370 104,1 тыс. рублей, или 92,8 % к объему профинансированных расходов. Не исполнены назначения в сумме 647 942,9 тыс. рублей. </w:t>
      </w:r>
    </w:p>
    <w:p w14:paraId="14363D16" w14:textId="3EDE8966"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r w:rsidRPr="007A77E7">
        <w:rPr>
          <w:rFonts w:ascii="Times New Roman" w:eastAsia="Times New Roman" w:hAnsi="Times New Roman" w:cs="Times New Roman"/>
          <w:b/>
          <w:color w:val="002060"/>
          <w:sz w:val="28"/>
          <w:szCs w:val="28"/>
          <w:lang w:eastAsia="ru-RU"/>
        </w:rPr>
        <w:t>4.2.</w:t>
      </w:r>
      <w:r w:rsidR="00465093">
        <w:rPr>
          <w:rFonts w:ascii="Times New Roman" w:eastAsia="Times New Roman" w:hAnsi="Times New Roman" w:cs="Times New Roman"/>
          <w:b/>
          <w:color w:val="002060"/>
          <w:sz w:val="28"/>
          <w:szCs w:val="28"/>
          <w:lang w:eastAsia="ru-RU"/>
        </w:rPr>
        <w:t>3</w:t>
      </w:r>
      <w:r w:rsidRPr="007A77E7">
        <w:rPr>
          <w:rFonts w:ascii="Times New Roman" w:eastAsia="Times New Roman" w:hAnsi="Times New Roman" w:cs="Times New Roman"/>
          <w:b/>
          <w:color w:val="002060"/>
          <w:sz w:val="28"/>
          <w:szCs w:val="28"/>
          <w:lang w:eastAsia="ru-RU"/>
        </w:rPr>
        <w:t>.9.1. Использование бюджетных средств, выделенных на борьбу с новой коронавирусной инфекцией</w:t>
      </w:r>
    </w:p>
    <w:p w14:paraId="7FD21F1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На реализацию мер, направленных на предотвращение распространения новой коронавирусной инфекции на территории Республики Дагестан, в 2021 году было направлено бюджетных средств в общей сумме 4 788 977,3 тыс. рублей, в том числе: 4 137 317,8 тыс. рублей – средства федерального бюджета; 651 659,5 тыс. рублей – средства республиканского бюджета Республики Дагестан.</w:t>
      </w:r>
    </w:p>
    <w:p w14:paraId="3B00056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В 2021 году за счет указанных средств были профинансированы расходы следующих министерств и ведомств:</w:t>
      </w:r>
    </w:p>
    <w:p w14:paraId="0ADD36D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Министерству здравоохранения Республики Дагестан выделено 4 661 428,8 тыс. рублей, в том числе: 4 130 705,1 тыс. рублей – средства федерального бюджета; 530 723,7 тыс. рублей – средства республиканского бюджета Республики Дагестан;</w:t>
      </w:r>
    </w:p>
    <w:p w14:paraId="638D7C7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Министерству по делам гражданской обороны, ЧС и ликвидации последствий стихийных бедствий Республики Дагестан – 120 935,8 тыс. рублей (средства республиканского бюджета Республика Дагестан);</w:t>
      </w:r>
    </w:p>
    <w:p w14:paraId="45ECE16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Министерству труда и социального развития Республики Дагестан – 6 612,7 тыс. рублей (средства федерального бюджета).</w:t>
      </w:r>
    </w:p>
    <w:p w14:paraId="2B9130F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Указанный объем бюджетных ассигнований был направлен на обеспечение следующих основных мероприятий:</w:t>
      </w:r>
    </w:p>
    <w:p w14:paraId="7C11800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осуществление расходов, связанных с оплатой отпусков и компенсаций медицинским работникам, которым предоставлялись выплаты стимулирующего характера за выполнение особо важных работ, особые условия труда и дополнительную нагрузку – 58 958,6 тыс. рублей (средства федерального бюджета);</w:t>
      </w:r>
    </w:p>
    <w:p w14:paraId="46695AC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обеспечение осуществления оплаты отпусков и выплаты компенсации за неиспользованные отпуска работникам стационарных организаций социального обслуживания – 6 612,7 тыс. рублей (средства федерального бюджета);</w:t>
      </w:r>
    </w:p>
    <w:p w14:paraId="52CC035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осуществление выплат стимулирующего характера за дополнительную нагрузку медицинским работникам, участвующим в проведении вакцинации взрослого населения – 289 443,0 тыс. рублей, в том числе: средства федерального бюджета – 204 721,5 тыс. рублей, средства республиканского бюджета Республики Дагестан – 84 721,5 тыс. рублей;</w:t>
      </w:r>
    </w:p>
    <w:p w14:paraId="77A82CC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приобретение лекарственных препаратов – 439 071,6 тыс. рублей, из которых средства федерального бюджета – 219 585,3 тыс. рублей, средства республиканского бюджета Республики Дагестан – 219 486,3 тыс. рублей;</w:t>
      </w:r>
    </w:p>
    <w:p w14:paraId="09CA3C1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приобретение оборудования – 243 642,0 тыс. рублей, в том числе: средства федерального бюджета – 194 126,5 тыс. рублей; средства республиканского бюджета Республики Дагестан – 49 515,5 тыс. рублей;</w:t>
      </w:r>
    </w:p>
    <w:p w14:paraId="2E6FEC9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проведение лабораторного обследования на новую коронавирусную инфекцию – 137 650,0 тыс. рублей (средства республиканского бюджета Республики Дагестан);</w:t>
      </w:r>
    </w:p>
    <w:p w14:paraId="16D4131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на реализацию мер, направленных на предотвращение распространения новой коронавирусной инфекции, в том числе на закупку полуприцепа цистерны транспортной криогенной модификации для перевозки медицинского кислорода и обеспечение расходов по оплате услуг, связанных с содержанием пункта временного размещения иностранных граждан – 120 935,8 тыс. рублей (средства республиканского бюджета Республики Дагестан);</w:t>
      </w:r>
    </w:p>
    <w:p w14:paraId="60EDB9C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на проведение медикаментозной профилактики и проведение работ по </w:t>
      </w:r>
      <w:r w:rsidRPr="007A77E7">
        <w:rPr>
          <w:rFonts w:ascii="Times New Roman" w:eastAsia="Times New Roman" w:hAnsi="Times New Roman" w:cs="Times New Roman"/>
          <w:sz w:val="28"/>
          <w:szCs w:val="28"/>
          <w:lang w:eastAsia="ru-RU"/>
        </w:rPr>
        <w:lastRenderedPageBreak/>
        <w:t>дезинфекции в очагах новой коронавирусной инфекции – 39 350,4 тыс. рублей (средства республиканского бюджета Республики Дагестан);</w:t>
      </w:r>
    </w:p>
    <w:p w14:paraId="1AFC6E9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межбюджетный трансферт бюджету Территориального фонда ОМС РД на дополнительное финансовое обеспечение оказания медицинской помощи, в том числе лицам с заболеваниями и (или) подозрением на заболевание новой коронавирусной инфекцией, а также проведение углубленной диспансеризации лиц, перенесших новую коронавирусной инфекцию, в рамках реализации территориальной программы ОМС – 3 453 313,2 тыс. рублей (средства федерального бюджета).</w:t>
      </w:r>
    </w:p>
    <w:p w14:paraId="612A8CC3" w14:textId="392C6575"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F3645B">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.10.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 xml:space="preserve">1000 «Социальная политика»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55 651 376,2 тыс. рублей, или на 100 % к утвержденным назначениям. Кассовое исполнение составило 55 146 918,2 тыс. рублей, или 99,6 % к объему профинансированных расходов. Не исполнены назначения в сумме 204 458,0 тыс. рублей. </w:t>
      </w:r>
    </w:p>
    <w:p w14:paraId="3866F7B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1001 «Пенсионное обеспечение» расходы профинансированы в сумме 245 014,9 тыс. рублей, или на 100 % к утвержденным назначениям. Кассовое исполнение составило 243 975,8 тыс. рублей, или 99,6 % к объему профинансированных расходов. Не исполнены назначения в сумме 1 039,1 тыс. рублей. </w:t>
      </w:r>
    </w:p>
    <w:p w14:paraId="613B2B3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1002 «Социальное обслуживание населения»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3 420 855,6 тыс. рублей, или на 100 % к утвержденным назначениям. Кассовое исполнение составило 3 418 996,2 тыс. рублей, или 99,9 % к объему профинансированных расходов. Не исполнены назначения в сумме 1 859,4 тыс. рублей. </w:t>
      </w:r>
    </w:p>
    <w:p w14:paraId="35F6764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1003 «Социальное обеспечение населения»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20 633 474,4 тыс. рублей, или на 100 % к утвержденным назначениям. Кассовое исполнение составило 20 469 262,4 тыс. рублей, или 99,2 % к объему профинансированных расходов. Не исполнены назначения в сумме 164 212,0 тыс. рублей. </w:t>
      </w:r>
    </w:p>
    <w:p w14:paraId="4B23BD8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7A77E7">
        <w:rPr>
          <w:rFonts w:ascii="Times New Roman" w:eastAsia="Times New Roman" w:hAnsi="Times New Roman" w:cs="Times New Roman"/>
          <w:sz w:val="28"/>
          <w:szCs w:val="28"/>
          <w:lang w:val="x-none" w:eastAsia="ru-RU"/>
        </w:rPr>
        <w:t xml:space="preserve">По подразделу 1004 «Охрана семьи и детства» </w:t>
      </w:r>
      <w:r w:rsidRPr="007A77E7">
        <w:rPr>
          <w:rFonts w:ascii="Times New Roman" w:eastAsia="Times New Roman" w:hAnsi="Times New Roman" w:cs="Times New Roman"/>
          <w:bCs/>
          <w:sz w:val="28"/>
          <w:szCs w:val="28"/>
          <w:lang w:val="x-none" w:eastAsia="ru-RU"/>
        </w:rPr>
        <w:t xml:space="preserve">расходы </w:t>
      </w:r>
      <w:r w:rsidRPr="007A77E7">
        <w:rPr>
          <w:rFonts w:ascii="Times New Roman" w:eastAsia="Times New Roman" w:hAnsi="Times New Roman" w:cs="Times New Roman"/>
          <w:sz w:val="28"/>
          <w:szCs w:val="28"/>
          <w:lang w:val="x-none" w:eastAsia="ru-RU"/>
        </w:rPr>
        <w:t xml:space="preserve">профинансированы в сумме </w:t>
      </w:r>
      <w:r w:rsidRPr="007A77E7">
        <w:rPr>
          <w:rFonts w:ascii="Times New Roman" w:eastAsia="Times New Roman" w:hAnsi="Times New Roman" w:cs="Times New Roman"/>
          <w:sz w:val="28"/>
          <w:szCs w:val="28"/>
          <w:lang w:eastAsia="ru-RU"/>
        </w:rPr>
        <w:t>29 681 269,7</w:t>
      </w:r>
      <w:r w:rsidRPr="007A77E7">
        <w:rPr>
          <w:rFonts w:ascii="Times New Roman" w:eastAsia="Times New Roman" w:hAnsi="Times New Roman" w:cs="Times New Roman"/>
          <w:sz w:val="28"/>
          <w:szCs w:val="28"/>
          <w:lang w:val="x-none" w:eastAsia="ru-RU"/>
        </w:rPr>
        <w:t xml:space="preserve"> тыс. рублей, </w:t>
      </w:r>
      <w:r w:rsidRPr="007A77E7">
        <w:rPr>
          <w:rFonts w:ascii="Times New Roman" w:eastAsia="Times New Roman" w:hAnsi="Times New Roman" w:cs="Times New Roman"/>
          <w:sz w:val="28"/>
          <w:szCs w:val="28"/>
          <w:lang w:eastAsia="ru-RU"/>
        </w:rPr>
        <w:t>или на</w:t>
      </w:r>
      <w:r w:rsidRPr="007A77E7">
        <w:rPr>
          <w:rFonts w:ascii="Times New Roman" w:eastAsia="Times New Roman" w:hAnsi="Times New Roman" w:cs="Times New Roman"/>
          <w:sz w:val="28"/>
          <w:szCs w:val="28"/>
          <w:lang w:val="x-none" w:eastAsia="ru-RU"/>
        </w:rPr>
        <w:t xml:space="preserve"> 100</w:t>
      </w:r>
      <w:r w:rsidRPr="007A77E7">
        <w:rPr>
          <w:rFonts w:ascii="Times New Roman" w:eastAsia="Times New Roman" w:hAnsi="Times New Roman" w:cs="Times New Roman"/>
          <w:sz w:val="28"/>
          <w:szCs w:val="28"/>
          <w:lang w:eastAsia="ru-RU"/>
        </w:rPr>
        <w:t xml:space="preserve"> </w:t>
      </w:r>
      <w:r w:rsidRPr="007A77E7">
        <w:rPr>
          <w:rFonts w:ascii="Times New Roman" w:eastAsia="Times New Roman" w:hAnsi="Times New Roman" w:cs="Times New Roman"/>
          <w:sz w:val="28"/>
          <w:szCs w:val="28"/>
          <w:lang w:val="x-none" w:eastAsia="ru-RU"/>
        </w:rPr>
        <w:t xml:space="preserve">% к утвержденным назначениям. Кассовое исполнение составило </w:t>
      </w:r>
      <w:r w:rsidRPr="007A77E7">
        <w:rPr>
          <w:rFonts w:ascii="Times New Roman" w:eastAsia="Times New Roman" w:hAnsi="Times New Roman" w:cs="Times New Roman"/>
          <w:sz w:val="28"/>
          <w:szCs w:val="28"/>
          <w:lang w:eastAsia="ru-RU"/>
        </w:rPr>
        <w:t>29 649 726,1</w:t>
      </w:r>
      <w:r w:rsidRPr="007A77E7">
        <w:rPr>
          <w:rFonts w:ascii="Times New Roman" w:eastAsia="Times New Roman" w:hAnsi="Times New Roman" w:cs="Times New Roman"/>
          <w:sz w:val="28"/>
          <w:szCs w:val="28"/>
          <w:lang w:val="x-none" w:eastAsia="ru-RU"/>
        </w:rPr>
        <w:t xml:space="preserve"> тыс. рублей, или 9</w:t>
      </w:r>
      <w:r w:rsidRPr="007A77E7">
        <w:rPr>
          <w:rFonts w:ascii="Times New Roman" w:eastAsia="Times New Roman" w:hAnsi="Times New Roman" w:cs="Times New Roman"/>
          <w:sz w:val="28"/>
          <w:szCs w:val="28"/>
          <w:lang w:eastAsia="ru-RU"/>
        </w:rPr>
        <w:t xml:space="preserve">9,9 </w:t>
      </w:r>
      <w:r w:rsidRPr="007A77E7">
        <w:rPr>
          <w:rFonts w:ascii="Times New Roman" w:eastAsia="Times New Roman" w:hAnsi="Times New Roman" w:cs="Times New Roman"/>
          <w:sz w:val="28"/>
          <w:szCs w:val="28"/>
          <w:lang w:val="x-none" w:eastAsia="ru-RU"/>
        </w:rPr>
        <w:t xml:space="preserve">% к объему профинансированных расходов. Не исполнены назначения в сумме </w:t>
      </w:r>
      <w:r w:rsidRPr="007A77E7">
        <w:rPr>
          <w:rFonts w:ascii="Times New Roman" w:eastAsia="Times New Roman" w:hAnsi="Times New Roman" w:cs="Times New Roman"/>
          <w:sz w:val="28"/>
          <w:szCs w:val="28"/>
          <w:lang w:eastAsia="ru-RU"/>
        </w:rPr>
        <w:t>31 543,6</w:t>
      </w:r>
      <w:r w:rsidRPr="007A77E7">
        <w:rPr>
          <w:rFonts w:ascii="Times New Roman" w:eastAsia="Times New Roman" w:hAnsi="Times New Roman" w:cs="Times New Roman"/>
          <w:sz w:val="28"/>
          <w:szCs w:val="28"/>
          <w:lang w:val="x-none" w:eastAsia="ru-RU"/>
        </w:rPr>
        <w:t xml:space="preserve"> тыс. рублей. </w:t>
      </w:r>
    </w:p>
    <w:p w14:paraId="352AF86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1006 «Другие вопросы в области социальной политики»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1 670 761,6 тыс. рублей, или на 100 % к утвержденным назначениям. Кассовое исполнение составило 1 664 957,7 тыс. рублей, или 99,6 % к объему профинансированных расходов. Не исполнены назначения в сумме 5 803,9 тыс. рублей. </w:t>
      </w:r>
    </w:p>
    <w:p w14:paraId="4C8853C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На предоставление мер социальной поддержки отдельным категориям граждан за счет средств республиканского бюджета Республики Дагестан на 2021 год были предусмотрены средства в сумме 1 800 308,9 тыс. рублей. Фактически были профинансированы расходы в сумме 1 800 308,9 тыс. рублей, или на 100 %. Кассовое исполнение составило 1 768 123,3 тыс. рублей, </w:t>
      </w:r>
      <w:r w:rsidRPr="007A77E7">
        <w:rPr>
          <w:rFonts w:ascii="Times New Roman" w:eastAsia="Times New Roman" w:hAnsi="Times New Roman" w:cs="Times New Roman"/>
          <w:sz w:val="28"/>
          <w:szCs w:val="28"/>
          <w:lang w:eastAsia="ru-RU"/>
        </w:rPr>
        <w:lastRenderedPageBreak/>
        <w:t xml:space="preserve">или 98,2 % к объему профинансированных расходов. Остаток неиспользованных средств на обеспечение указанных выплат на 1 января 2022 года составляет 32 185,7 тыс. рублей. </w:t>
      </w:r>
    </w:p>
    <w:p w14:paraId="250289E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Анализ исполнения расходов на предоставление мер социальной поддержки отдельным категориям граждан за счет средств республиканского бюджета Республики Дагестан за 2021 год представлен в следующей таблицей.</w:t>
      </w:r>
    </w:p>
    <w:p w14:paraId="6D722F5F" w14:textId="77777777" w:rsidR="007A77E7" w:rsidRPr="007A77E7" w:rsidRDefault="007A77E7" w:rsidP="007A77E7">
      <w:pPr>
        <w:widowControl w:val="0"/>
        <w:autoSpaceDE w:val="0"/>
        <w:autoSpaceDN w:val="0"/>
        <w:adjustRightInd w:val="0"/>
        <w:spacing w:after="0" w:line="240" w:lineRule="auto"/>
        <w:ind w:firstLine="709"/>
        <w:jc w:val="right"/>
        <w:rPr>
          <w:rFonts w:ascii="Times New Roman" w:eastAsia="Times New Roman" w:hAnsi="Times New Roman" w:cs="Times New Roman"/>
          <w:b/>
          <w:bCs/>
          <w:color w:val="002060"/>
          <w:sz w:val="24"/>
          <w:szCs w:val="24"/>
          <w:lang w:eastAsia="ru-RU"/>
        </w:rPr>
      </w:pPr>
      <w:r w:rsidRPr="007A77E7">
        <w:rPr>
          <w:rFonts w:ascii="Times New Roman" w:eastAsia="Times New Roman" w:hAnsi="Times New Roman" w:cs="Times New Roman"/>
          <w:b/>
          <w:bCs/>
          <w:color w:val="002060"/>
          <w:sz w:val="24"/>
          <w:szCs w:val="24"/>
          <w:lang w:eastAsia="ru-RU"/>
        </w:rPr>
        <w:t>тыс. рублей</w:t>
      </w:r>
    </w:p>
    <w:tbl>
      <w:tblPr>
        <w:tblW w:w="949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2405"/>
        <w:gridCol w:w="1281"/>
        <w:gridCol w:w="1134"/>
        <w:gridCol w:w="1271"/>
        <w:gridCol w:w="1031"/>
        <w:gridCol w:w="1134"/>
        <w:gridCol w:w="1237"/>
      </w:tblGrid>
      <w:tr w:rsidR="007A77E7" w:rsidRPr="007A77E7" w14:paraId="6DAEE4F6" w14:textId="77777777" w:rsidTr="002E57D3">
        <w:trPr>
          <w:trHeight w:val="625"/>
          <w:tblHeader/>
          <w:jc w:val="center"/>
        </w:trPr>
        <w:tc>
          <w:tcPr>
            <w:tcW w:w="2405" w:type="dxa"/>
            <w:shd w:val="clear" w:color="auto" w:fill="D9E2F3" w:themeFill="accent1" w:themeFillTint="33"/>
          </w:tcPr>
          <w:p w14:paraId="50904D64"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Категории граждан</w:t>
            </w:r>
          </w:p>
        </w:tc>
        <w:tc>
          <w:tcPr>
            <w:tcW w:w="1281" w:type="dxa"/>
            <w:shd w:val="clear" w:color="auto" w:fill="D9E2F3" w:themeFill="accent1" w:themeFillTint="33"/>
          </w:tcPr>
          <w:p w14:paraId="4AF5D529" w14:textId="77777777" w:rsidR="007A77E7" w:rsidRPr="007A77E7" w:rsidRDefault="007A77E7" w:rsidP="007A77E7">
            <w:pPr>
              <w:widowControl w:val="0"/>
              <w:autoSpaceDE w:val="0"/>
              <w:autoSpaceDN w:val="0"/>
              <w:adjustRightInd w:val="0"/>
              <w:spacing w:after="0" w:line="240" w:lineRule="auto"/>
              <w:ind w:left="-104" w:right="-119"/>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 xml:space="preserve">Задолженность на 1 января </w:t>
            </w:r>
          </w:p>
          <w:p w14:paraId="53FF6BF2" w14:textId="77777777" w:rsidR="007A77E7" w:rsidRPr="007A77E7" w:rsidRDefault="007A77E7" w:rsidP="007A77E7">
            <w:pPr>
              <w:widowControl w:val="0"/>
              <w:autoSpaceDE w:val="0"/>
              <w:autoSpaceDN w:val="0"/>
              <w:adjustRightInd w:val="0"/>
              <w:spacing w:after="0" w:line="240" w:lineRule="auto"/>
              <w:ind w:left="-104" w:right="-119"/>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2021 г.</w:t>
            </w:r>
          </w:p>
        </w:tc>
        <w:tc>
          <w:tcPr>
            <w:tcW w:w="1134" w:type="dxa"/>
            <w:shd w:val="clear" w:color="auto" w:fill="D9E2F3" w:themeFill="accent1" w:themeFillTint="33"/>
          </w:tcPr>
          <w:p w14:paraId="08DD0BE4" w14:textId="77777777" w:rsidR="007A77E7" w:rsidRPr="007A77E7" w:rsidRDefault="007A77E7" w:rsidP="007A77E7">
            <w:pPr>
              <w:widowControl w:val="0"/>
              <w:autoSpaceDE w:val="0"/>
              <w:autoSpaceDN w:val="0"/>
              <w:adjustRightInd w:val="0"/>
              <w:spacing w:after="0" w:line="240" w:lineRule="auto"/>
              <w:ind w:left="-92" w:right="-109"/>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Утверждено на 2021 год</w:t>
            </w:r>
          </w:p>
        </w:tc>
        <w:tc>
          <w:tcPr>
            <w:tcW w:w="1271" w:type="dxa"/>
            <w:shd w:val="clear" w:color="auto" w:fill="D9E2F3" w:themeFill="accent1" w:themeFillTint="33"/>
          </w:tcPr>
          <w:p w14:paraId="231DEFAA" w14:textId="77777777" w:rsidR="007A77E7" w:rsidRPr="007A77E7" w:rsidRDefault="007A77E7" w:rsidP="007A77E7">
            <w:pPr>
              <w:widowControl w:val="0"/>
              <w:autoSpaceDE w:val="0"/>
              <w:autoSpaceDN w:val="0"/>
              <w:adjustRightInd w:val="0"/>
              <w:spacing w:after="0" w:line="240" w:lineRule="auto"/>
              <w:ind w:left="-149" w:right="-84"/>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Фактически профинан-сировано</w:t>
            </w:r>
          </w:p>
          <w:p w14:paraId="4E800B53" w14:textId="77777777" w:rsidR="007A77E7" w:rsidRPr="007A77E7" w:rsidRDefault="007A77E7" w:rsidP="007A77E7">
            <w:pPr>
              <w:widowControl w:val="0"/>
              <w:autoSpaceDE w:val="0"/>
              <w:autoSpaceDN w:val="0"/>
              <w:adjustRightInd w:val="0"/>
              <w:spacing w:after="0" w:line="240" w:lineRule="auto"/>
              <w:ind w:left="-149" w:right="-84"/>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за 2021 год</w:t>
            </w:r>
          </w:p>
        </w:tc>
        <w:tc>
          <w:tcPr>
            <w:tcW w:w="1031" w:type="dxa"/>
            <w:shd w:val="clear" w:color="auto" w:fill="D9E2F3" w:themeFill="accent1" w:themeFillTint="33"/>
          </w:tcPr>
          <w:p w14:paraId="213F3C55" w14:textId="77777777" w:rsidR="007A77E7" w:rsidRPr="007A77E7" w:rsidRDefault="007A77E7" w:rsidP="007A77E7">
            <w:pPr>
              <w:widowControl w:val="0"/>
              <w:autoSpaceDE w:val="0"/>
              <w:autoSpaceDN w:val="0"/>
              <w:adjustRightInd w:val="0"/>
              <w:spacing w:after="0" w:line="240" w:lineRule="auto"/>
              <w:ind w:left="-104" w:right="-106"/>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Недофинан-сировано</w:t>
            </w:r>
          </w:p>
        </w:tc>
        <w:tc>
          <w:tcPr>
            <w:tcW w:w="1134" w:type="dxa"/>
            <w:shd w:val="clear" w:color="auto" w:fill="D9E2F3" w:themeFill="accent1" w:themeFillTint="33"/>
          </w:tcPr>
          <w:p w14:paraId="11FA3FCE"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Кассовые расходы</w:t>
            </w:r>
          </w:p>
          <w:p w14:paraId="486E7AC8" w14:textId="77777777" w:rsidR="007A77E7" w:rsidRPr="007A77E7" w:rsidRDefault="007A77E7" w:rsidP="007A77E7">
            <w:pPr>
              <w:widowControl w:val="0"/>
              <w:autoSpaceDE w:val="0"/>
              <w:autoSpaceDN w:val="0"/>
              <w:adjustRightInd w:val="0"/>
              <w:spacing w:after="0" w:line="240" w:lineRule="auto"/>
              <w:ind w:left="-108" w:right="-108"/>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 xml:space="preserve"> за 2021 год</w:t>
            </w:r>
          </w:p>
        </w:tc>
        <w:tc>
          <w:tcPr>
            <w:tcW w:w="1237" w:type="dxa"/>
            <w:shd w:val="clear" w:color="auto" w:fill="D9E2F3" w:themeFill="accent1" w:themeFillTint="33"/>
          </w:tcPr>
          <w:p w14:paraId="5169264B" w14:textId="77777777" w:rsidR="007A77E7" w:rsidRPr="007A77E7" w:rsidRDefault="007A77E7" w:rsidP="007A77E7">
            <w:pPr>
              <w:widowControl w:val="0"/>
              <w:autoSpaceDE w:val="0"/>
              <w:autoSpaceDN w:val="0"/>
              <w:adjustRightInd w:val="0"/>
              <w:spacing w:after="0" w:line="240" w:lineRule="auto"/>
              <w:ind w:left="-131" w:right="-105"/>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 xml:space="preserve">Остаток средств </w:t>
            </w:r>
          </w:p>
          <w:p w14:paraId="49EEEAB4" w14:textId="77777777" w:rsidR="007A77E7" w:rsidRPr="007A77E7" w:rsidRDefault="007A77E7" w:rsidP="007A77E7">
            <w:pPr>
              <w:widowControl w:val="0"/>
              <w:autoSpaceDE w:val="0"/>
              <w:autoSpaceDN w:val="0"/>
              <w:adjustRightInd w:val="0"/>
              <w:spacing w:after="0" w:line="240" w:lineRule="auto"/>
              <w:ind w:left="-131" w:right="-105"/>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на 1 января 2022 года</w:t>
            </w:r>
          </w:p>
        </w:tc>
      </w:tr>
      <w:tr w:rsidR="007A77E7" w:rsidRPr="007A77E7" w14:paraId="49684855" w14:textId="77777777" w:rsidTr="002E57D3">
        <w:trPr>
          <w:trHeight w:val="70"/>
          <w:jc w:val="center"/>
        </w:trPr>
        <w:tc>
          <w:tcPr>
            <w:tcW w:w="9493" w:type="dxa"/>
            <w:gridSpan w:val="7"/>
          </w:tcPr>
          <w:p w14:paraId="6992AEF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p w14:paraId="3B4E643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Единовременные денежные выплаты на жилищно-коммунальные услуги</w:t>
            </w:r>
          </w:p>
        </w:tc>
      </w:tr>
      <w:tr w:rsidR="007A77E7" w:rsidRPr="007A77E7" w14:paraId="474CF465" w14:textId="77777777" w:rsidTr="002E57D3">
        <w:trPr>
          <w:jc w:val="center"/>
        </w:trPr>
        <w:tc>
          <w:tcPr>
            <w:tcW w:w="2405" w:type="dxa"/>
          </w:tcPr>
          <w:p w14:paraId="40ABCC5B"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 xml:space="preserve">Жертвы политических репрессий и члены их семей </w:t>
            </w:r>
          </w:p>
        </w:tc>
        <w:tc>
          <w:tcPr>
            <w:tcW w:w="1281" w:type="dxa"/>
          </w:tcPr>
          <w:p w14:paraId="19CB92F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31D26B7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16 994,2</w:t>
            </w:r>
          </w:p>
        </w:tc>
        <w:tc>
          <w:tcPr>
            <w:tcW w:w="1271" w:type="dxa"/>
          </w:tcPr>
          <w:p w14:paraId="7070BA1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16 994,2</w:t>
            </w:r>
          </w:p>
        </w:tc>
        <w:tc>
          <w:tcPr>
            <w:tcW w:w="1031" w:type="dxa"/>
          </w:tcPr>
          <w:p w14:paraId="2FA0281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2E2E366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16 643,0</w:t>
            </w:r>
          </w:p>
        </w:tc>
        <w:tc>
          <w:tcPr>
            <w:tcW w:w="1237" w:type="dxa"/>
          </w:tcPr>
          <w:p w14:paraId="3DE9A43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351,1</w:t>
            </w:r>
          </w:p>
        </w:tc>
      </w:tr>
      <w:tr w:rsidR="007A77E7" w:rsidRPr="007A77E7" w14:paraId="4F90ACAF" w14:textId="77777777" w:rsidTr="002E57D3">
        <w:trPr>
          <w:jc w:val="center"/>
        </w:trPr>
        <w:tc>
          <w:tcPr>
            <w:tcW w:w="2405" w:type="dxa"/>
          </w:tcPr>
          <w:p w14:paraId="6E48A58C"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Ветераны труда</w:t>
            </w:r>
          </w:p>
        </w:tc>
        <w:tc>
          <w:tcPr>
            <w:tcW w:w="1281" w:type="dxa"/>
          </w:tcPr>
          <w:p w14:paraId="7403EA6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2 087,8</w:t>
            </w:r>
          </w:p>
        </w:tc>
        <w:tc>
          <w:tcPr>
            <w:tcW w:w="1134" w:type="dxa"/>
          </w:tcPr>
          <w:p w14:paraId="5544B66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202 108,1</w:t>
            </w:r>
          </w:p>
        </w:tc>
        <w:tc>
          <w:tcPr>
            <w:tcW w:w="1271" w:type="dxa"/>
          </w:tcPr>
          <w:p w14:paraId="48167BC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202 108,1</w:t>
            </w:r>
          </w:p>
        </w:tc>
        <w:tc>
          <w:tcPr>
            <w:tcW w:w="1031" w:type="dxa"/>
          </w:tcPr>
          <w:p w14:paraId="2197BD3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5542AFB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200 578,3</w:t>
            </w:r>
          </w:p>
        </w:tc>
        <w:tc>
          <w:tcPr>
            <w:tcW w:w="1237" w:type="dxa"/>
          </w:tcPr>
          <w:p w14:paraId="7A5CA77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1 529,8</w:t>
            </w:r>
          </w:p>
        </w:tc>
      </w:tr>
      <w:tr w:rsidR="007A77E7" w:rsidRPr="007A77E7" w14:paraId="2E101E92" w14:textId="77777777" w:rsidTr="002E57D3">
        <w:trPr>
          <w:jc w:val="center"/>
        </w:trPr>
        <w:tc>
          <w:tcPr>
            <w:tcW w:w="2405" w:type="dxa"/>
          </w:tcPr>
          <w:p w14:paraId="7C3DA18B"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Многодетные семьи</w:t>
            </w:r>
          </w:p>
        </w:tc>
        <w:tc>
          <w:tcPr>
            <w:tcW w:w="1281" w:type="dxa"/>
          </w:tcPr>
          <w:p w14:paraId="636B47E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16 668,7</w:t>
            </w:r>
          </w:p>
        </w:tc>
        <w:tc>
          <w:tcPr>
            <w:tcW w:w="1134" w:type="dxa"/>
          </w:tcPr>
          <w:p w14:paraId="25B182A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185 892,2</w:t>
            </w:r>
          </w:p>
        </w:tc>
        <w:tc>
          <w:tcPr>
            <w:tcW w:w="1271" w:type="dxa"/>
          </w:tcPr>
          <w:p w14:paraId="25EDA9B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185 892,2</w:t>
            </w:r>
          </w:p>
        </w:tc>
        <w:tc>
          <w:tcPr>
            <w:tcW w:w="1031" w:type="dxa"/>
          </w:tcPr>
          <w:p w14:paraId="2995A18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6C62D17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183 115,9</w:t>
            </w:r>
          </w:p>
        </w:tc>
        <w:tc>
          <w:tcPr>
            <w:tcW w:w="1237" w:type="dxa"/>
          </w:tcPr>
          <w:p w14:paraId="260BCEF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2 776,3</w:t>
            </w:r>
          </w:p>
        </w:tc>
      </w:tr>
      <w:tr w:rsidR="007A77E7" w:rsidRPr="007A77E7" w14:paraId="03EE8E54" w14:textId="77777777" w:rsidTr="002E57D3">
        <w:trPr>
          <w:jc w:val="center"/>
        </w:trPr>
        <w:tc>
          <w:tcPr>
            <w:tcW w:w="2405" w:type="dxa"/>
          </w:tcPr>
          <w:p w14:paraId="3B718109"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Участники ВОВ и приравненные к ним лица</w:t>
            </w:r>
          </w:p>
        </w:tc>
        <w:tc>
          <w:tcPr>
            <w:tcW w:w="1281" w:type="dxa"/>
          </w:tcPr>
          <w:p w14:paraId="0C70006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499,6</w:t>
            </w:r>
          </w:p>
        </w:tc>
        <w:tc>
          <w:tcPr>
            <w:tcW w:w="1134" w:type="dxa"/>
          </w:tcPr>
          <w:p w14:paraId="3FCB2F0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9 600,3</w:t>
            </w:r>
          </w:p>
        </w:tc>
        <w:tc>
          <w:tcPr>
            <w:tcW w:w="1271" w:type="dxa"/>
          </w:tcPr>
          <w:p w14:paraId="70D701D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9 600,3</w:t>
            </w:r>
          </w:p>
        </w:tc>
        <w:tc>
          <w:tcPr>
            <w:tcW w:w="1031" w:type="dxa"/>
          </w:tcPr>
          <w:p w14:paraId="036DA19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1FDC0E3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8 592,1</w:t>
            </w:r>
          </w:p>
        </w:tc>
        <w:tc>
          <w:tcPr>
            <w:tcW w:w="1237" w:type="dxa"/>
          </w:tcPr>
          <w:p w14:paraId="581A4C5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1 008,2</w:t>
            </w:r>
          </w:p>
        </w:tc>
      </w:tr>
      <w:tr w:rsidR="007A77E7" w:rsidRPr="007A77E7" w14:paraId="27125D05" w14:textId="77777777" w:rsidTr="002E57D3">
        <w:trPr>
          <w:jc w:val="center"/>
        </w:trPr>
        <w:tc>
          <w:tcPr>
            <w:tcW w:w="2405" w:type="dxa"/>
          </w:tcPr>
          <w:p w14:paraId="71D6EA41"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Специалисты на селе</w:t>
            </w:r>
          </w:p>
        </w:tc>
        <w:tc>
          <w:tcPr>
            <w:tcW w:w="1281" w:type="dxa"/>
          </w:tcPr>
          <w:p w14:paraId="5CE5B33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38 906,2</w:t>
            </w:r>
          </w:p>
        </w:tc>
        <w:tc>
          <w:tcPr>
            <w:tcW w:w="1134" w:type="dxa"/>
          </w:tcPr>
          <w:p w14:paraId="73199C6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827 014,7</w:t>
            </w:r>
          </w:p>
        </w:tc>
        <w:tc>
          <w:tcPr>
            <w:tcW w:w="1271" w:type="dxa"/>
          </w:tcPr>
          <w:p w14:paraId="3891D73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827 014,7</w:t>
            </w:r>
          </w:p>
        </w:tc>
        <w:tc>
          <w:tcPr>
            <w:tcW w:w="1031" w:type="dxa"/>
          </w:tcPr>
          <w:p w14:paraId="4DFA0AA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0C77B94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811 776,2</w:t>
            </w:r>
          </w:p>
        </w:tc>
        <w:tc>
          <w:tcPr>
            <w:tcW w:w="1237" w:type="dxa"/>
          </w:tcPr>
          <w:p w14:paraId="680BC85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15 238,5</w:t>
            </w:r>
          </w:p>
        </w:tc>
      </w:tr>
      <w:tr w:rsidR="007A77E7" w:rsidRPr="007A77E7" w14:paraId="45585FA5" w14:textId="77777777" w:rsidTr="002E57D3">
        <w:trPr>
          <w:jc w:val="center"/>
        </w:trPr>
        <w:tc>
          <w:tcPr>
            <w:tcW w:w="2405" w:type="dxa"/>
          </w:tcPr>
          <w:p w14:paraId="06875C5E"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Итого</w:t>
            </w:r>
          </w:p>
        </w:tc>
        <w:tc>
          <w:tcPr>
            <w:tcW w:w="1281" w:type="dxa"/>
          </w:tcPr>
          <w:p w14:paraId="11EF2392"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7A77E7">
              <w:rPr>
                <w:rFonts w:ascii="Times New Roman" w:eastAsia="Times New Roman" w:hAnsi="Times New Roman" w:cs="Times New Roman"/>
                <w:b/>
                <w:bCs/>
                <w:iCs/>
                <w:sz w:val="18"/>
                <w:szCs w:val="18"/>
                <w:lang w:eastAsia="ru-RU"/>
              </w:rPr>
              <w:t>58 162,3</w:t>
            </w:r>
          </w:p>
        </w:tc>
        <w:tc>
          <w:tcPr>
            <w:tcW w:w="1134" w:type="dxa"/>
          </w:tcPr>
          <w:p w14:paraId="1E344BF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7A77E7">
              <w:rPr>
                <w:rFonts w:ascii="Times New Roman" w:eastAsia="Times New Roman" w:hAnsi="Times New Roman" w:cs="Times New Roman"/>
                <w:b/>
                <w:bCs/>
                <w:iCs/>
                <w:sz w:val="18"/>
                <w:szCs w:val="18"/>
                <w:lang w:eastAsia="ru-RU"/>
              </w:rPr>
              <w:t>1 241 609,4</w:t>
            </w:r>
          </w:p>
        </w:tc>
        <w:tc>
          <w:tcPr>
            <w:tcW w:w="1271" w:type="dxa"/>
          </w:tcPr>
          <w:p w14:paraId="575317D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7A77E7">
              <w:rPr>
                <w:rFonts w:ascii="Times New Roman" w:eastAsia="Times New Roman" w:hAnsi="Times New Roman" w:cs="Times New Roman"/>
                <w:b/>
                <w:bCs/>
                <w:iCs/>
                <w:sz w:val="18"/>
                <w:szCs w:val="18"/>
                <w:lang w:eastAsia="ru-RU"/>
              </w:rPr>
              <w:t>1 241 609,4</w:t>
            </w:r>
          </w:p>
        </w:tc>
        <w:tc>
          <w:tcPr>
            <w:tcW w:w="1031" w:type="dxa"/>
          </w:tcPr>
          <w:p w14:paraId="29C6C6DC"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7A77E7">
              <w:rPr>
                <w:rFonts w:ascii="Times New Roman" w:eastAsia="Times New Roman" w:hAnsi="Times New Roman" w:cs="Times New Roman"/>
                <w:b/>
                <w:bCs/>
                <w:iCs/>
                <w:sz w:val="18"/>
                <w:szCs w:val="18"/>
                <w:lang w:eastAsia="ru-RU"/>
              </w:rPr>
              <w:t>0,0</w:t>
            </w:r>
          </w:p>
        </w:tc>
        <w:tc>
          <w:tcPr>
            <w:tcW w:w="1134" w:type="dxa"/>
          </w:tcPr>
          <w:p w14:paraId="49C7B66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7A77E7">
              <w:rPr>
                <w:rFonts w:ascii="Times New Roman" w:eastAsia="Times New Roman" w:hAnsi="Times New Roman" w:cs="Times New Roman"/>
                <w:b/>
                <w:bCs/>
                <w:iCs/>
                <w:sz w:val="18"/>
                <w:szCs w:val="18"/>
                <w:lang w:eastAsia="ru-RU"/>
              </w:rPr>
              <w:t>1 220 705,6</w:t>
            </w:r>
          </w:p>
        </w:tc>
        <w:tc>
          <w:tcPr>
            <w:tcW w:w="1237" w:type="dxa"/>
          </w:tcPr>
          <w:p w14:paraId="0DAD1DA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iCs/>
                <w:sz w:val="18"/>
                <w:szCs w:val="18"/>
                <w:lang w:eastAsia="ru-RU"/>
              </w:rPr>
            </w:pPr>
            <w:r w:rsidRPr="007A77E7">
              <w:rPr>
                <w:rFonts w:ascii="Times New Roman" w:eastAsia="Times New Roman" w:hAnsi="Times New Roman" w:cs="Times New Roman"/>
                <w:b/>
                <w:bCs/>
                <w:iCs/>
                <w:sz w:val="18"/>
                <w:szCs w:val="18"/>
                <w:lang w:eastAsia="ru-RU"/>
              </w:rPr>
              <w:t>20 903,8</w:t>
            </w:r>
          </w:p>
        </w:tc>
      </w:tr>
      <w:tr w:rsidR="007A77E7" w:rsidRPr="007A77E7" w14:paraId="5BB7053A" w14:textId="77777777" w:rsidTr="002E57D3">
        <w:trPr>
          <w:jc w:val="center"/>
        </w:trPr>
        <w:tc>
          <w:tcPr>
            <w:tcW w:w="9493" w:type="dxa"/>
            <w:gridSpan w:val="7"/>
          </w:tcPr>
          <w:p w14:paraId="6A5A291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14:paraId="1FE628C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Единовременные денежные выплаты</w:t>
            </w:r>
          </w:p>
        </w:tc>
      </w:tr>
      <w:tr w:rsidR="007A77E7" w:rsidRPr="007A77E7" w14:paraId="53833F64" w14:textId="77777777" w:rsidTr="002E57D3">
        <w:trPr>
          <w:jc w:val="center"/>
        </w:trPr>
        <w:tc>
          <w:tcPr>
            <w:tcW w:w="2405" w:type="dxa"/>
          </w:tcPr>
          <w:p w14:paraId="17505EFC"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Ветераны труда</w:t>
            </w:r>
          </w:p>
        </w:tc>
        <w:tc>
          <w:tcPr>
            <w:tcW w:w="1281" w:type="dxa"/>
          </w:tcPr>
          <w:p w14:paraId="0158A60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40E5B15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442 490,4</w:t>
            </w:r>
          </w:p>
        </w:tc>
        <w:tc>
          <w:tcPr>
            <w:tcW w:w="1271" w:type="dxa"/>
          </w:tcPr>
          <w:p w14:paraId="46D0E77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442 490,4</w:t>
            </w:r>
          </w:p>
        </w:tc>
        <w:tc>
          <w:tcPr>
            <w:tcW w:w="1031" w:type="dxa"/>
          </w:tcPr>
          <w:p w14:paraId="574CA08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31B6AB17"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434 652,3</w:t>
            </w:r>
          </w:p>
        </w:tc>
        <w:tc>
          <w:tcPr>
            <w:tcW w:w="1237" w:type="dxa"/>
          </w:tcPr>
          <w:p w14:paraId="47CE619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7 838,1</w:t>
            </w:r>
          </w:p>
        </w:tc>
      </w:tr>
      <w:tr w:rsidR="007A77E7" w:rsidRPr="007A77E7" w14:paraId="024E1F3E" w14:textId="77777777" w:rsidTr="002E57D3">
        <w:trPr>
          <w:jc w:val="center"/>
        </w:trPr>
        <w:tc>
          <w:tcPr>
            <w:tcW w:w="2405" w:type="dxa"/>
          </w:tcPr>
          <w:p w14:paraId="6D23AF20"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Жертвы политических репрессий</w:t>
            </w:r>
          </w:p>
        </w:tc>
        <w:tc>
          <w:tcPr>
            <w:tcW w:w="1281" w:type="dxa"/>
          </w:tcPr>
          <w:p w14:paraId="0D0249A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2BCF414A"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80 500,5</w:t>
            </w:r>
          </w:p>
        </w:tc>
        <w:tc>
          <w:tcPr>
            <w:tcW w:w="1271" w:type="dxa"/>
          </w:tcPr>
          <w:p w14:paraId="4908764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80 500,5</w:t>
            </w:r>
          </w:p>
        </w:tc>
        <w:tc>
          <w:tcPr>
            <w:tcW w:w="1031" w:type="dxa"/>
          </w:tcPr>
          <w:p w14:paraId="64AE0C5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041CF05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79 317,8</w:t>
            </w:r>
          </w:p>
        </w:tc>
        <w:tc>
          <w:tcPr>
            <w:tcW w:w="1237" w:type="dxa"/>
          </w:tcPr>
          <w:p w14:paraId="653D78B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1 182,7</w:t>
            </w:r>
          </w:p>
        </w:tc>
      </w:tr>
      <w:tr w:rsidR="007A77E7" w:rsidRPr="007A77E7" w14:paraId="15CB8940" w14:textId="77777777" w:rsidTr="002E57D3">
        <w:trPr>
          <w:jc w:val="center"/>
        </w:trPr>
        <w:tc>
          <w:tcPr>
            <w:tcW w:w="2405" w:type="dxa"/>
          </w:tcPr>
          <w:p w14:paraId="0A113790"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Труженики тыла</w:t>
            </w:r>
          </w:p>
        </w:tc>
        <w:tc>
          <w:tcPr>
            <w:tcW w:w="1281" w:type="dxa"/>
          </w:tcPr>
          <w:p w14:paraId="518D3EF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32B58EA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35 708,6</w:t>
            </w:r>
          </w:p>
        </w:tc>
        <w:tc>
          <w:tcPr>
            <w:tcW w:w="1271" w:type="dxa"/>
          </w:tcPr>
          <w:p w14:paraId="7A2E2355"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35 708,6</w:t>
            </w:r>
          </w:p>
        </w:tc>
        <w:tc>
          <w:tcPr>
            <w:tcW w:w="1031" w:type="dxa"/>
          </w:tcPr>
          <w:p w14:paraId="570E7A73"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0,0</w:t>
            </w:r>
          </w:p>
        </w:tc>
        <w:tc>
          <w:tcPr>
            <w:tcW w:w="1134" w:type="dxa"/>
          </w:tcPr>
          <w:p w14:paraId="617C704E"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33 447,6</w:t>
            </w:r>
          </w:p>
        </w:tc>
        <w:tc>
          <w:tcPr>
            <w:tcW w:w="1237" w:type="dxa"/>
          </w:tcPr>
          <w:p w14:paraId="7DED5B1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7A77E7">
              <w:rPr>
                <w:rFonts w:ascii="Times New Roman" w:eastAsia="Times New Roman" w:hAnsi="Times New Roman" w:cs="Times New Roman"/>
                <w:sz w:val="18"/>
                <w:szCs w:val="18"/>
                <w:lang w:eastAsia="ru-RU"/>
              </w:rPr>
              <w:t>2 261,0</w:t>
            </w:r>
          </w:p>
        </w:tc>
      </w:tr>
      <w:tr w:rsidR="007A77E7" w:rsidRPr="007A77E7" w14:paraId="7528C646" w14:textId="77777777" w:rsidTr="002E57D3">
        <w:trPr>
          <w:jc w:val="center"/>
        </w:trPr>
        <w:tc>
          <w:tcPr>
            <w:tcW w:w="2405" w:type="dxa"/>
          </w:tcPr>
          <w:p w14:paraId="3C5D0948"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Итого</w:t>
            </w:r>
          </w:p>
        </w:tc>
        <w:tc>
          <w:tcPr>
            <w:tcW w:w="1281" w:type="dxa"/>
          </w:tcPr>
          <w:p w14:paraId="5839EF5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4" w:type="dxa"/>
          </w:tcPr>
          <w:p w14:paraId="41A0A55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558 699,5</w:t>
            </w:r>
          </w:p>
        </w:tc>
        <w:tc>
          <w:tcPr>
            <w:tcW w:w="1271" w:type="dxa"/>
          </w:tcPr>
          <w:p w14:paraId="4AF2E8CB"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558 699,5</w:t>
            </w:r>
          </w:p>
        </w:tc>
        <w:tc>
          <w:tcPr>
            <w:tcW w:w="1031" w:type="dxa"/>
          </w:tcPr>
          <w:p w14:paraId="63D9A1D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4" w:type="dxa"/>
          </w:tcPr>
          <w:p w14:paraId="2F21A23F"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547 417,7</w:t>
            </w:r>
          </w:p>
        </w:tc>
        <w:tc>
          <w:tcPr>
            <w:tcW w:w="1237" w:type="dxa"/>
          </w:tcPr>
          <w:p w14:paraId="385A2421"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11 281,8</w:t>
            </w:r>
          </w:p>
        </w:tc>
      </w:tr>
      <w:tr w:rsidR="007A77E7" w:rsidRPr="007A77E7" w14:paraId="1DA50FDA" w14:textId="77777777" w:rsidTr="002E57D3">
        <w:trPr>
          <w:jc w:val="center"/>
        </w:trPr>
        <w:tc>
          <w:tcPr>
            <w:tcW w:w="2405" w:type="dxa"/>
          </w:tcPr>
          <w:p w14:paraId="384B65CA" w14:textId="77777777" w:rsidR="007A77E7" w:rsidRPr="007A77E7" w:rsidRDefault="007A77E7" w:rsidP="007A77E7">
            <w:pPr>
              <w:widowControl w:val="0"/>
              <w:autoSpaceDE w:val="0"/>
              <w:autoSpaceDN w:val="0"/>
              <w:adjustRightInd w:val="0"/>
              <w:spacing w:after="0" w:line="240" w:lineRule="auto"/>
              <w:jc w:val="both"/>
              <w:rPr>
                <w:rFonts w:ascii="Times New Roman" w:eastAsia="Times New Roman" w:hAnsi="Times New Roman" w:cs="Times New Roman"/>
                <w:b/>
                <w:sz w:val="18"/>
                <w:szCs w:val="18"/>
                <w:lang w:eastAsia="ru-RU"/>
              </w:rPr>
            </w:pPr>
            <w:r w:rsidRPr="007A77E7">
              <w:rPr>
                <w:rFonts w:ascii="Times New Roman" w:eastAsia="Times New Roman" w:hAnsi="Times New Roman" w:cs="Times New Roman"/>
                <w:b/>
                <w:sz w:val="18"/>
                <w:szCs w:val="18"/>
                <w:lang w:eastAsia="ru-RU"/>
              </w:rPr>
              <w:t>Всего</w:t>
            </w:r>
          </w:p>
        </w:tc>
        <w:tc>
          <w:tcPr>
            <w:tcW w:w="1281" w:type="dxa"/>
          </w:tcPr>
          <w:p w14:paraId="3F8CC1B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58 162,3</w:t>
            </w:r>
          </w:p>
        </w:tc>
        <w:tc>
          <w:tcPr>
            <w:tcW w:w="1134" w:type="dxa"/>
          </w:tcPr>
          <w:p w14:paraId="15EF4579"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1 800 308,9</w:t>
            </w:r>
          </w:p>
        </w:tc>
        <w:tc>
          <w:tcPr>
            <w:tcW w:w="1271" w:type="dxa"/>
          </w:tcPr>
          <w:p w14:paraId="1748DFD8"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1 800 308,9</w:t>
            </w:r>
          </w:p>
        </w:tc>
        <w:tc>
          <w:tcPr>
            <w:tcW w:w="1031" w:type="dxa"/>
          </w:tcPr>
          <w:p w14:paraId="61C00D60"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0,0</w:t>
            </w:r>
          </w:p>
        </w:tc>
        <w:tc>
          <w:tcPr>
            <w:tcW w:w="1134" w:type="dxa"/>
          </w:tcPr>
          <w:p w14:paraId="1FCE06A6"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1 768 123,3</w:t>
            </w:r>
          </w:p>
        </w:tc>
        <w:tc>
          <w:tcPr>
            <w:tcW w:w="1237" w:type="dxa"/>
          </w:tcPr>
          <w:p w14:paraId="3DE1E1ED" w14:textId="77777777" w:rsidR="007A77E7" w:rsidRPr="007A77E7" w:rsidRDefault="007A77E7" w:rsidP="007A77E7">
            <w:pPr>
              <w:widowControl w:val="0"/>
              <w:autoSpaceDE w:val="0"/>
              <w:autoSpaceDN w:val="0"/>
              <w:adjustRightInd w:val="0"/>
              <w:spacing w:after="0" w:line="240" w:lineRule="auto"/>
              <w:jc w:val="center"/>
              <w:rPr>
                <w:rFonts w:ascii="Times New Roman" w:eastAsia="Times New Roman" w:hAnsi="Times New Roman" w:cs="Times New Roman"/>
                <w:b/>
                <w:bCs/>
                <w:sz w:val="18"/>
                <w:szCs w:val="18"/>
                <w:lang w:eastAsia="ru-RU"/>
              </w:rPr>
            </w:pPr>
            <w:r w:rsidRPr="007A77E7">
              <w:rPr>
                <w:rFonts w:ascii="Times New Roman" w:eastAsia="Times New Roman" w:hAnsi="Times New Roman" w:cs="Times New Roman"/>
                <w:b/>
                <w:bCs/>
                <w:sz w:val="18"/>
                <w:szCs w:val="18"/>
                <w:lang w:eastAsia="ru-RU"/>
              </w:rPr>
              <w:t>32 185,7</w:t>
            </w:r>
          </w:p>
        </w:tc>
      </w:tr>
    </w:tbl>
    <w:p w14:paraId="605DCDF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14:paraId="09B4AB7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данным Министерства труда и социального развития Республики Дагестан, кредиторская задолженность по расходам на предоставление мер социальной поддержки отдельным категориям граждан по состоянию на </w:t>
      </w:r>
      <w:r w:rsidRPr="007A77E7">
        <w:rPr>
          <w:rFonts w:ascii="Times New Roman" w:eastAsia="Times New Roman" w:hAnsi="Times New Roman" w:cs="Times New Roman"/>
          <w:sz w:val="28"/>
          <w:szCs w:val="28"/>
          <w:lang w:eastAsia="ru-RU"/>
        </w:rPr>
        <w:br/>
        <w:t>1 января 2022 года не значится.</w:t>
      </w:r>
    </w:p>
    <w:p w14:paraId="7323E447" w14:textId="7E04BE29"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F3645B">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.11.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1100 «Физическая культура и спорт»</w:t>
      </w:r>
      <w:r w:rsidRPr="007A77E7">
        <w:rPr>
          <w:rFonts w:ascii="Times New Roman" w:eastAsia="Times New Roman" w:hAnsi="Times New Roman" w:cs="Times New Roman"/>
          <w:bCs/>
          <w:color w:val="002060"/>
          <w:sz w:val="28"/>
          <w:szCs w:val="28"/>
          <w:lang w:eastAsia="ru-RU"/>
        </w:rPr>
        <w:t xml:space="preserve">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3 225 206,4 тыс. рублей, или на 100 % к утвержденным назначениям. Кассовое исполнение составило 2 989 807,9 тыс. рублей, или 92,7 % к объему профинансированных расходов. Не исполнены назначения в сумме 235 398,5 тыс. рублей. </w:t>
      </w:r>
    </w:p>
    <w:p w14:paraId="42F95A0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1101 «Физическая культура»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244 556,1 тыс. рублей, или на 100 % к утвержденным назначениям. Кассовое исполнение составило 231 516,6 тыс. рублей, или 94,7 % к объему профинансированных расходов. Не исполнены назначения в сумме 13 039,5 тыс. рублей. </w:t>
      </w:r>
    </w:p>
    <w:p w14:paraId="72FF771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1102 «Массовый спорт»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1 598 717,6 тыс. рублей, или на 100 % к утвержденным назначениям. Кассовое исполнение составило 1 437 788,3 тыс. рублей, или 89,9 % к объему профинансированных расходов. Не исполнены назначения в сумме 160 929,3 тыс. рублей. </w:t>
      </w:r>
    </w:p>
    <w:p w14:paraId="4D8972B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1103 «Спорт высших достижений»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1 336 837,9 тыс. рублей, или на 100 % к </w:t>
      </w:r>
      <w:r w:rsidRPr="007A77E7">
        <w:rPr>
          <w:rFonts w:ascii="Times New Roman" w:eastAsia="Times New Roman" w:hAnsi="Times New Roman" w:cs="Times New Roman"/>
          <w:sz w:val="28"/>
          <w:szCs w:val="28"/>
          <w:lang w:eastAsia="ru-RU"/>
        </w:rPr>
        <w:lastRenderedPageBreak/>
        <w:t xml:space="preserve">утвержденным бюджетным назначениям. Кассовое исполнение составило 1 276 550,0 тыс. рублей, или 95,5 % к объему профинансированных расходов. Не исполнены назначения в сумме 60 287,9 тыс. рублей. </w:t>
      </w:r>
    </w:p>
    <w:p w14:paraId="2D01E48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1105 «Другие вопросы в области физической культуры и спорта»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45 094,8 тыс. рублей, или на </w:t>
      </w:r>
      <w:r w:rsidRPr="007A77E7">
        <w:rPr>
          <w:rFonts w:ascii="Times New Roman" w:eastAsia="Times New Roman" w:hAnsi="Times New Roman" w:cs="Times New Roman"/>
          <w:sz w:val="28"/>
          <w:szCs w:val="28"/>
          <w:lang w:eastAsia="ru-RU"/>
        </w:rPr>
        <w:br/>
        <w:t xml:space="preserve">100 % к утвержденным назначениям. Кассовое исполнение составило 43 953,0 тыс. рублей, или 97,5 % к объему профинансированных расходов. Не исполнены назначения в сумме 1 141,8 тыс. рублей. </w:t>
      </w:r>
    </w:p>
    <w:p w14:paraId="3CA86B3A" w14:textId="7E2B9CAF"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F3645B">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 xml:space="preserve">.12.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1200 «Средства массовой информации»</w:t>
      </w:r>
      <w:r w:rsidRPr="007A77E7">
        <w:rPr>
          <w:rFonts w:ascii="Times New Roman" w:eastAsia="Times New Roman" w:hAnsi="Times New Roman" w:cs="Times New Roman"/>
          <w:bCs/>
          <w:color w:val="002060"/>
          <w:sz w:val="28"/>
          <w:szCs w:val="28"/>
          <w:lang w:eastAsia="ru-RU"/>
        </w:rPr>
        <w:t xml:space="preserve">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492 145,1 тыс. рублей, или на 100 % к утвержденным назначениям. Кассовое исполнение составило 482 002,8 тыс. рублей, или 97,9 % к объему профинансированных расходов. Не исполнены назначения в сумме 10 142,3 тыс. рублей. </w:t>
      </w:r>
    </w:p>
    <w:p w14:paraId="242670A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1201 «Телевидение и радиовещание» расходы профинансированы и исполнены в сумме 89 483,2 тыс. рублей, или на 100 %.</w:t>
      </w:r>
    </w:p>
    <w:p w14:paraId="71BC95A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1202 «Периодическая печать и издательства»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353 293,0 тыс. рублей, или на 100 % к утвержденным назначениям. Кассовое исполнение составило 343 385,1 тыс. рублей, или 97,2 % к объему профинансированных расходов. Не исполнены назначения в сумме 9 907,9 тыс. рублей. </w:t>
      </w:r>
    </w:p>
    <w:p w14:paraId="6AC6F3F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1204 «Другие вопросы в области средств массовой информации»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в сумме 49 368,9 тыс. рублей, или на 100 % к утвержденным назначениям. Кассовое исполнение составило 49 134,5 тыс. рублей, или 99,5 % к объему профинансированных расходов. Не исполнены назначения в сумме 234,4 тыс. рублей. </w:t>
      </w:r>
    </w:p>
    <w:p w14:paraId="6D8A8779" w14:textId="72D96323"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2249">
        <w:rPr>
          <w:rFonts w:ascii="Times New Roman" w:eastAsia="Times New Roman" w:hAnsi="Times New Roman" w:cs="Times New Roman"/>
          <w:b/>
          <w:bCs/>
          <w:color w:val="002060"/>
          <w:sz w:val="28"/>
          <w:szCs w:val="28"/>
          <w:lang w:eastAsia="ru-RU"/>
        </w:rPr>
        <w:t>4.2.</w:t>
      </w:r>
      <w:r w:rsidR="00F3645B" w:rsidRPr="00FD2249">
        <w:rPr>
          <w:rFonts w:ascii="Times New Roman" w:eastAsia="Times New Roman" w:hAnsi="Times New Roman" w:cs="Times New Roman"/>
          <w:b/>
          <w:bCs/>
          <w:color w:val="002060"/>
          <w:sz w:val="28"/>
          <w:szCs w:val="28"/>
          <w:lang w:eastAsia="ru-RU"/>
        </w:rPr>
        <w:t>3</w:t>
      </w:r>
      <w:r w:rsidRPr="00FD2249">
        <w:rPr>
          <w:rFonts w:ascii="Times New Roman" w:eastAsia="Times New Roman" w:hAnsi="Times New Roman" w:cs="Times New Roman"/>
          <w:b/>
          <w:bCs/>
          <w:color w:val="002060"/>
          <w:sz w:val="28"/>
          <w:szCs w:val="28"/>
          <w:lang w:eastAsia="ru-RU"/>
        </w:rPr>
        <w:t xml:space="preserve">.13.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1300 «Обслуживание государственного и муниципального долга»</w:t>
      </w:r>
      <w:r w:rsidRPr="007A77E7">
        <w:rPr>
          <w:rFonts w:ascii="Times New Roman" w:eastAsia="Times New Roman" w:hAnsi="Times New Roman" w:cs="Times New Roman"/>
          <w:b/>
          <w:sz w:val="28"/>
          <w:szCs w:val="28"/>
          <w:lang w:eastAsia="ru-RU"/>
        </w:rPr>
        <w:t xml:space="preserve"> </w:t>
      </w:r>
      <w:r w:rsidRPr="007A77E7">
        <w:rPr>
          <w:rFonts w:ascii="Times New Roman" w:eastAsia="Times New Roman" w:hAnsi="Times New Roman" w:cs="Times New Roman"/>
          <w:sz w:val="28"/>
          <w:szCs w:val="28"/>
          <w:lang w:eastAsia="ru-RU"/>
        </w:rPr>
        <w:t xml:space="preserve">расходы профинансированы и исполнены в сумме 8 770,8 тыс. рублей, или на 100 %. </w:t>
      </w:r>
    </w:p>
    <w:p w14:paraId="767C1C13" w14:textId="2A74909B"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bCs/>
          <w:color w:val="002060"/>
          <w:sz w:val="28"/>
          <w:szCs w:val="28"/>
          <w:lang w:eastAsia="ru-RU"/>
        </w:rPr>
        <w:t>4.2.</w:t>
      </w:r>
      <w:r w:rsidR="00F3645B">
        <w:rPr>
          <w:rFonts w:ascii="Times New Roman" w:eastAsia="Times New Roman" w:hAnsi="Times New Roman" w:cs="Times New Roman"/>
          <w:b/>
          <w:bCs/>
          <w:color w:val="002060"/>
          <w:sz w:val="28"/>
          <w:szCs w:val="28"/>
          <w:lang w:eastAsia="ru-RU"/>
        </w:rPr>
        <w:t>3</w:t>
      </w:r>
      <w:r w:rsidRPr="007A77E7">
        <w:rPr>
          <w:rFonts w:ascii="Times New Roman" w:eastAsia="Times New Roman" w:hAnsi="Times New Roman" w:cs="Times New Roman"/>
          <w:b/>
          <w:bCs/>
          <w:color w:val="002060"/>
          <w:sz w:val="28"/>
          <w:szCs w:val="28"/>
          <w:lang w:eastAsia="ru-RU"/>
        </w:rPr>
        <w:t>.14.</w:t>
      </w:r>
      <w:r w:rsidRPr="007A77E7">
        <w:rPr>
          <w:rFonts w:ascii="Times New Roman" w:eastAsia="Times New Roman" w:hAnsi="Times New Roman" w:cs="Times New Roman"/>
          <w:bCs/>
          <w:color w:val="002060"/>
          <w:sz w:val="28"/>
          <w:szCs w:val="28"/>
          <w:lang w:eastAsia="ru-RU"/>
        </w:rPr>
        <w:t xml:space="preserve"> </w:t>
      </w:r>
      <w:r w:rsidRPr="007A77E7">
        <w:rPr>
          <w:rFonts w:ascii="Times New Roman" w:eastAsia="Times New Roman" w:hAnsi="Times New Roman" w:cs="Times New Roman"/>
          <w:sz w:val="28"/>
          <w:szCs w:val="28"/>
          <w:lang w:eastAsia="ru-RU"/>
        </w:rPr>
        <w:t xml:space="preserve">По разделу </w:t>
      </w:r>
      <w:r w:rsidRPr="007A77E7">
        <w:rPr>
          <w:rFonts w:ascii="Times New Roman" w:eastAsia="Times New Roman" w:hAnsi="Times New Roman" w:cs="Times New Roman"/>
          <w:b/>
          <w:color w:val="002060"/>
          <w:sz w:val="28"/>
          <w:szCs w:val="28"/>
          <w:lang w:eastAsia="ru-RU"/>
        </w:rPr>
        <w:t>1400 «Межбюджетные трансферты»</w:t>
      </w:r>
      <w:r w:rsidRPr="007A77E7">
        <w:rPr>
          <w:rFonts w:ascii="Times New Roman" w:eastAsia="Times New Roman" w:hAnsi="Times New Roman" w:cs="Times New Roman"/>
          <w:color w:val="002060"/>
          <w:sz w:val="28"/>
          <w:szCs w:val="28"/>
          <w:lang w:eastAsia="ru-RU"/>
        </w:rPr>
        <w:t xml:space="preserve">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профинансированы в сумме 9 748 904,7 тыс. рублей, или на 100 % к утвержденным назначениям. Кассовое исполнение составило 9 748 904,7 тыс. рублей, или 100 % к объему профинансированных расходов.</w:t>
      </w:r>
    </w:p>
    <w:p w14:paraId="124DED2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1401 «Дотации на выравнивание бюджетной обеспеченности» расходы профинансированы и исполнены в сумме 6 371 764.0 тыс. рублей, или на 100 %.</w:t>
      </w:r>
    </w:p>
    <w:p w14:paraId="528ED7F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подразделу 1402 «Иные дотации» расходы профинансированы и исполнены в сумме 1 053 510,5 тыс. рублей, или на 100 %.</w:t>
      </w:r>
    </w:p>
    <w:p w14:paraId="4CFF00E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подразделу 1403 «Прочие межбюджетные трансферты общего характера» </w:t>
      </w:r>
      <w:r w:rsidRPr="007A77E7">
        <w:rPr>
          <w:rFonts w:ascii="Times New Roman" w:eastAsia="Times New Roman" w:hAnsi="Times New Roman" w:cs="Times New Roman"/>
          <w:bCs/>
          <w:sz w:val="28"/>
          <w:szCs w:val="28"/>
          <w:lang w:eastAsia="ru-RU"/>
        </w:rPr>
        <w:t xml:space="preserve">расходы </w:t>
      </w:r>
      <w:r w:rsidRPr="007A77E7">
        <w:rPr>
          <w:rFonts w:ascii="Times New Roman" w:eastAsia="Times New Roman" w:hAnsi="Times New Roman" w:cs="Times New Roman"/>
          <w:sz w:val="28"/>
          <w:szCs w:val="28"/>
          <w:lang w:eastAsia="ru-RU"/>
        </w:rPr>
        <w:t xml:space="preserve">профинансированы и исполнены в сумме 2 323 630,2 тыс. рублей, или на 100 %. </w:t>
      </w:r>
    </w:p>
    <w:p w14:paraId="6DD3962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Анализ исполнения бюджетных назначений по отдельным видам межбюджетных трансфертов в 2021 году показал следующее. </w:t>
      </w:r>
    </w:p>
    <w:p w14:paraId="693370D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t>1)</w:t>
      </w:r>
      <w:r w:rsidRPr="007A77E7">
        <w:rPr>
          <w:rFonts w:ascii="Times New Roman" w:eastAsia="Times New Roman" w:hAnsi="Times New Roman" w:cs="Times New Roman"/>
          <w:color w:val="002060"/>
          <w:sz w:val="28"/>
          <w:szCs w:val="28"/>
          <w:lang w:eastAsia="ru-RU"/>
        </w:rPr>
        <w:t xml:space="preserve"> </w:t>
      </w:r>
      <w:r w:rsidRPr="007A77E7">
        <w:rPr>
          <w:rFonts w:ascii="Times New Roman" w:eastAsia="Times New Roman" w:hAnsi="Times New Roman" w:cs="Times New Roman"/>
          <w:sz w:val="28"/>
          <w:szCs w:val="28"/>
          <w:lang w:eastAsia="ru-RU"/>
        </w:rPr>
        <w:t xml:space="preserve">Законом Республики Дагестан от 28 декабря 2020 года № 103 (ред. от 8 ноября 2021 года) «О республиканском бюджете Республики Дагестан на </w:t>
      </w:r>
      <w:r w:rsidRPr="007A77E7">
        <w:rPr>
          <w:rFonts w:ascii="Times New Roman" w:eastAsia="Times New Roman" w:hAnsi="Times New Roman" w:cs="Times New Roman"/>
          <w:sz w:val="28"/>
          <w:szCs w:val="28"/>
          <w:lang w:eastAsia="ru-RU"/>
        </w:rPr>
        <w:lastRenderedPageBreak/>
        <w:t>2021 год и на плановый период 2022 и 2023 годов» за счет средств республиканского фонда финансовой поддержки муниципальных районов (городских округов, городского округа с внутригородским делением) Республики Дагестан бюджетам муниципальных образований Республики Дагестан в 2021 году были предусмотрены дотации на выравнивание уровня бюджетной обеспеченности муниципальных районов (городских округов, городского округа с внутригородским делением) в сумме 6 371 764,0 тыс. рублей.</w:t>
      </w:r>
    </w:p>
    <w:p w14:paraId="757DB84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Указанные расходы за 2021 год фактически профинансированы в общей сумме 6 371 764,0 тыс. рублей, или на 100 % от утвержденных бюджетных назначений.</w:t>
      </w:r>
    </w:p>
    <w:p w14:paraId="7314895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t>2)</w:t>
      </w:r>
      <w:r w:rsidRPr="007A77E7">
        <w:rPr>
          <w:rFonts w:ascii="Times New Roman" w:eastAsia="Times New Roman" w:hAnsi="Times New Roman" w:cs="Times New Roman"/>
          <w:sz w:val="28"/>
          <w:szCs w:val="28"/>
          <w:lang w:eastAsia="ru-RU"/>
        </w:rPr>
        <w:t xml:space="preserve"> Из общего объема средств республиканского фонда финансовой поддержки муниципальных районов (городских округов), выделенных в 2021 году местным бюджетам 6 371 764,0 тыс. рублей, дотации в сумме 5 371 623,0 тыс. рублей выделены бюджетам муниципальных районов, или 100 % от запланированного объема. </w:t>
      </w:r>
    </w:p>
    <w:p w14:paraId="75E6868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Бюджетам городских округов в ходе исполнения республиканского бюджета Республики Дагестан за 2021 год направлены дотации на общую сумму 1 000 141,0 тыс. рублей, что составляет 100 % от утвержденных бюджетных назначений (1 000 141,0 тыс. рублей).</w:t>
      </w:r>
    </w:p>
    <w:p w14:paraId="27C3EFD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2021 году соответствующие дотации не предусматривались и не были выделены 3-м городским округам: «город Дербент», «город Каспийск» и «город Махачкала»).</w:t>
      </w:r>
    </w:p>
    <w:p w14:paraId="22D4DC4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t>3)</w:t>
      </w:r>
      <w:r w:rsidRPr="007A77E7">
        <w:rPr>
          <w:rFonts w:ascii="Times New Roman" w:eastAsia="Times New Roman" w:hAnsi="Times New Roman" w:cs="Times New Roman"/>
          <w:sz w:val="28"/>
          <w:szCs w:val="28"/>
          <w:lang w:eastAsia="ru-RU"/>
        </w:rPr>
        <w:t xml:space="preserve"> Анализ исполнения расходов республиканского бюджета Республики Дагестан за 2021 год в части распределения (предоставления) дотаций из республиканского фонда финансовой поддержки муниципальных районов (городских округов, городского округа с внутригородским делением) показал, что принятые Министерством финансов Республики Дагестан объемы налогового потенциала муниципалитетов при расчете дотаций соответствуют показателям, определенным (установленным) Межведомственной комиссией (МВК).</w:t>
      </w:r>
    </w:p>
    <w:p w14:paraId="5B12789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Так, общий объем налогового потенциала муниципальных образований, рассчитанный МВК на 2021 год составлял в сумме 11 123 949,0 тыс. рублей, который принят Министерством финансов Республики Дагестан при расчете дотаций для местных бюджетов в 2021 году. </w:t>
      </w:r>
    </w:p>
    <w:p w14:paraId="6EA8FD9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Следует отметить, что поступления налоговых и неналоговых доходов в бюджеты муниципальных районов и городских округов в 2020 году составили в сумме 11 452 249,0 тыс. рублей (без учета акцизов), что на 328 300,0 тыс. рублей больше налогового потенциала, рассчитанного и принятого Министерством финансов Республики Дагестан при расчете и распределении дотаций местным бюджетам в 2021 году.</w:t>
      </w:r>
    </w:p>
    <w:p w14:paraId="64146CC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t>4)</w:t>
      </w:r>
      <w:r w:rsidRPr="007A77E7">
        <w:rPr>
          <w:rFonts w:ascii="Times New Roman" w:eastAsia="Times New Roman" w:hAnsi="Times New Roman" w:cs="Times New Roman"/>
          <w:sz w:val="28"/>
          <w:szCs w:val="28"/>
          <w:lang w:eastAsia="ru-RU"/>
        </w:rPr>
        <w:t xml:space="preserve"> Анализ показал, что объем налогового потенциала муниципальных образований Республики Дагестан, рассчитанный Межведомственной комиссией Республики Дагестан на 2021 год в сумме 11 123 949,0 тыс. рублей </w:t>
      </w:r>
      <w:r w:rsidRPr="007A77E7">
        <w:rPr>
          <w:rFonts w:ascii="Times New Roman" w:eastAsia="Times New Roman" w:hAnsi="Times New Roman" w:cs="Times New Roman"/>
          <w:sz w:val="28"/>
          <w:szCs w:val="28"/>
          <w:lang w:eastAsia="ru-RU"/>
        </w:rPr>
        <w:lastRenderedPageBreak/>
        <w:t xml:space="preserve">(без акцизов) и учтенный Министерством финансов Республики Дагестан при расчете и предоставлении дотаций местным бюджетам в 2021 году на 1 022 090,0 тыс. рублей ниже показателя значений фактического исполнения доходной части бюджетов муниципальных районов и городских округов за 2020 году (12 146 039,0 тыс. рублей). Без учета акцизов, доходная часть бюджетов муниципалитетов исполнена в сумме 11 452 249,0 тыс. рублей (12 146 039,0 тыс. рублей – 693 790,0 тыс. рублей (акцизы) = 11 452 249,0 тыс. рублей), что на 328 300,0 тыс. рублей больше налогового потенциала муниципальных районов и городских округов рассчитанного МВК. </w:t>
      </w:r>
    </w:p>
    <w:p w14:paraId="7E9EFF7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Практически по всем муниципалитетам (за исключением МО «Ахтынский район», МО «Дербентский район», МО «Докузпаринский район», МО «Каякентский район», МО «Курахский район», МО «Ногайский район», МО «город Махачкала», МО «город Каспийск» и МО «город Кизляр») доходы муниципальных районов и городских округов Республики Дагестан в 2020 году превышают налоговый потенциал на 2021 год.</w:t>
      </w:r>
    </w:p>
    <w:p w14:paraId="34BB4FE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8-ми муниципальных районах и одном городском округе объемы исполнения доходной части в 2020 году (без акцизов) превышают размеры налогового потенциала, учтенные Министерством финансов Республики Дагестан при расчете и предоставлении местным бюджетам дотаций, в частности:</w:t>
      </w:r>
    </w:p>
    <w:p w14:paraId="10F4F21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«Акушинский район»: дотации на выравнивание уровня бюджетной обеспеченности в 2021 году Министерством финансов Республики Дагестан рассчитаны и предоставлены исходя из налогового потенциала в сумме 105 061,0 тыс. рублей, в то время как исполнение доходной части местного бюджета в 2020 году (без учета акцизов) составило в сумме 108 058,0 тыс. рублей (+2 997,0 тыс. рублей);</w:t>
      </w:r>
    </w:p>
    <w:p w14:paraId="1FF907E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«Буйнакский район»: налоговый потенциал в сумме 165 902,0 тыс. рублей, исполнение доходов – 223 174,0 тыс. рублей (+57 272,0 тыс. рублей);</w:t>
      </w:r>
    </w:p>
    <w:p w14:paraId="2FB1A3D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«Гунибский район»: налоговый потенциал в сумме 85 794,0 тыс. рублей, исполнение доходов – 88 674,0 тыс. рублей (+ 2 880,0 тыс. рублей);</w:t>
      </w:r>
    </w:p>
    <w:p w14:paraId="4CE7C81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«Кайтагский район»: налоговый потенциал в сумме 75 532,2 тыс. рублей, исполнение доходов – 81 224,0 тыс. рублей (+ 5 692,0 тыс. рублей);</w:t>
      </w:r>
    </w:p>
    <w:p w14:paraId="72F4421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«Кизлярский район»: налоговый потенциал в сумме 179 488,0 тыс. рублей, исполнение доходов – 192 924,0 тыс. рублей (+ 13 436,0 тыс. рублей);</w:t>
      </w:r>
    </w:p>
    <w:p w14:paraId="1F996D5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«Сулейман-Стальский район»: налоговый потенциал в сумме 134 685,0 тыс. рублей, исполнение доходов – 136 341,0 тыс. рублей (+ 1 656,0 тыс. рублей);</w:t>
      </w:r>
    </w:p>
    <w:p w14:paraId="5C04609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«Шамильский район»: налоговый потенциал в сумме 69 138,0 тыс. рублей, исполнение доходов – 71 235,0 тыс. рублей (+ 2 097,0 тыс. рублей);</w:t>
      </w:r>
    </w:p>
    <w:p w14:paraId="2EF9A33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«Табасаранский район»: налоговый потенциал в сумме 124 558,0 тыс. рублей, исполнение доходов – 126 905,0 тыс. рублей (+ 2 347,0 тыс. рублей);</w:t>
      </w:r>
    </w:p>
    <w:p w14:paraId="39F68D0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«город Дербент»: налоговый потенциал в сумме 559 764,0 тыс. рублей, исполнение доходов – 1 876 040,0 тыс. рублей (+ 1 316 276,0 тыс. </w:t>
      </w:r>
      <w:r w:rsidRPr="007A77E7">
        <w:rPr>
          <w:rFonts w:ascii="Times New Roman" w:eastAsia="Times New Roman" w:hAnsi="Times New Roman" w:cs="Times New Roman"/>
          <w:sz w:val="28"/>
          <w:szCs w:val="28"/>
          <w:lang w:eastAsia="ru-RU"/>
        </w:rPr>
        <w:lastRenderedPageBreak/>
        <w:t>рублей).</w:t>
      </w:r>
    </w:p>
    <w:p w14:paraId="428E2E66" w14:textId="4E672042"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t>5)</w:t>
      </w:r>
      <w:r w:rsidRPr="007A77E7">
        <w:rPr>
          <w:rFonts w:ascii="Times New Roman" w:eastAsia="Times New Roman" w:hAnsi="Times New Roman" w:cs="Times New Roman"/>
          <w:color w:val="002060"/>
          <w:sz w:val="28"/>
          <w:szCs w:val="28"/>
          <w:lang w:eastAsia="ru-RU"/>
        </w:rPr>
        <w:t xml:space="preserve"> </w:t>
      </w:r>
      <w:r w:rsidRPr="007A77E7">
        <w:rPr>
          <w:rFonts w:ascii="Times New Roman" w:eastAsia="Times New Roman" w:hAnsi="Times New Roman" w:cs="Times New Roman"/>
          <w:sz w:val="28"/>
          <w:szCs w:val="28"/>
          <w:lang w:eastAsia="ru-RU"/>
        </w:rPr>
        <w:t xml:space="preserve">Общая сумма налогового потенциала муниципальных образований </w:t>
      </w:r>
      <w:r w:rsidR="00B45176" w:rsidRPr="007639C4">
        <w:rPr>
          <w:rFonts w:ascii="Times New Roman" w:eastAsia="Times New Roman" w:hAnsi="Times New Roman" w:cs="Times New Roman"/>
          <w:sz w:val="28"/>
          <w:szCs w:val="28"/>
          <w:lang w:eastAsia="ru-RU"/>
        </w:rPr>
        <w:t>Республики Дагестан</w:t>
      </w:r>
      <w:r w:rsidRPr="007A77E7">
        <w:rPr>
          <w:rFonts w:ascii="Times New Roman" w:eastAsia="Times New Roman" w:hAnsi="Times New Roman" w:cs="Times New Roman"/>
          <w:sz w:val="28"/>
          <w:szCs w:val="28"/>
          <w:lang w:eastAsia="ru-RU"/>
        </w:rPr>
        <w:t>, принятого (учтенного) Министерством финансов Республики Дагестан при расчете и предоставлении (распределении) дотаций из республиканского фонда финансовой поддержки муниципальных районов (городских округов, городского округа с внутриведомственным делением) на выравнивание уровня бюджетной обеспеченности на 2021 год составила в сумме 11 123 949,0 тыс. рублей, что на 1 022 090,0 тыс. рублей меньше общего объема налоговых и неналоговых поступлений в доходную часть местных бюджетов в 2020 году – 12 146 039,0 тыс. рублей.</w:t>
      </w:r>
    </w:p>
    <w:p w14:paraId="6396D08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Анализ документов и материалов, представленных Министерством финансов Республики Дагестан, связанных с распределением дотаций муниципальным районам и городским округам в отчетном году (2021 год), исходя из указанного объема налогового потенциала (11 123 949,0 тыс. рублей), показал следующее.</w:t>
      </w:r>
    </w:p>
    <w:p w14:paraId="2BC9A95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При общем объеме налогового потенциала муниципальных образований Республики Дагестан на 2020 год в сумме 10 446 591,0 тыс. рублей, налоговый потенциал, учтенный при распределении дотаций местным бюджетам в 2021 финансовом году, составил 11 123 949,0 тыс. рублей, или больше, чем в 2020 году на 677 358,0 тыс. рублей.</w:t>
      </w:r>
    </w:p>
    <w:p w14:paraId="727295E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45 из 52 муниципальных образований Республики Дагестан в 2021 году наблюдается рост налогового потенциала по сравнению с 2020 годом, в 7-ми муниципалитетах показатель налогового потенциала на 2021 год ниже значения 2020 года на общую сумму 22 695,0 тыс. рублей, в частности:</w:t>
      </w:r>
    </w:p>
    <w:p w14:paraId="30EE495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«Дахадаевский район» – на 1 296,0 тыс. рублей; </w:t>
      </w:r>
    </w:p>
    <w:p w14:paraId="40814B5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«Казбековский район» – на 341,0 тыс. рублей; </w:t>
      </w:r>
    </w:p>
    <w:p w14:paraId="3B33A77D" w14:textId="1C6EFFD4"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«Сулейман-Стальский район» – на 553,0 тыс. рублей; </w:t>
      </w:r>
    </w:p>
    <w:p w14:paraId="47AD354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Дербент» – на 6 028,0 тыс. рублей;</w:t>
      </w:r>
    </w:p>
    <w:p w14:paraId="5AE2FBC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Избербаш» – на 977,0 тыс. рублей;</w:t>
      </w:r>
    </w:p>
    <w:p w14:paraId="50E2DB1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Южно-Сухокумск» – на 409,0 тыс. рублей;</w:t>
      </w:r>
    </w:p>
    <w:p w14:paraId="29FBBF3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-МО «город Дагестанские Огни» – на 13 091,0 тыс. рублей.</w:t>
      </w:r>
    </w:p>
    <w:p w14:paraId="39E4AF1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Указанное подтверждается, в том числе и отчетными данными (сведениями) об исполнении доходов бюджетов муниципальных образований Республики Дагестан за первый квартал 2022 года.</w:t>
      </w:r>
    </w:p>
    <w:p w14:paraId="151D47E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Плановые бюджетные назначения за первый квартал 2022 года выполнены на 105,1 %, при установленном задании в общей сумме 2 569 249,0 тыс. рублей, обеспечено поступление доходов в сумме 2 701 419,0 тыс. рублей, сверх плана поступило доходов в сумме 132 170,0 тыс. рублей.</w:t>
      </w:r>
    </w:p>
    <w:p w14:paraId="1F5CB7F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27 муниципальных образованиях исполнение бюджетных назначений за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 2022 года составило от 101 % до 120 %, в 16 муниципалитетах – свыше 120 %.</w:t>
      </w:r>
    </w:p>
    <w:p w14:paraId="430993E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9 муниципальных образованиях не обеспечено выполнение плановых заданий по доходам за первый квартал 2022 года (менее 100 %), в том числе:</w:t>
      </w:r>
    </w:p>
    <w:p w14:paraId="617B1E3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«Дербентский район» – 98,1 %;</w:t>
      </w:r>
    </w:p>
    <w:p w14:paraId="4B42168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МО «Кизилюртовский район» –- 93,4 %;</w:t>
      </w:r>
    </w:p>
    <w:p w14:paraId="4166A23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«Хивский район» – 96,5 %;</w:t>
      </w:r>
    </w:p>
    <w:p w14:paraId="1968FC4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«Бежтинский участок» – 82 %;</w:t>
      </w:r>
    </w:p>
    <w:p w14:paraId="6BA31EC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Махачкала» – 90 %;</w:t>
      </w:r>
    </w:p>
    <w:p w14:paraId="6BDFF90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Буйнакск» – 85,2 %;</w:t>
      </w:r>
    </w:p>
    <w:p w14:paraId="0A625C3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Кизляр» – 80,9 %;</w:t>
      </w:r>
    </w:p>
    <w:p w14:paraId="7A79550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Избербаш» – 89,4 %;</w:t>
      </w:r>
    </w:p>
    <w:p w14:paraId="1BBF77E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Дагестанские Огни» – 91,3 %.</w:t>
      </w:r>
    </w:p>
    <w:p w14:paraId="1B66F5A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Анализ поступления в доходную часть местных бюджетов в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квартале 2022 года отдельных видов налоговых и неналоговых доходов показал следующее.</w:t>
      </w:r>
    </w:p>
    <w:p w14:paraId="57EA549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Общий объем налога на доходы физических лиц составил 1 404 675,0 тыс. рублей, что составляет 115 % от бюджетных назначений на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 2022 года (1 217 009,0 тыс. рублей).</w:t>
      </w:r>
    </w:p>
    <w:p w14:paraId="53BB1D2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Практически во всех муниципальных образованиях Республики Дагестан обеспечено перевыполнение плановых заданий по данному виду налога.</w:t>
      </w:r>
    </w:p>
    <w:p w14:paraId="4C5A899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Вместе с тем, исполнение плановых заданий по НДФЛ в </w:t>
      </w:r>
      <w:r w:rsidRPr="007A77E7">
        <w:rPr>
          <w:rFonts w:ascii="Times New Roman" w:eastAsia="Times New Roman" w:hAnsi="Times New Roman" w:cs="Times New Roman"/>
          <w:sz w:val="28"/>
          <w:szCs w:val="28"/>
          <w:lang w:eastAsia="ru-RU"/>
        </w:rPr>
        <w:br/>
        <w:t>МО «Новолакский район» составило 88 %, МО «Дахадаевский район» – 97,0 %, МО «город Буйнакск» – 98 %.</w:t>
      </w:r>
    </w:p>
    <w:p w14:paraId="485DE5B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Поступление акцизов на ГСМ за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 2022 года в бюджеты муниципальных районов и городских округов составило в сумме 216 526,0 тыс. рублей, или 102 % от запланированного показателя – 212 105,0 тыс. рублей.</w:t>
      </w:r>
    </w:p>
    <w:p w14:paraId="554342C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10 муниципальных образованиях исполнение по данному виду налога составило от 103,6 % до 251,6 %, в том числе: МО «Акушинский район» – 103,8 %, МО «Карабудахкентский район» – 112,0 %, МО «Каякентский район» – 104,1 %, МО «Кизилюртовский район» – 117,3 %, МО «Кумторкалинский район» – 106,3 %, МО «Левашинский район» – 103,9 %, МО «Сергокалинский район» – 251.6 %, МО «Тарумовский район» – 115,9 %, МО «город Каспийск» – 110,3 %, МО «город Кизляр» – 103,6 %.</w:t>
      </w:r>
    </w:p>
    <w:p w14:paraId="1064975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При этом в 12 муниципалитетах не обеспечено выполнение плановых назначений по поступлениям акцизов, в том числе: МО «Бабаюртовский район» – 91,2 %, МО «Дербентский район» – 96,1 %, МО «Лакский район» – 96,1 %, МО «Новолакский район» – 96,1 %, МО «Табасаранский район» – </w:t>
      </w:r>
      <w:r w:rsidRPr="007A77E7">
        <w:rPr>
          <w:rFonts w:ascii="Times New Roman" w:eastAsia="Times New Roman" w:hAnsi="Times New Roman" w:cs="Times New Roman"/>
          <w:sz w:val="28"/>
          <w:szCs w:val="28"/>
          <w:lang w:eastAsia="ru-RU"/>
        </w:rPr>
        <w:br/>
        <w:t xml:space="preserve">96,1 %, МО «Тляратинский район» – 96,1 %, МО «Хивский район» – 96,1 %, МО «Цунтинский район» – 96,1 %, МО «Чародинский район» – 96,1 %, </w:t>
      </w:r>
      <w:r w:rsidRPr="007A77E7">
        <w:rPr>
          <w:rFonts w:ascii="Times New Roman" w:eastAsia="Times New Roman" w:hAnsi="Times New Roman" w:cs="Times New Roman"/>
          <w:sz w:val="28"/>
          <w:szCs w:val="28"/>
          <w:lang w:eastAsia="ru-RU"/>
        </w:rPr>
        <w:br/>
        <w:t>МО «город Махачкала» – 96,1 %, МО «город Буйнакск» – 94,2 %, МО «город Кизилюрт» – 96,1 %.</w:t>
      </w:r>
    </w:p>
    <w:p w14:paraId="7E0ECB6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Плановые задания на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 2022 года по упрощенной системе налогообложения выполнены на 130 %, в бюджеты муниципальных образований Республики Дагестан поступили доходы в сумме 468 649,0 тыс. рублей, при утвержденных бюджетных назначениях в сумме 361 045,0 тыс. рублей.</w:t>
      </w:r>
    </w:p>
    <w:p w14:paraId="189E36B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В отдельных муниципалитетах не достигнуто выполнение утвержденных показателей по данному виду налога, в частности:</w:t>
      </w:r>
    </w:p>
    <w:p w14:paraId="08A5CD8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«Буйнакский район» – 72 %;</w:t>
      </w:r>
    </w:p>
    <w:p w14:paraId="5BCB16C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«Кайтагский район» – 99 %;</w:t>
      </w:r>
    </w:p>
    <w:p w14:paraId="19359C7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«Кизилюртовский район» – 82 %;</w:t>
      </w:r>
    </w:p>
    <w:p w14:paraId="38C1839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«Хасавюртовский район» – 62 %;</w:t>
      </w:r>
    </w:p>
    <w:p w14:paraId="72E0F37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«Карабудахкентский район» – 99 %;</w:t>
      </w:r>
    </w:p>
    <w:p w14:paraId="3AE9195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«Хивский район» – 86 %;</w:t>
      </w:r>
    </w:p>
    <w:p w14:paraId="1B7EC57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«Кумторкалинский район» – 40 %;</w:t>
      </w:r>
    </w:p>
    <w:p w14:paraId="69699D4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«Табасаранский район» – 66 %;</w:t>
      </w:r>
    </w:p>
    <w:p w14:paraId="13C27D3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«Хунзахский район» – 90 %;</w:t>
      </w:r>
    </w:p>
    <w:p w14:paraId="274B509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«город Каспийск» – 92 %. </w:t>
      </w:r>
    </w:p>
    <w:p w14:paraId="0F5FC35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Как и в предыдущие годы, неблагополучная ситуация складывается с поступлением в доходную часть местных бюджетов: </w:t>
      </w:r>
    </w:p>
    <w:p w14:paraId="67D5BE9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налога на имущество физических лиц, исполнение за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 2022 года составило 51,1 %, при бюджетных назначениях в сумме 118 973,0 тыс. рублей, фактически поступило 60 765,0 тыс. рублей;</w:t>
      </w:r>
    </w:p>
    <w:p w14:paraId="0DFC91F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земельного налога, в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квартале 2022 года поступление составило в сумме 179 618,0 тыс. рублей, при утвержденном задании – 299 175,0 тыс. рублей, или 60 %.</w:t>
      </w:r>
    </w:p>
    <w:p w14:paraId="2D78DA5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квартале 2022 года из 52-х муниципальных образований Республики Дагестан в 17-ти муниципалитетах исполнение бюджетных назначений по налогу на имущество физических лиц составило менее 50 %, из них в 6 муниципалитетах – менее 20 %, в том числе: </w:t>
      </w:r>
    </w:p>
    <w:p w14:paraId="105E2AF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«Ахвахский район» – 12 %;</w:t>
      </w:r>
    </w:p>
    <w:p w14:paraId="07A3A91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«Лакский район» – 1 %;</w:t>
      </w:r>
    </w:p>
    <w:p w14:paraId="2C99A86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«Рутульский район» – 8 %;</w:t>
      </w:r>
    </w:p>
    <w:p w14:paraId="1DDE25E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«Хивский район» – 18 %;</w:t>
      </w:r>
    </w:p>
    <w:p w14:paraId="6E5FCD8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«Цунтинский район» – 1 %;</w:t>
      </w:r>
    </w:p>
    <w:p w14:paraId="6C5C94F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«Бежтинский участок» – 2%. </w:t>
      </w:r>
    </w:p>
    <w:p w14:paraId="36CCFCA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21 муниципальных районах и городских округах исполнение бюджетных назначений по земельному налогу за 1 квартал 2022 года составило менее 50 %, а в отдельных из них менее 30 %, в том числе:</w:t>
      </w:r>
    </w:p>
    <w:p w14:paraId="7104D8B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«Гергебильский район» – 23 %;</w:t>
      </w:r>
    </w:p>
    <w:p w14:paraId="61FC07E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«Гунибский район» – 25 %;</w:t>
      </w:r>
    </w:p>
    <w:p w14:paraId="1CC908B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«Дербентский район» – 1 %;</w:t>
      </w:r>
    </w:p>
    <w:p w14:paraId="675FDA0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«Докузпаринский район» – 11 %;</w:t>
      </w:r>
    </w:p>
    <w:p w14:paraId="633C02F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«Лакский район» – 6 %;</w:t>
      </w:r>
    </w:p>
    <w:p w14:paraId="104A1E4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«Рутульский район» – 22 %;</w:t>
      </w:r>
    </w:p>
    <w:p w14:paraId="0677BF1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«Сулейман-Стальский район» – 28 %;</w:t>
      </w:r>
    </w:p>
    <w:p w14:paraId="3AEAAB8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«Унцукульский район» – 16 %;</w:t>
      </w:r>
    </w:p>
    <w:p w14:paraId="57C3092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«Хунзахский район» –- 29 %;</w:t>
      </w:r>
    </w:p>
    <w:p w14:paraId="7043C07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«Цунтинский район» – 28 %;</w:t>
      </w:r>
    </w:p>
    <w:p w14:paraId="723C5DA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«Чародинский район» – 1 %;</w:t>
      </w:r>
    </w:p>
    <w:p w14:paraId="10E13B8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lastRenderedPageBreak/>
        <w:t>- МО «город Кизилюрт» – 30 %;</w:t>
      </w:r>
    </w:p>
    <w:p w14:paraId="2BB4EFD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Дагестанские Огни» – 15 %.</w:t>
      </w:r>
    </w:p>
    <w:p w14:paraId="5761465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Объем неналоговых доходов, поступивший в </w:t>
      </w:r>
      <w:r w:rsidRPr="007A77E7">
        <w:rPr>
          <w:rFonts w:ascii="Times New Roman" w:eastAsia="Times New Roman" w:hAnsi="Times New Roman" w:cs="Times New Roman"/>
          <w:sz w:val="28"/>
          <w:szCs w:val="28"/>
          <w:lang w:val="en-US" w:eastAsia="ru-RU"/>
        </w:rPr>
        <w:t>I</w:t>
      </w:r>
      <w:r w:rsidRPr="007A77E7">
        <w:rPr>
          <w:rFonts w:ascii="Times New Roman" w:eastAsia="Times New Roman" w:hAnsi="Times New Roman" w:cs="Times New Roman"/>
          <w:sz w:val="28"/>
          <w:szCs w:val="28"/>
          <w:lang w:eastAsia="ru-RU"/>
        </w:rPr>
        <w:t xml:space="preserve"> квартале 2022 года в бюджеты муниципальных образований, составил 301 907,0 тыс. рублей, или 100,3 % от утвержденных назначений (301 021,0 тыс. рублей), сверх плана поступило доходов в сумме 886,0 тыс. рублей.</w:t>
      </w:r>
    </w:p>
    <w:p w14:paraId="49D39B5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15-ти муниципальных районах и городских округах исполнение по неналоговым доходам обеспечено от 50 % до 100 %, в 9-ти муниципалитетах – ниже 50 %, в том числе:</w:t>
      </w:r>
    </w:p>
    <w:p w14:paraId="55FC4E5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«Ахтынский район» – 49 %;</w:t>
      </w:r>
    </w:p>
    <w:p w14:paraId="4B56871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«Гергебильский район» –- 33 %;</w:t>
      </w:r>
    </w:p>
    <w:p w14:paraId="5188961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«Дербентский район» – 28 %;</w:t>
      </w:r>
    </w:p>
    <w:p w14:paraId="7FF3581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«Кизилюртовский район» – 43%;</w:t>
      </w:r>
    </w:p>
    <w:p w14:paraId="3587FCE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«Курахский район» – 49 %;</w:t>
      </w:r>
    </w:p>
    <w:p w14:paraId="3CFDA50C"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«Рутульский район» – 43 %;</w:t>
      </w:r>
    </w:p>
    <w:p w14:paraId="69B19E9D"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«Унцукульский район» – 42 %;</w:t>
      </w:r>
    </w:p>
    <w:p w14:paraId="5E1EE46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«Шамильский район» – 36 %;</w:t>
      </w:r>
    </w:p>
    <w:p w14:paraId="622CDE1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«город Кизляр» – 36 %. </w:t>
      </w:r>
    </w:p>
    <w:p w14:paraId="6E510BA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t>6)</w:t>
      </w:r>
      <w:r w:rsidRPr="007A77E7">
        <w:rPr>
          <w:rFonts w:ascii="Times New Roman" w:eastAsia="Times New Roman" w:hAnsi="Times New Roman" w:cs="Times New Roman"/>
          <w:color w:val="002060"/>
          <w:sz w:val="28"/>
          <w:szCs w:val="28"/>
          <w:lang w:eastAsia="ru-RU"/>
        </w:rPr>
        <w:t xml:space="preserve"> </w:t>
      </w:r>
      <w:r w:rsidRPr="007A77E7">
        <w:rPr>
          <w:rFonts w:ascii="Times New Roman" w:eastAsia="Times New Roman" w:hAnsi="Times New Roman" w:cs="Times New Roman"/>
          <w:sz w:val="28"/>
          <w:szCs w:val="28"/>
          <w:lang w:eastAsia="ru-RU"/>
        </w:rPr>
        <w:t>В 2022 году из республиканского бюджета Республики Дагестан местным бюджетам муниципальных районов выделены субвенции для наделения органов местного самоуправления государственными полномочиями Республики Дагестан по расчету и предоставлению дотаций поселениям для создания районных фондов финансовой поддержки поселений в сумме 2 246 797,0 тыс. рублей, что составляет 100 % от утвержденных назначений.</w:t>
      </w:r>
    </w:p>
    <w:p w14:paraId="36398DD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Для сравнения: в 2020 году показатель объема бюджетных средств, выделенных из республиканского бюджета Республики Дагестан на указанные цели, составлял 2 205 827,0 тыс. рублей, что на 40 970,0 тыс. рублей меньше, чем в 2021 году.</w:t>
      </w:r>
    </w:p>
    <w:p w14:paraId="138F4B4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Правоотношения, связанные с формированием  и распределением средств республиканского бюджета Республики Дагестан на предоставление финансовой поддержки поселениям муниципальных районов, регулируются Законом Республики Дагестан от 8 декабря 2005 года № 64 «О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поселениям за счет средств республиканского бюджета Республики Дагестан»(с изменениями и дополнениями).</w:t>
      </w:r>
    </w:p>
    <w:p w14:paraId="7B4704C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Анализ показал, что в ходе исполнения республиканского бюджета Республики Дагестан за 2021 год в части предоставления и использования указанного вида субвенций не в полном объеме выполняются положения Закона Республики Дагестан от 8 декабря 2005 года № 64 «О наделении органов местного самоуправления муниципальных районов Республики Дагестан государственными полномочиями Республики Дагестан по расчету и предоставлению дотаций поселениям за счет средств республиканского </w:t>
      </w:r>
      <w:r w:rsidRPr="007A77E7">
        <w:rPr>
          <w:rFonts w:ascii="Times New Roman" w:eastAsia="Times New Roman" w:hAnsi="Times New Roman" w:cs="Times New Roman"/>
          <w:sz w:val="28"/>
          <w:szCs w:val="28"/>
          <w:lang w:eastAsia="ru-RU"/>
        </w:rPr>
        <w:lastRenderedPageBreak/>
        <w:t xml:space="preserve">бюджета Республики Дагестан». </w:t>
      </w:r>
    </w:p>
    <w:p w14:paraId="6E8E61E3" w14:textId="7E30A82F"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Так, при распределении (определении и выделении) соответствующих объемов (размеров) субвенций бюджетам муниципальных районов Республики Дагестан из республиканского бюджета Республики Дагестан для образования фонда финансовой поддержки поселений обеспечено выполнение требований статьи 4 Закона Республики Дагестан от 8 декабря 2005 года № 64 (ред. от 10.11.2020г.) в части их распределения между бюджетами муниципальных районов исходя из численности жителей поселений, входящих в состав муниципального района, из расчета на одного жителя, с применением поправочных коэффициентов, учитывающих объективные условия, в том числе географические, климатические, демографические и иные, влияющие на стоимость предоставления бюджетных услуг и в целом на исполнение расходных полномочий поселений.</w:t>
      </w:r>
    </w:p>
    <w:p w14:paraId="674E3261" w14:textId="68D534A6"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частности, при расчете и предоставлении субвенций бюджетам муниципальных районов из республиканского бюджета Республики Дагестан на предоставление финансовой поддержки поселениям применены:</w:t>
      </w:r>
    </w:p>
    <w:p w14:paraId="3DEFA94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расчетные налоговые доходы (налоговый потенциал);</w:t>
      </w:r>
    </w:p>
    <w:p w14:paraId="2E3CD95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индекс налогового потенциала;</w:t>
      </w:r>
    </w:p>
    <w:p w14:paraId="6F699C7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бюджетная обеспеченность (индекс бюджетных расходов поселений, условно-нормативные расходы бюджетов поселений, численность постоянного населения поселения;</w:t>
      </w:r>
    </w:p>
    <w:p w14:paraId="41A4693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коэффициенты удорожания стоимости предоставления бюджетных услуг (дисперсности (расселения), заработной платы, транспортной доступности, численности населения, по коммунальному хозяйству, учитывающий необходимость обеспечения социально-значимых и первоочередных расходов бюджетов поселений;</w:t>
      </w:r>
    </w:p>
    <w:p w14:paraId="5B65DAC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формулы, предусмотренные Методикой расчета и предоставления субвенций бюджетам муниципальных районов, утвержденной Законом Республики Дагестан от 8 декабря 2005 года № 64.</w:t>
      </w:r>
    </w:p>
    <w:p w14:paraId="6D86855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Статьей 7 Закона Республики Дагестан от 8 декабря 2005 года № 64 </w:t>
      </w:r>
      <w:r w:rsidRPr="007A77E7">
        <w:rPr>
          <w:rFonts w:ascii="Times New Roman" w:eastAsia="Times New Roman" w:hAnsi="Times New Roman" w:cs="Times New Roman"/>
          <w:sz w:val="28"/>
          <w:szCs w:val="28"/>
          <w:lang w:eastAsia="ru-RU"/>
        </w:rPr>
        <w:br/>
        <w:t>определен порядок перечисления муниципальным районам субвенций из республиканского бюджета Республики Дагестан и дотаций из фонда. Согласно указанному порядку субвенции из республиканского бюджета Республики Дагестан предоставляются бюджетам муниципальных районов ежемесячно в соответствии с утвержденной бюджетной росписью республиканского бюджета Республики Дагестан и лимитами бюджетных обязательств с учетом сезонных потребностей, возникающих в процессе исполнения местных бюджетов.</w:t>
      </w:r>
    </w:p>
    <w:p w14:paraId="5CB6494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Кроме того, статьей 10 Закона Республики Дагестан от 8 декабря 2005 года № 64 установлено, что отчеты о реализации переданных полномочий предоставляются органами местного самоуправления муниципальных районов в Министерство финансов Республики Дагестан ежеквартально не позднее 10 числа месяца, следующего за отчетным периодом. Форма отчета и порядок его предоставления определяются Министерством финансов </w:t>
      </w:r>
      <w:r w:rsidRPr="007A77E7">
        <w:rPr>
          <w:rFonts w:ascii="Times New Roman" w:eastAsia="Times New Roman" w:hAnsi="Times New Roman" w:cs="Times New Roman"/>
          <w:sz w:val="28"/>
          <w:szCs w:val="28"/>
          <w:lang w:eastAsia="ru-RU"/>
        </w:rPr>
        <w:lastRenderedPageBreak/>
        <w:t>Республики Дагестан.</w:t>
      </w:r>
    </w:p>
    <w:p w14:paraId="5825E73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Проверкой установлено, что отдельными органами местного самоуправления муниципальных районов в 2021 году не обеспечивалось выполнение указанных требований.</w:t>
      </w:r>
    </w:p>
    <w:p w14:paraId="4123C1DB"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b/>
          <w:color w:val="002060"/>
          <w:sz w:val="28"/>
          <w:szCs w:val="28"/>
          <w:lang w:eastAsia="ru-RU"/>
        </w:rPr>
        <w:t>7)</w:t>
      </w:r>
      <w:r w:rsidRPr="007A77E7">
        <w:rPr>
          <w:rFonts w:ascii="Times New Roman" w:eastAsia="Times New Roman" w:hAnsi="Times New Roman" w:cs="Times New Roman"/>
          <w:sz w:val="28"/>
          <w:szCs w:val="28"/>
          <w:lang w:eastAsia="ru-RU"/>
        </w:rPr>
        <w:t xml:space="preserve"> В соответствии с Законом Республики Дагестан от 8 ноября </w:t>
      </w:r>
      <w:r w:rsidRPr="007A77E7">
        <w:rPr>
          <w:rFonts w:ascii="Times New Roman" w:eastAsia="Times New Roman" w:hAnsi="Times New Roman" w:cs="Times New Roman"/>
          <w:sz w:val="28"/>
          <w:szCs w:val="28"/>
          <w:lang w:eastAsia="ru-RU"/>
        </w:rPr>
        <w:br/>
        <w:t xml:space="preserve">2021 года № 63 «О внесении изменений в Закон Республики Дагестан </w:t>
      </w:r>
      <w:r w:rsidRPr="007A77E7">
        <w:rPr>
          <w:rFonts w:ascii="Times New Roman" w:eastAsia="Times New Roman" w:hAnsi="Times New Roman" w:cs="Times New Roman"/>
          <w:sz w:val="28"/>
          <w:szCs w:val="28"/>
          <w:lang w:eastAsia="ru-RU"/>
        </w:rPr>
        <w:br/>
        <w:t>«О республиканском бюджете Республики Дагестан на 2021 год и на плановый период 2022 и 2023 годов» утверждены объемы средств, передаваемых бюджетам муниципальных районов и городских округов Республики Дагестан для компенсации дополнительных расходов, возникших в результате решений, принятых органами власти другого уровня.</w:t>
      </w:r>
    </w:p>
    <w:p w14:paraId="13D0D41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Из общей суммы 82 627,8 тыс. рублей, которые предусматривалось выделить из республиканского бюджета Республики Дагестан четырем муниципальным образованиям, средства в сумме 37 294,6 тыс. рублей планировалось направить 3-м муниципальным районам и 45 333,2 тыс. рублей – одному городскому округу (в 2020 финансовом году на указанные цели были запланированы средства в сумме 121 798,2 тыс. рублей, которые были распределены бюджетам 6-ми муниципалитетов, в том числе 72 158,0 тыс. рублей бюджетам 3-х муниципальных районов и 49 640,2 тыс. рублей бюджетам 3-х городских округов).</w:t>
      </w:r>
    </w:p>
    <w:p w14:paraId="4D652E8D" w14:textId="33345F0E"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Фактическое кассовое исполнение бюджетных назначений по распределению средств, передаваемых бюджетам муниципальных районов и городских округов Республики Дагестан для компенсации дополнительных расходов, возникших в результате решений, принятых органами власти другого уровня, за 2021 год составило 80 659,6 тыс. рублей. Остаток неиспользованных средств в сумме 1 968,2 тыс. рублей возвращен в республиканский бюджет </w:t>
      </w:r>
      <w:r w:rsidR="00B45176" w:rsidRPr="007639C4">
        <w:rPr>
          <w:rFonts w:ascii="Times New Roman" w:eastAsia="Times New Roman" w:hAnsi="Times New Roman" w:cs="Times New Roman"/>
          <w:sz w:val="28"/>
          <w:szCs w:val="28"/>
          <w:lang w:eastAsia="ru-RU"/>
        </w:rPr>
        <w:t>Республики Дагестан</w:t>
      </w:r>
      <w:r w:rsidRPr="007A77E7">
        <w:rPr>
          <w:rFonts w:ascii="Times New Roman" w:eastAsia="Times New Roman" w:hAnsi="Times New Roman" w:cs="Times New Roman"/>
          <w:sz w:val="28"/>
          <w:szCs w:val="28"/>
          <w:lang w:eastAsia="ru-RU"/>
        </w:rPr>
        <w:t xml:space="preserve"> (МО «Ахвахский район»). </w:t>
      </w:r>
    </w:p>
    <w:p w14:paraId="3DB7B9E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Анализ показал, что бюджетам 2-х муниципальных образований в ходе исполнения республиканского бюджета Республики Дагестан на 2021 год предоставлены средства на указанные цели в объеме 64 849,2 тыс. рублей, что составляет 78,5 % от общего объема средств, выделенных из республиканского бюджета Республики Дагестан в 2021 году четырем муниципалитетам (82 627,8 тыс. рублей).</w:t>
      </w:r>
    </w:p>
    <w:p w14:paraId="4C63B53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Из общей суммы средств, предоставленных из республиканского бюджета Республики Дагестан местным бюджетам в 2021 году, наибольшие объемы средств выделены:</w:t>
      </w:r>
    </w:p>
    <w:p w14:paraId="282C318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«город Кизилюрт» – 45 333,2 тыс. рублей, или 54,9 %;</w:t>
      </w:r>
    </w:p>
    <w:p w14:paraId="427528D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МО «Цунтинский район» – 19 516,0 тыс. рублей, или 23,6 %.</w:t>
      </w:r>
    </w:p>
    <w:p w14:paraId="23AC924E"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соответствии с распоряжениями Правительства Республики Дагестан указанным муниципальным образованиям направлены средств на ликвидацию последствий чрезвычайных ситуаций, а также на решение вопросов социального характера, требующих оперативного реагирования, в том числе:</w:t>
      </w:r>
    </w:p>
    <w:p w14:paraId="2E7577C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10"/>
          <w:sz w:val="28"/>
          <w:szCs w:val="28"/>
          <w:shd w:val="clear" w:color="auto" w:fill="FFFFFF"/>
          <w:lang w:eastAsia="ru-RU"/>
        </w:rPr>
      </w:pPr>
      <w:r w:rsidRPr="007A77E7">
        <w:rPr>
          <w:rFonts w:ascii="Times New Roman" w:eastAsia="Calibri" w:hAnsi="Times New Roman" w:cs="Times New Roman"/>
          <w:color w:val="000000"/>
          <w:spacing w:val="10"/>
          <w:sz w:val="28"/>
          <w:szCs w:val="28"/>
          <w:shd w:val="clear" w:color="auto" w:fill="FFFFFF"/>
          <w:lang w:eastAsia="ru-RU"/>
        </w:rPr>
        <w:t xml:space="preserve">- МО «Ахвахский район» – 10 118,6 тыс. рублей, на финансирование расходов, связанных с выполнением работ по </w:t>
      </w:r>
      <w:r w:rsidRPr="007A77E7">
        <w:rPr>
          <w:rFonts w:ascii="Times New Roman" w:eastAsia="Calibri" w:hAnsi="Times New Roman" w:cs="Times New Roman"/>
          <w:color w:val="000000"/>
          <w:spacing w:val="10"/>
          <w:sz w:val="28"/>
          <w:szCs w:val="28"/>
          <w:shd w:val="clear" w:color="auto" w:fill="FFFFFF"/>
          <w:lang w:eastAsia="ru-RU"/>
        </w:rPr>
        <w:lastRenderedPageBreak/>
        <w:t>подготовке основания и монтажу спортивного оборудования для устройства физкультурно-оздоровительного комплекса открытого типа в сел. Карата.</w:t>
      </w:r>
    </w:p>
    <w:p w14:paraId="6B80E50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Calibri" w:hAnsi="Times New Roman" w:cs="Times New Roman"/>
          <w:color w:val="000000"/>
          <w:spacing w:val="10"/>
          <w:sz w:val="28"/>
          <w:szCs w:val="28"/>
          <w:shd w:val="clear" w:color="auto" w:fill="FFFFFF"/>
          <w:lang w:eastAsia="ru-RU"/>
        </w:rPr>
        <w:t xml:space="preserve">В соответствии с муниципальным контрактов от 28 сентября 2021 года № 001 на указанные цели использованы средства в сумме 8 150,4 тыс. рублей. </w:t>
      </w:r>
      <w:r w:rsidRPr="007A77E7">
        <w:rPr>
          <w:rFonts w:ascii="Times New Roman" w:eastAsia="Calibri" w:hAnsi="Times New Roman" w:cs="Times New Roman"/>
          <w:sz w:val="28"/>
          <w:szCs w:val="28"/>
          <w:lang w:eastAsia="ru-RU"/>
        </w:rPr>
        <w:t>Остаток неиспользованных средств в сумме 1 968,2 тыс. рублей возвращен в республиканский бюджет Республики Дагестан в январе 2022 года;</w:t>
      </w:r>
    </w:p>
    <w:p w14:paraId="4ADF58A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10"/>
          <w:sz w:val="28"/>
          <w:szCs w:val="28"/>
          <w:shd w:val="clear" w:color="auto" w:fill="FFFFFF"/>
          <w:lang w:eastAsia="ru-RU"/>
        </w:rPr>
      </w:pPr>
      <w:r w:rsidRPr="007A77E7">
        <w:rPr>
          <w:rFonts w:ascii="Times New Roman" w:eastAsia="Calibri" w:hAnsi="Times New Roman" w:cs="Times New Roman"/>
          <w:sz w:val="28"/>
          <w:szCs w:val="28"/>
          <w:lang w:eastAsia="ru-RU"/>
        </w:rPr>
        <w:t xml:space="preserve">- МО «Унцукульский район» – 7 660,0 тыс. рублей, </w:t>
      </w:r>
      <w:r w:rsidRPr="007A77E7">
        <w:rPr>
          <w:rFonts w:ascii="Times New Roman" w:eastAsia="Calibri" w:hAnsi="Times New Roman" w:cs="Times New Roman"/>
          <w:color w:val="000000"/>
          <w:spacing w:val="10"/>
          <w:sz w:val="28"/>
          <w:szCs w:val="28"/>
          <w:shd w:val="clear" w:color="auto" w:fill="FFFFFF"/>
          <w:lang w:eastAsia="ru-RU"/>
        </w:rPr>
        <w:t>на финансирование расходов, связанных с выполнением работ по подготовке основания и монтажу спортивного оборудования для устройства физкультурно-оздоровительного комплекса открытого типа в пос. Шамилькала.</w:t>
      </w:r>
    </w:p>
    <w:p w14:paraId="75588BC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10"/>
          <w:sz w:val="28"/>
          <w:szCs w:val="28"/>
          <w:shd w:val="clear" w:color="auto" w:fill="FFFFFF"/>
          <w:lang w:eastAsia="ru-RU"/>
        </w:rPr>
      </w:pPr>
      <w:r w:rsidRPr="007A77E7">
        <w:rPr>
          <w:rFonts w:ascii="Times New Roman" w:eastAsia="Calibri" w:hAnsi="Times New Roman" w:cs="Times New Roman"/>
          <w:color w:val="000000"/>
          <w:spacing w:val="10"/>
          <w:sz w:val="28"/>
          <w:szCs w:val="28"/>
          <w:shd w:val="clear" w:color="auto" w:fill="FFFFFF"/>
          <w:lang w:eastAsia="ru-RU"/>
        </w:rPr>
        <w:t xml:space="preserve">В соответствии с распоряжением Главы муниципального образования от 26 марта 2021 года № 44-р, на основании 9 договоров подряда, заключенных в октябре 2020 года указанные средства использованы в полном объеме. </w:t>
      </w:r>
    </w:p>
    <w:p w14:paraId="60F7495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Calibri" w:hAnsi="Times New Roman" w:cs="Times New Roman"/>
          <w:color w:val="000000"/>
          <w:spacing w:val="10"/>
          <w:sz w:val="28"/>
          <w:szCs w:val="28"/>
          <w:shd w:val="clear" w:color="auto" w:fill="FFFFFF"/>
          <w:lang w:eastAsia="ru-RU"/>
        </w:rPr>
        <w:t xml:space="preserve">Анализ документов и материалов, представленных администрацией муниципального района, показал, что при заключении соответствующих договоров подряда на выполнение указанных работ не обеспечено соблюдение требований статьи 72 Бюджетного кодекса Российской Федерации, поскольку указанные договора были заключены в октябре 2020 года в отсутствие соответствующих лимитов бюджетных обязательств и без проведения конкурсных процедур;  </w:t>
      </w:r>
    </w:p>
    <w:p w14:paraId="09C4F50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Calibri" w:hAnsi="Times New Roman" w:cs="Times New Roman"/>
          <w:color w:val="000000"/>
          <w:spacing w:val="10"/>
          <w:sz w:val="28"/>
          <w:szCs w:val="28"/>
          <w:shd w:val="clear" w:color="auto" w:fill="FFFFFF"/>
          <w:lang w:eastAsia="ru-RU"/>
        </w:rPr>
        <w:t xml:space="preserve">- МО «Цунтинский район» – 18 516,0 тыс. рублей, на компенсационные выплаты гражданам за утраченное жилье и 1 000,0 тыс. рублей – на оказание финансовой помощи гражданам в связи с утратой имущества первой необходимости. Выделенные средства использованы в полном объеме. </w:t>
      </w:r>
    </w:p>
    <w:p w14:paraId="63F9F63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7A77E7">
        <w:rPr>
          <w:rFonts w:ascii="Times New Roman" w:eastAsia="Calibri" w:hAnsi="Times New Roman" w:cs="Times New Roman"/>
          <w:b/>
          <w:color w:val="002060"/>
          <w:sz w:val="28"/>
          <w:szCs w:val="28"/>
          <w:lang w:eastAsia="ru-RU"/>
        </w:rPr>
        <w:t>8)</w:t>
      </w:r>
      <w:r w:rsidRPr="007A77E7">
        <w:rPr>
          <w:rFonts w:ascii="Times New Roman" w:eastAsia="Calibri" w:hAnsi="Times New Roman" w:cs="Times New Roman"/>
          <w:color w:val="002060"/>
          <w:sz w:val="28"/>
          <w:szCs w:val="28"/>
          <w:lang w:eastAsia="ru-RU"/>
        </w:rPr>
        <w:t xml:space="preserve"> </w:t>
      </w:r>
      <w:r w:rsidRPr="007A77E7">
        <w:rPr>
          <w:rFonts w:ascii="Times New Roman" w:eastAsia="Calibri" w:hAnsi="Times New Roman" w:cs="Times New Roman"/>
          <w:sz w:val="28"/>
          <w:szCs w:val="28"/>
          <w:lang w:eastAsia="ru-RU"/>
        </w:rPr>
        <w:t xml:space="preserve">Анализ исполнения местных бюджетов за 2021 год показывает, что муниципальными образованиями не в полном объеме обеспечивается выполнение расходных обязательств по вопросам местного значения, а также переданных государственных полномочий, в результате чего допускается не освоение бюджетных ассигнований и их аккумулирование в остатках на единых счетах муниципалитетов по учету бюджетных средств. </w:t>
      </w:r>
    </w:p>
    <w:p w14:paraId="0768B8C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По состоянию на 1 января 2022 года общая сумма неиспользованных бюджетных средств, находящихся на счетах муниципальных образований в виде остатков средств, составила в сумме 6 663 849,1 тыс. рублей, в том числе средств, имеющих целевое назначение – 3 168 800,0 тыс. рублей, или 47,6 % от общего объема остатков.</w:t>
      </w:r>
    </w:p>
    <w:p w14:paraId="5784DD9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По сравнению с 2020 годом общий объем остатков средств увеличился на 1 167 699,1 тыс. рублей, в том числе целевых средств – на 1 403 098,5 тыс. рублей. </w:t>
      </w:r>
    </w:p>
    <w:p w14:paraId="1F34DD8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В 12-ти муниципальных образованиях объемы неиспользованных (неосвоенных) бюджетных средств за 2021 год составили от 30 000,0 тыс. </w:t>
      </w:r>
      <w:r w:rsidRPr="007A77E7">
        <w:rPr>
          <w:rFonts w:ascii="Times New Roman" w:eastAsia="Times New Roman" w:hAnsi="Times New Roman" w:cs="Times New Roman"/>
          <w:sz w:val="28"/>
          <w:szCs w:val="28"/>
          <w:lang w:eastAsia="ru-RU"/>
        </w:rPr>
        <w:lastRenderedPageBreak/>
        <w:t>рублей до 50 000,0 тыс. рублей.</w:t>
      </w:r>
    </w:p>
    <w:p w14:paraId="4A22E2A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13-ти муниципалитетах объемы неиспользованных (неосвоенных) бюджетных средств за 2021 год составили от 50 000,0 тыс. рублей до 100 000,0 тыс. рублей.</w:t>
      </w:r>
    </w:p>
    <w:p w14:paraId="375CED84"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В 8-ми муниципалитетах остатки неиспользованных (неосвоенных) бюджетных средств за 2021 год составили свыше100 000,0 тыс. рублей, в том числе:</w:t>
      </w:r>
    </w:p>
    <w:p w14:paraId="0310AF2F"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«Дербентский район» – 125 019,5 тыс. рублей, из них средства, имеющие целевое назначение – 13 432,0 тыс. рублей; </w:t>
      </w:r>
    </w:p>
    <w:p w14:paraId="321D437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«Сулейма-Стальский район» – 112 548,3 тыс. рублей, из них средства, имеющие целевое назначение – 85 323,4 тыс. рублей; </w:t>
      </w:r>
    </w:p>
    <w:p w14:paraId="27B1F83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«Сергокалинский район» – 106 315,1 тыс. рублей, из них средства, имеющие целевое назначение – 85 549,9 тыс. рублей; </w:t>
      </w:r>
    </w:p>
    <w:p w14:paraId="718C012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«Хасавюртовский район» – 151 970,5 тыс. рублей, из них средства, имеющие целевое назначение – 12 587,5 тыс. рублей; </w:t>
      </w:r>
    </w:p>
    <w:p w14:paraId="23148D88"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«город Махачкала» – 678 875,2 тыс. рублей, из них средства, имеющие целевое назначение – 500 266,6 тыс. рублей; </w:t>
      </w:r>
    </w:p>
    <w:p w14:paraId="668670F2"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«город Дербент» – 3 650 465,0 тыс. рублей, из них средства, имеющие целевое назначение – 1 858 228.1 тыс. рублей; </w:t>
      </w:r>
    </w:p>
    <w:p w14:paraId="4EA7EC40"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«город Хасавюрт» – 126 381,9 тыс. рублей, из них средства, имеющие целевое назначение – 63 114,8 тыс. рублей; </w:t>
      </w:r>
    </w:p>
    <w:p w14:paraId="1B1F2227"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МО «город Каспийск» – 100 581,1 тыс. рублей, из них средства, имеющие целевое назначение – 16 868,6 тыс. рублей. </w:t>
      </w:r>
    </w:p>
    <w:p w14:paraId="146DEFE9"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Кроме того, в отдельных муниципальных образованиях допущено не освоение целевых средств, выделенных из федерального бюджета на общую сумму 15 854,7 тыс. рублей. В частности, на 1 января 2022 года на счетах местных бюджетов образовались остатки:</w:t>
      </w:r>
    </w:p>
    <w:p w14:paraId="58998AE5"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субвенции на осуществление первичного воинского учета на территориях, где отсутствуют военные комиссариаты – 454,2 тыс. рублей </w:t>
      </w:r>
      <w:r w:rsidRPr="007A77E7">
        <w:rPr>
          <w:rFonts w:ascii="Times New Roman" w:eastAsia="Times New Roman" w:hAnsi="Times New Roman" w:cs="Times New Roman"/>
          <w:sz w:val="28"/>
          <w:szCs w:val="28"/>
          <w:lang w:eastAsia="ru-RU"/>
        </w:rPr>
        <w:br/>
        <w:t xml:space="preserve">(МО «Дербентский район» – 65,1 тыс. рублей, МО «Карабудахкентский район» – 43,1 тыс. рублей, МО «Кизлярский район» – 23,6 тыс. рублей, </w:t>
      </w:r>
      <w:r w:rsidRPr="007A77E7">
        <w:rPr>
          <w:rFonts w:ascii="Times New Roman" w:eastAsia="Times New Roman" w:hAnsi="Times New Roman" w:cs="Times New Roman"/>
          <w:sz w:val="28"/>
          <w:szCs w:val="28"/>
          <w:lang w:eastAsia="ru-RU"/>
        </w:rPr>
        <w:br/>
        <w:t>МО «Рутульский район» – 25,7 тыс. рублей, МО «Хунзахский район» – 180,9 тыс. рублей, МО «Табасаранский район» – 66,4 тыс. рублей);</w:t>
      </w:r>
    </w:p>
    <w:p w14:paraId="15725773"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субвенции на выплату единовременного пособия при всех формах устройства детей, лишенных родительского попечения, в семью – 328,1 тыс. рублей (МО «Каякентский район» – 94,4 тыс. рублей, МО «город Дербент» – 56,7 тыс. рублей, МО «город Хасавюрт» – 94,4 тыс. рублей, МО «город Каспийск» – 37,8 тыс. рублей); </w:t>
      </w:r>
    </w:p>
    <w:p w14:paraId="5E918B9A"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субвенции на организацию переписи населения – 5 911,7 тыс. рублей (МО «Дахадаевский район» – 515,1 тыс. рублей, МО «Казбековский район» – 344,0 тыс. рублей, МО «Кизлярский район» – 546.9 тыс. рублей, </w:t>
      </w:r>
      <w:r w:rsidRPr="007A77E7">
        <w:rPr>
          <w:rFonts w:ascii="Times New Roman" w:eastAsia="Times New Roman" w:hAnsi="Times New Roman" w:cs="Times New Roman"/>
          <w:sz w:val="28"/>
          <w:szCs w:val="28"/>
          <w:lang w:eastAsia="ru-RU"/>
        </w:rPr>
        <w:br/>
        <w:t xml:space="preserve">МО «Левашинский район» – 150,0 тыс. рублей, МО «Новолакский район» – 233,4 тыс. рублей, МО «Сулейман-Стальский район» – 410,4 тыс. рублей, </w:t>
      </w:r>
      <w:r w:rsidRPr="007A77E7">
        <w:rPr>
          <w:rFonts w:ascii="Times New Roman" w:eastAsia="Times New Roman" w:hAnsi="Times New Roman" w:cs="Times New Roman"/>
          <w:sz w:val="28"/>
          <w:szCs w:val="28"/>
          <w:lang w:eastAsia="ru-RU"/>
        </w:rPr>
        <w:br/>
        <w:t xml:space="preserve">МО «Тарумовский район» – 256,6 тыс. рублей, МО «Хасавюртовский район» </w:t>
      </w:r>
      <w:r w:rsidRPr="007A77E7">
        <w:rPr>
          <w:rFonts w:ascii="Times New Roman" w:eastAsia="Times New Roman" w:hAnsi="Times New Roman" w:cs="Times New Roman"/>
          <w:sz w:val="28"/>
          <w:szCs w:val="28"/>
          <w:lang w:eastAsia="ru-RU"/>
        </w:rPr>
        <w:lastRenderedPageBreak/>
        <w:t xml:space="preserve">– 1 106,6 тыс. рублей, МО «город Буйнакск» – 478,2 тыс. рублей, МО «город Хасавюрт» – 796,8 тыс. рублей. МО «город Кизляр» – 211,7 тыс. рублей, </w:t>
      </w:r>
      <w:r w:rsidRPr="007A77E7">
        <w:rPr>
          <w:rFonts w:ascii="Times New Roman" w:eastAsia="Times New Roman" w:hAnsi="Times New Roman" w:cs="Times New Roman"/>
          <w:sz w:val="28"/>
          <w:szCs w:val="28"/>
          <w:lang w:eastAsia="ru-RU"/>
        </w:rPr>
        <w:br/>
        <w:t xml:space="preserve">МО «город Избербаш» – 359,0 тыс. рублей); </w:t>
      </w:r>
    </w:p>
    <w:p w14:paraId="10A56EF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 7 260,3 тыс. рублей </w:t>
      </w:r>
      <w:r w:rsidRPr="007A77E7">
        <w:rPr>
          <w:rFonts w:ascii="Times New Roman" w:eastAsia="Times New Roman" w:hAnsi="Times New Roman" w:cs="Times New Roman"/>
          <w:sz w:val="28"/>
          <w:szCs w:val="28"/>
          <w:lang w:eastAsia="ru-RU"/>
        </w:rPr>
        <w:br/>
        <w:t>(МО «Гергебильский район» – 253,3 тыс. рублей, МО «Кумторкалинский район» – 548,4 тыс. рублей, МО «город Каспийск» – 6 340,8 тыс. рублей);</w:t>
      </w:r>
    </w:p>
    <w:p w14:paraId="359E88F1"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A77E7">
        <w:rPr>
          <w:rFonts w:ascii="Times New Roman" w:eastAsia="Times New Roman" w:hAnsi="Times New Roman" w:cs="Times New Roman"/>
          <w:sz w:val="28"/>
          <w:szCs w:val="28"/>
          <w:lang w:eastAsia="ru-RU"/>
        </w:rPr>
        <w:t xml:space="preserve">-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1 746,2 тыс. рублей (МО «Ахвахский район» – 29,9 тыс. рублей, МО «Ботлихский район» – 24,2 тыс. рублей, </w:t>
      </w:r>
      <w:r w:rsidRPr="007A77E7">
        <w:rPr>
          <w:rFonts w:ascii="Times New Roman" w:eastAsia="Times New Roman" w:hAnsi="Times New Roman" w:cs="Times New Roman"/>
          <w:sz w:val="28"/>
          <w:szCs w:val="28"/>
          <w:lang w:eastAsia="ru-RU"/>
        </w:rPr>
        <w:br/>
        <w:t>МО «Хунзахский район» – 22,3 тыс. рублей, МО «город Махачкала» – 480,4 тыс. рублей, МО «город Каспийск» – 1 168,3 тыс. рублей).</w:t>
      </w:r>
    </w:p>
    <w:p w14:paraId="1DF85A86" w14:textId="77777777" w:rsidR="007A77E7" w:rsidRPr="007A77E7" w:rsidRDefault="007A77E7" w:rsidP="007A7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5E50B39" w14:textId="7EEC6B56"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EDEB615" w14:textId="50FC1693"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1FAE229" w14:textId="54DC4799" w:rsidR="00EC2FB5" w:rsidRDefault="00EC2FB5"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1B3A8C0" w14:textId="045DA45F"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7778317" w14:textId="5EECD422"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E9300D5" w14:textId="2893B51C"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597C2D2" w14:textId="6A19CF59"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B347A19" w14:textId="273CF91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92C78F6" w14:textId="6A296981"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1C16888" w14:textId="03D40E1D"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92E26CE" w14:textId="7A93967B"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B00F163" w14:textId="3E390A74"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D52D36B" w14:textId="5D856A17"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243D35D" w14:textId="5F107CE9"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694E697" w14:textId="695EF091"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A3FCFFA" w14:textId="7D1A99D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08C95DD" w14:textId="2C5E012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D5EDBAF" w14:textId="2B1E957D"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F59B47D" w14:textId="3F6DF9F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91B2CBA" w14:textId="228FDE0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44548CD" w14:textId="710691EC"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4190671" w14:textId="6F18F2B1"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B2361BE" w14:textId="1D3F8F3F"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A673064" w14:textId="77777777"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7CC6270" w14:textId="261D9EB3"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95DFC9D" w14:textId="77777777" w:rsidR="003248F9" w:rsidRDefault="003248F9"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FF9F3CD" w14:textId="630AEA8B"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ABCA423" w14:textId="26FF1B33"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F3645B">
        <w:rPr>
          <w:rFonts w:ascii="Times New Roman" w:eastAsia="Times New Roman" w:hAnsi="Times New Roman" w:cs="Times New Roman"/>
          <w:b/>
          <w:bCs/>
          <w:color w:val="002060"/>
          <w:sz w:val="28"/>
          <w:szCs w:val="28"/>
          <w:lang w:eastAsia="ru-RU"/>
        </w:rPr>
        <w:lastRenderedPageBreak/>
        <w:t>4.3. И</w:t>
      </w:r>
      <w:r w:rsidRPr="00F3645B">
        <w:rPr>
          <w:rFonts w:ascii="Times New Roman" w:eastAsia="Times New Roman" w:hAnsi="Times New Roman" w:cs="Times New Roman"/>
          <w:b/>
          <w:color w:val="002060"/>
          <w:sz w:val="28"/>
          <w:szCs w:val="28"/>
          <w:lang w:eastAsia="ru-RU"/>
        </w:rPr>
        <w:t xml:space="preserve">сполнение государственных программ </w:t>
      </w:r>
    </w:p>
    <w:p w14:paraId="01F177A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F3645B">
        <w:rPr>
          <w:rFonts w:ascii="Times New Roman" w:eastAsia="Times New Roman" w:hAnsi="Times New Roman" w:cs="Times New Roman"/>
          <w:b/>
          <w:color w:val="002060"/>
          <w:sz w:val="28"/>
          <w:szCs w:val="28"/>
          <w:lang w:eastAsia="ru-RU"/>
        </w:rPr>
        <w:t>Республики Дагестан</w:t>
      </w:r>
    </w:p>
    <w:p w14:paraId="27883090"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EBBD790" w14:textId="77777777" w:rsidR="00F3645B" w:rsidRPr="00F3645B" w:rsidRDefault="00F3645B" w:rsidP="00F3645B">
      <w:pPr>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 xml:space="preserve">В соответствии с Приложением 14 к </w:t>
      </w:r>
      <w:bookmarkStart w:id="31" w:name="_Hlk8557325"/>
      <w:r w:rsidRPr="00F3645B">
        <w:rPr>
          <w:rFonts w:ascii="Times New Roman" w:eastAsia="Calibri" w:hAnsi="Times New Roman" w:cs="Times New Roman"/>
          <w:spacing w:val="2"/>
          <w:sz w:val="28"/>
          <w:szCs w:val="28"/>
          <w:lang w:eastAsia="ru-RU"/>
        </w:rPr>
        <w:t xml:space="preserve">Закону Республики Дагестан от </w:t>
      </w:r>
      <w:r w:rsidRPr="00F3645B">
        <w:rPr>
          <w:rFonts w:ascii="Times New Roman" w:eastAsia="Calibri" w:hAnsi="Times New Roman" w:cs="Times New Roman"/>
          <w:spacing w:val="2"/>
          <w:sz w:val="28"/>
          <w:szCs w:val="28"/>
          <w:lang w:eastAsia="ru-RU"/>
        </w:rPr>
        <w:br/>
        <w:t>28 декабря 2020 года № 103 «О республиканском бюджете Республики Дагестан на 2021 год и на плановый период 2022 и 2023 годов»</w:t>
      </w:r>
      <w:bookmarkEnd w:id="31"/>
      <w:r w:rsidRPr="00F3645B">
        <w:rPr>
          <w:rFonts w:ascii="Times New Roman" w:eastAsia="Calibri" w:hAnsi="Times New Roman" w:cs="Times New Roman"/>
          <w:spacing w:val="2"/>
          <w:sz w:val="28"/>
          <w:szCs w:val="28"/>
          <w:lang w:eastAsia="ru-RU"/>
        </w:rPr>
        <w:t xml:space="preserve"> расходы на реализацию </w:t>
      </w:r>
      <w:r w:rsidRPr="00F3645B">
        <w:rPr>
          <w:rFonts w:ascii="Times New Roman" w:eastAsia="Calibri" w:hAnsi="Times New Roman" w:cs="Times New Roman"/>
          <w:b/>
          <w:bCs/>
          <w:spacing w:val="2"/>
          <w:sz w:val="28"/>
          <w:szCs w:val="28"/>
          <w:lang w:eastAsia="ru-RU"/>
        </w:rPr>
        <w:t>46</w:t>
      </w:r>
      <w:r w:rsidRPr="00F3645B">
        <w:rPr>
          <w:rFonts w:ascii="Times New Roman" w:eastAsia="Calibri" w:hAnsi="Times New Roman" w:cs="Times New Roman"/>
          <w:spacing w:val="2"/>
          <w:sz w:val="28"/>
          <w:szCs w:val="28"/>
          <w:lang w:eastAsia="ru-RU"/>
        </w:rPr>
        <w:t xml:space="preserve"> государственных программ Республики Дагестан профинансированы в сумме </w:t>
      </w:r>
      <w:bookmarkStart w:id="32" w:name="_Hlk8828234"/>
      <w:r w:rsidRPr="00F3645B">
        <w:rPr>
          <w:rFonts w:ascii="Times New Roman" w:eastAsia="Calibri" w:hAnsi="Times New Roman" w:cs="Times New Roman"/>
          <w:spacing w:val="2"/>
          <w:sz w:val="28"/>
          <w:szCs w:val="28"/>
          <w:lang w:eastAsia="ru-RU"/>
        </w:rPr>
        <w:t>174 462 010,2 тыс. рублей</w:t>
      </w:r>
      <w:bookmarkEnd w:id="32"/>
      <w:r w:rsidRPr="00F3645B">
        <w:rPr>
          <w:rFonts w:ascii="Times New Roman" w:eastAsia="Calibri" w:hAnsi="Times New Roman" w:cs="Times New Roman"/>
          <w:spacing w:val="2"/>
          <w:sz w:val="28"/>
          <w:szCs w:val="28"/>
          <w:lang w:eastAsia="ru-RU"/>
        </w:rPr>
        <w:t>, или 99,75 % к уточненным назначениям (174 893 385,7 тыс. рублей).</w:t>
      </w:r>
    </w:p>
    <w:p w14:paraId="77497238"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Недофинансированы расходы в сумме 431 375,5 тыс. рублей, в частности по:</w:t>
      </w:r>
    </w:p>
    <w:p w14:paraId="57AFD66A" w14:textId="5B52FCD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 xml:space="preserve">- государственной программе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w:t>
      </w:r>
      <w:r w:rsidR="00B45176" w:rsidRPr="007639C4">
        <w:rPr>
          <w:rFonts w:ascii="Times New Roman" w:eastAsia="Times New Roman" w:hAnsi="Times New Roman" w:cs="Times New Roman"/>
          <w:sz w:val="28"/>
          <w:szCs w:val="28"/>
          <w:lang w:eastAsia="ru-RU"/>
        </w:rPr>
        <w:t>Республик</w:t>
      </w:r>
      <w:r w:rsidR="00B45176">
        <w:rPr>
          <w:rFonts w:ascii="Times New Roman" w:eastAsia="Times New Roman" w:hAnsi="Times New Roman" w:cs="Times New Roman"/>
          <w:sz w:val="28"/>
          <w:szCs w:val="28"/>
          <w:lang w:eastAsia="ru-RU"/>
        </w:rPr>
        <w:t>е</w:t>
      </w:r>
      <w:r w:rsidR="00B45176" w:rsidRPr="007639C4">
        <w:rPr>
          <w:rFonts w:ascii="Times New Roman" w:eastAsia="Times New Roman" w:hAnsi="Times New Roman" w:cs="Times New Roman"/>
          <w:sz w:val="28"/>
          <w:szCs w:val="28"/>
          <w:lang w:eastAsia="ru-RU"/>
        </w:rPr>
        <w:t xml:space="preserve"> Дагестан</w:t>
      </w:r>
      <w:r w:rsidRPr="00F3645B">
        <w:rPr>
          <w:rFonts w:ascii="Times New Roman" w:eastAsia="Calibri" w:hAnsi="Times New Roman" w:cs="Times New Roman"/>
          <w:spacing w:val="2"/>
          <w:sz w:val="28"/>
          <w:szCs w:val="28"/>
          <w:lang w:eastAsia="ru-RU"/>
        </w:rPr>
        <w:t>» – 61 862,3 тыс. рублей;</w:t>
      </w:r>
    </w:p>
    <w:p w14:paraId="0FC174F5"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 подпрограмме «Создание условий для обеспечения качественными услугами жилищно-коммунального хозяйства населения Республики Дагестан» государственной программа Республики Дагестан «Развитие жилищного строительства в Республике Дагестан» – 40 000,0 тыс. рублей;</w:t>
      </w:r>
    </w:p>
    <w:p w14:paraId="0BB08352"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 подпрограммам «Развитие дошкольного образования детей» – 17 262,0 тыс. рублей и «Развитие общего образования детей» – 146 279,3 тыс. рублей государственной программы Республики Дагестан «Развитие образования в Республике Дагестан» (163 540,3 тыс. рублей);</w:t>
      </w:r>
    </w:p>
    <w:p w14:paraId="0DAA89A1"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 подпрограммам «Кадровое обеспечение системы здравоохранения» государственной программа Республики Дагестан «Развитие жилищного строительства в Республике Дагестан» – 120 000,0 тыс. рублей и «Профилактика заболеваний и формирование здорового образа жизни. Развитие первичной медико-санитарной помощи» – 0,9 тыс. рублей государственной программы Республики Дагестан «Развитие здравоохранения в Республике Дагестан»;</w:t>
      </w:r>
    </w:p>
    <w:p w14:paraId="626E98BD"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 государственной программе Республики Дагестан «Комплексное территориальное развитие муниципального образования городской округ «город Дербент» – 445 970,5 тыс. рублей;</w:t>
      </w:r>
    </w:p>
    <w:p w14:paraId="47E66DCA"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 государственной программе Республики Дагестан «Развитие системы оказания паллиативной медицинской помощи» – 1,2 тыс. рублей;</w:t>
      </w:r>
    </w:p>
    <w:p w14:paraId="6E0EC422"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Кассовые расходы на реализацию государственных программ Республики Дагестан за 2021 год составили 162 585 336,3 тыс. рублей, или 93,2 % к объему профинансированных расходов (174 462 010,2 тыс. рублей). Не освоены бюджетные средства в сумме 11 876 673,9 тыс. рублей. При этом, только по 10 государственным программам Республики Дагестан кассовые расходы составили 100 % от объема финансирования.</w:t>
      </w:r>
    </w:p>
    <w:p w14:paraId="47873FD1"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Calibri" w:hAnsi="Times New Roman" w:cs="Times New Roman"/>
          <w:spacing w:val="2"/>
          <w:sz w:val="28"/>
          <w:szCs w:val="28"/>
          <w:lang w:eastAsia="ru-RU"/>
        </w:rPr>
      </w:pPr>
      <w:r w:rsidRPr="00F3645B">
        <w:rPr>
          <w:rFonts w:ascii="Times New Roman" w:eastAsia="Calibri" w:hAnsi="Times New Roman" w:cs="Times New Roman"/>
          <w:spacing w:val="2"/>
          <w:sz w:val="28"/>
          <w:szCs w:val="28"/>
          <w:lang w:eastAsia="ru-RU"/>
        </w:rPr>
        <w:t>Сведения об исполнении государственных программ Республики Дагестан за 2021 год представленные Министерством финансов Республики Дагестан в следующей таблице.</w:t>
      </w:r>
    </w:p>
    <w:p w14:paraId="0BC70CD4" w14:textId="77777777" w:rsidR="00F3645B" w:rsidRPr="00F3645B" w:rsidRDefault="00F3645B" w:rsidP="00F3645B">
      <w:pPr>
        <w:widowControl w:val="0"/>
        <w:spacing w:after="0" w:line="340" w:lineRule="exact"/>
        <w:ind w:firstLine="709"/>
        <w:jc w:val="right"/>
        <w:rPr>
          <w:rFonts w:ascii="Times New Roman" w:eastAsia="Calibri" w:hAnsi="Times New Roman" w:cs="Times New Roman"/>
          <w:b/>
          <w:bCs/>
          <w:color w:val="002060"/>
          <w:spacing w:val="2"/>
          <w:sz w:val="24"/>
          <w:szCs w:val="24"/>
        </w:rPr>
      </w:pPr>
      <w:r w:rsidRPr="00F3645B">
        <w:rPr>
          <w:rFonts w:ascii="Times New Roman" w:eastAsia="Calibri" w:hAnsi="Times New Roman" w:cs="Times New Roman"/>
          <w:b/>
          <w:bCs/>
          <w:color w:val="002060"/>
          <w:spacing w:val="2"/>
          <w:sz w:val="24"/>
          <w:szCs w:val="24"/>
        </w:rPr>
        <w:lastRenderedPageBreak/>
        <w:t>тыс. рублей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827"/>
        <w:gridCol w:w="1105"/>
        <w:gridCol w:w="1134"/>
        <w:gridCol w:w="850"/>
        <w:gridCol w:w="1134"/>
        <w:gridCol w:w="993"/>
      </w:tblGrid>
      <w:tr w:rsidR="00F3645B" w:rsidRPr="00F3645B" w14:paraId="1475AD3C" w14:textId="77777777" w:rsidTr="00156793">
        <w:trPr>
          <w:trHeight w:val="646"/>
          <w:tblHeader/>
        </w:trPr>
        <w:tc>
          <w:tcPr>
            <w:tcW w:w="421" w:type="dxa"/>
            <w:shd w:val="clear" w:color="auto" w:fill="D9E2F3" w:themeFill="accent1" w:themeFillTint="33"/>
            <w:noWrap/>
            <w:vAlign w:val="center"/>
          </w:tcPr>
          <w:p w14:paraId="6E43D1C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w:t>
            </w:r>
          </w:p>
        </w:tc>
        <w:tc>
          <w:tcPr>
            <w:tcW w:w="3827" w:type="dxa"/>
            <w:shd w:val="clear" w:color="auto" w:fill="D9E2F3" w:themeFill="accent1" w:themeFillTint="33"/>
            <w:vAlign w:val="center"/>
          </w:tcPr>
          <w:p w14:paraId="3AD43C1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 xml:space="preserve">Наименование </w:t>
            </w:r>
          </w:p>
          <w:p w14:paraId="7B1285E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 xml:space="preserve">государственной программы </w:t>
            </w:r>
          </w:p>
        </w:tc>
        <w:tc>
          <w:tcPr>
            <w:tcW w:w="1105" w:type="dxa"/>
            <w:shd w:val="clear" w:color="auto" w:fill="D9E2F3" w:themeFill="accent1" w:themeFillTint="33"/>
            <w:vAlign w:val="center"/>
          </w:tcPr>
          <w:p w14:paraId="10A74A82" w14:textId="77777777" w:rsidR="00F3645B" w:rsidRPr="00F3645B" w:rsidRDefault="00F3645B" w:rsidP="00F3645B">
            <w:pPr>
              <w:widowControl w:val="0"/>
              <w:autoSpaceDE w:val="0"/>
              <w:autoSpaceDN w:val="0"/>
              <w:adjustRightInd w:val="0"/>
              <w:spacing w:after="0" w:line="240" w:lineRule="auto"/>
              <w:ind w:left="-105"/>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sz w:val="16"/>
                <w:szCs w:val="16"/>
                <w:lang w:eastAsia="ru-RU"/>
              </w:rPr>
              <w:t>Уточненные бюджетные назначения на 2021 год</w:t>
            </w:r>
          </w:p>
        </w:tc>
        <w:tc>
          <w:tcPr>
            <w:tcW w:w="1134" w:type="dxa"/>
            <w:shd w:val="clear" w:color="auto" w:fill="D9E2F3" w:themeFill="accent1" w:themeFillTint="33"/>
            <w:vAlign w:val="center"/>
          </w:tcPr>
          <w:p w14:paraId="7CE20635" w14:textId="77777777" w:rsidR="00F3645B" w:rsidRPr="00F3645B" w:rsidRDefault="00F3645B" w:rsidP="00F3645B">
            <w:pPr>
              <w:widowControl w:val="0"/>
              <w:autoSpaceDE w:val="0"/>
              <w:autoSpaceDN w:val="0"/>
              <w:adjustRightInd w:val="0"/>
              <w:spacing w:after="0" w:line="240" w:lineRule="auto"/>
              <w:ind w:hanging="110"/>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 xml:space="preserve">Фактически профинансировано </w:t>
            </w:r>
          </w:p>
        </w:tc>
        <w:tc>
          <w:tcPr>
            <w:tcW w:w="850" w:type="dxa"/>
            <w:shd w:val="clear" w:color="auto" w:fill="D9E2F3" w:themeFill="accent1" w:themeFillTint="33"/>
            <w:vAlign w:val="center"/>
          </w:tcPr>
          <w:p w14:paraId="06152D2C" w14:textId="77777777" w:rsidR="00F3645B" w:rsidRPr="00F3645B" w:rsidRDefault="00F3645B" w:rsidP="00F3645B">
            <w:pPr>
              <w:widowControl w:val="0"/>
              <w:autoSpaceDE w:val="0"/>
              <w:autoSpaceDN w:val="0"/>
              <w:adjustRightInd w:val="0"/>
              <w:spacing w:after="0" w:line="180" w:lineRule="exact"/>
              <w:ind w:left="-109" w:right="-106" w:hanging="16"/>
              <w:jc w:val="center"/>
              <w:rPr>
                <w:rFonts w:ascii="Times New Roman" w:eastAsia="Times New Roman" w:hAnsi="Times New Roman" w:cs="Times New Roman"/>
                <w:b/>
                <w:sz w:val="16"/>
                <w:szCs w:val="16"/>
                <w:lang w:eastAsia="ru-RU"/>
              </w:rPr>
            </w:pPr>
            <w:r w:rsidRPr="00F3645B">
              <w:rPr>
                <w:rFonts w:ascii="Times New Roman" w:eastAsia="Times New Roman" w:hAnsi="Times New Roman" w:cs="Times New Roman"/>
                <w:b/>
                <w:sz w:val="16"/>
                <w:szCs w:val="16"/>
                <w:lang w:eastAsia="ru-RU"/>
              </w:rPr>
              <w:t>Откло-нение</w:t>
            </w:r>
          </w:p>
          <w:p w14:paraId="7572A5A8" w14:textId="77777777" w:rsidR="00F3645B" w:rsidRPr="00F3645B" w:rsidRDefault="00F3645B" w:rsidP="00F3645B">
            <w:pPr>
              <w:widowControl w:val="0"/>
              <w:autoSpaceDE w:val="0"/>
              <w:autoSpaceDN w:val="0"/>
              <w:adjustRightInd w:val="0"/>
              <w:spacing w:after="0" w:line="240" w:lineRule="auto"/>
              <w:ind w:hanging="16"/>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sz w:val="16"/>
                <w:szCs w:val="16"/>
                <w:lang w:eastAsia="ru-RU"/>
              </w:rPr>
              <w:t>(гр.4-гр.3)</w:t>
            </w:r>
          </w:p>
        </w:tc>
        <w:tc>
          <w:tcPr>
            <w:tcW w:w="1134" w:type="dxa"/>
            <w:shd w:val="clear" w:color="auto" w:fill="D9E2F3" w:themeFill="accent1" w:themeFillTint="33"/>
            <w:vAlign w:val="center"/>
          </w:tcPr>
          <w:p w14:paraId="4A4A1278"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Кассовое исполнение</w:t>
            </w:r>
          </w:p>
          <w:p w14:paraId="16B369E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за 2021 год</w:t>
            </w:r>
          </w:p>
        </w:tc>
        <w:tc>
          <w:tcPr>
            <w:tcW w:w="993" w:type="dxa"/>
            <w:shd w:val="clear" w:color="auto" w:fill="D9E2F3" w:themeFill="accent1" w:themeFillTint="33"/>
            <w:vAlign w:val="center"/>
          </w:tcPr>
          <w:p w14:paraId="7BF364E3" w14:textId="77777777" w:rsidR="00F3645B" w:rsidRPr="00F3645B" w:rsidRDefault="00F3645B" w:rsidP="00F3645B">
            <w:pPr>
              <w:widowControl w:val="0"/>
              <w:autoSpaceDE w:val="0"/>
              <w:autoSpaceDN w:val="0"/>
              <w:adjustRightInd w:val="0"/>
              <w:spacing w:after="0" w:line="240" w:lineRule="auto"/>
              <w:ind w:hanging="104"/>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Не освоенные средства</w:t>
            </w:r>
          </w:p>
          <w:p w14:paraId="437256B8"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 xml:space="preserve"> </w:t>
            </w:r>
            <w:r w:rsidRPr="00F3645B">
              <w:rPr>
                <w:rFonts w:ascii="Times New Roman" w:eastAsia="Times New Roman" w:hAnsi="Times New Roman" w:cs="Times New Roman"/>
                <w:b/>
                <w:sz w:val="16"/>
                <w:szCs w:val="16"/>
                <w:lang w:eastAsia="ru-RU"/>
              </w:rPr>
              <w:t>(гр.6-гр.4)</w:t>
            </w:r>
          </w:p>
        </w:tc>
      </w:tr>
      <w:tr w:rsidR="00F3645B" w:rsidRPr="00F3645B" w14:paraId="169FE50F" w14:textId="77777777" w:rsidTr="00156793">
        <w:trPr>
          <w:trHeight w:val="144"/>
          <w:tblHeader/>
        </w:trPr>
        <w:tc>
          <w:tcPr>
            <w:tcW w:w="421" w:type="dxa"/>
            <w:shd w:val="clear" w:color="auto" w:fill="D9E2F3" w:themeFill="accent1" w:themeFillTint="33"/>
            <w:noWrap/>
            <w:vAlign w:val="center"/>
          </w:tcPr>
          <w:p w14:paraId="018388D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1</w:t>
            </w:r>
          </w:p>
        </w:tc>
        <w:tc>
          <w:tcPr>
            <w:tcW w:w="3827" w:type="dxa"/>
            <w:shd w:val="clear" w:color="auto" w:fill="D9E2F3" w:themeFill="accent1" w:themeFillTint="33"/>
            <w:noWrap/>
            <w:vAlign w:val="center"/>
          </w:tcPr>
          <w:p w14:paraId="2E25D38F"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2</w:t>
            </w:r>
          </w:p>
        </w:tc>
        <w:tc>
          <w:tcPr>
            <w:tcW w:w="1105" w:type="dxa"/>
            <w:shd w:val="clear" w:color="auto" w:fill="D9E2F3" w:themeFill="accent1" w:themeFillTint="33"/>
            <w:vAlign w:val="center"/>
          </w:tcPr>
          <w:p w14:paraId="7C31EFE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3</w:t>
            </w:r>
          </w:p>
        </w:tc>
        <w:tc>
          <w:tcPr>
            <w:tcW w:w="1134" w:type="dxa"/>
            <w:shd w:val="clear" w:color="auto" w:fill="D9E2F3" w:themeFill="accent1" w:themeFillTint="33"/>
            <w:vAlign w:val="center"/>
          </w:tcPr>
          <w:p w14:paraId="22CDB69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4</w:t>
            </w:r>
          </w:p>
        </w:tc>
        <w:tc>
          <w:tcPr>
            <w:tcW w:w="850" w:type="dxa"/>
            <w:shd w:val="clear" w:color="auto" w:fill="D9E2F3" w:themeFill="accent1" w:themeFillTint="33"/>
            <w:noWrap/>
            <w:vAlign w:val="center"/>
          </w:tcPr>
          <w:p w14:paraId="48E39C1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5</w:t>
            </w:r>
          </w:p>
        </w:tc>
        <w:tc>
          <w:tcPr>
            <w:tcW w:w="1134" w:type="dxa"/>
            <w:shd w:val="clear" w:color="auto" w:fill="D9E2F3" w:themeFill="accent1" w:themeFillTint="33"/>
            <w:vAlign w:val="center"/>
          </w:tcPr>
          <w:p w14:paraId="5EE8369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6</w:t>
            </w:r>
          </w:p>
        </w:tc>
        <w:tc>
          <w:tcPr>
            <w:tcW w:w="993" w:type="dxa"/>
            <w:shd w:val="clear" w:color="auto" w:fill="D9E2F3" w:themeFill="accent1" w:themeFillTint="33"/>
            <w:noWrap/>
            <w:vAlign w:val="center"/>
          </w:tcPr>
          <w:p w14:paraId="0D83DC1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7</w:t>
            </w:r>
          </w:p>
        </w:tc>
      </w:tr>
      <w:tr w:rsidR="00F3645B" w:rsidRPr="00F3645B" w14:paraId="24242B8A" w14:textId="77777777" w:rsidTr="00545B6E">
        <w:trPr>
          <w:trHeight w:val="517"/>
        </w:trPr>
        <w:tc>
          <w:tcPr>
            <w:tcW w:w="421" w:type="dxa"/>
            <w:shd w:val="clear" w:color="auto" w:fill="auto"/>
            <w:noWrap/>
            <w:vAlign w:val="center"/>
          </w:tcPr>
          <w:p w14:paraId="0F231D7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1</w:t>
            </w:r>
          </w:p>
        </w:tc>
        <w:tc>
          <w:tcPr>
            <w:tcW w:w="3827" w:type="dxa"/>
            <w:shd w:val="clear" w:color="auto" w:fill="auto"/>
          </w:tcPr>
          <w:p w14:paraId="512ED7E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0D1D285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11 335,6</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32A225C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11 335,6</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1190A47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501C97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11 183,9</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09A8D1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-151,7</w:t>
            </w:r>
          </w:p>
        </w:tc>
      </w:tr>
      <w:tr w:rsidR="00F3645B" w:rsidRPr="00F3645B" w14:paraId="42C15FFF"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701B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3FA506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информационно-коммуникационной инфраструктуры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04EB67B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402 449,3</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5F6D1B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402 449,3</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78D7309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270010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246 279,0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DE419D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-156 170,3</w:t>
            </w:r>
          </w:p>
        </w:tc>
      </w:tr>
      <w:tr w:rsidR="00F3645B" w:rsidRPr="00F3645B" w14:paraId="7DFFD1F2"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C874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D2DF61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РФ «Обеспечение доступным и комфортным жильем и коммунальными услугами граждан Российской Федерации»</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0745FD7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149 773,5</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31A5BE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149 773,5</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4545AA2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C9D7B3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149 773,5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08C35F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14137687" w14:textId="77777777" w:rsidTr="00545B6E">
        <w:trPr>
          <w:trHeight w:val="23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6231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1D95C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«Создание условий для обеспечения доступным и комфортным жильем граждан России»</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7E06E9D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149 773,5</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A470B4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149 773,5</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4288284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C7D76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149 773,5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42A412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582E243E"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6D36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5D9501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«Обеспечение общественного порядка и противодействие преступности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7CE2603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48 218,2</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392F4D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48 218,2</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07C8303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5EF038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42 751,6</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D671F7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-5 466,6</w:t>
            </w:r>
          </w:p>
        </w:tc>
      </w:tr>
      <w:tr w:rsidR="00F3645B" w:rsidRPr="00F3645B" w14:paraId="7A08E0EB"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1317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343A55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общественного порядка и противодействие преступности в Республике Дагестан»</w:t>
            </w:r>
          </w:p>
        </w:tc>
        <w:tc>
          <w:tcPr>
            <w:tcW w:w="1105" w:type="dxa"/>
            <w:tcBorders>
              <w:top w:val="nil"/>
              <w:left w:val="single" w:sz="4" w:space="0" w:color="auto"/>
              <w:bottom w:val="single" w:sz="4" w:space="0" w:color="auto"/>
              <w:right w:val="single" w:sz="4" w:space="0" w:color="auto"/>
            </w:tcBorders>
            <w:shd w:val="clear" w:color="auto" w:fill="auto"/>
            <w:vAlign w:val="center"/>
          </w:tcPr>
          <w:p w14:paraId="352B691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9 564,8</w:t>
            </w:r>
          </w:p>
        </w:tc>
        <w:tc>
          <w:tcPr>
            <w:tcW w:w="1134" w:type="dxa"/>
            <w:tcBorders>
              <w:top w:val="nil"/>
              <w:left w:val="nil"/>
              <w:bottom w:val="single" w:sz="4" w:space="0" w:color="auto"/>
              <w:right w:val="single" w:sz="4" w:space="0" w:color="auto"/>
            </w:tcBorders>
            <w:shd w:val="clear" w:color="000000" w:fill="FFFFFF"/>
            <w:vAlign w:val="center"/>
          </w:tcPr>
          <w:p w14:paraId="5D6BEA8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9 564,9</w:t>
            </w:r>
          </w:p>
        </w:tc>
        <w:tc>
          <w:tcPr>
            <w:tcW w:w="850" w:type="dxa"/>
            <w:tcBorders>
              <w:top w:val="nil"/>
              <w:left w:val="nil"/>
              <w:bottom w:val="single" w:sz="4" w:space="0" w:color="auto"/>
              <w:right w:val="single" w:sz="4" w:space="0" w:color="auto"/>
            </w:tcBorders>
            <w:shd w:val="clear" w:color="000000" w:fill="FFFFFF"/>
            <w:noWrap/>
            <w:vAlign w:val="center"/>
          </w:tcPr>
          <w:p w14:paraId="10102B7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760041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9 533,4</w:t>
            </w:r>
          </w:p>
        </w:tc>
        <w:tc>
          <w:tcPr>
            <w:tcW w:w="993" w:type="dxa"/>
            <w:tcBorders>
              <w:top w:val="nil"/>
              <w:left w:val="nil"/>
              <w:bottom w:val="single" w:sz="4" w:space="0" w:color="auto"/>
              <w:right w:val="single" w:sz="4" w:space="0" w:color="auto"/>
            </w:tcBorders>
            <w:shd w:val="clear" w:color="auto" w:fill="auto"/>
            <w:noWrap/>
            <w:vAlign w:val="center"/>
          </w:tcPr>
          <w:p w14:paraId="198AB9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-31,5</w:t>
            </w:r>
          </w:p>
        </w:tc>
      </w:tr>
      <w:tr w:rsidR="00F3645B" w:rsidRPr="00F3645B" w14:paraId="31574D84" w14:textId="77777777" w:rsidTr="00545B6E">
        <w:trPr>
          <w:trHeight w:val="291"/>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999D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27EF04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«Повышение правовой культуры населения Республики Дагестан"</w:t>
            </w:r>
          </w:p>
        </w:tc>
        <w:tc>
          <w:tcPr>
            <w:tcW w:w="1105" w:type="dxa"/>
            <w:tcBorders>
              <w:top w:val="nil"/>
              <w:left w:val="single" w:sz="4" w:space="0" w:color="auto"/>
              <w:bottom w:val="single" w:sz="4" w:space="0" w:color="auto"/>
              <w:right w:val="single" w:sz="4" w:space="0" w:color="auto"/>
            </w:tcBorders>
            <w:shd w:val="clear" w:color="auto" w:fill="auto"/>
            <w:vAlign w:val="center"/>
          </w:tcPr>
          <w:p w14:paraId="7AD45EE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5 330,6</w:t>
            </w:r>
          </w:p>
        </w:tc>
        <w:tc>
          <w:tcPr>
            <w:tcW w:w="1134" w:type="dxa"/>
            <w:tcBorders>
              <w:top w:val="nil"/>
              <w:left w:val="nil"/>
              <w:bottom w:val="single" w:sz="4" w:space="0" w:color="auto"/>
              <w:right w:val="single" w:sz="4" w:space="0" w:color="auto"/>
            </w:tcBorders>
            <w:shd w:val="clear" w:color="000000" w:fill="FFFFFF"/>
            <w:vAlign w:val="center"/>
          </w:tcPr>
          <w:p w14:paraId="4048D97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5 330,6</w:t>
            </w:r>
          </w:p>
        </w:tc>
        <w:tc>
          <w:tcPr>
            <w:tcW w:w="850" w:type="dxa"/>
            <w:tcBorders>
              <w:top w:val="nil"/>
              <w:left w:val="nil"/>
              <w:bottom w:val="single" w:sz="4" w:space="0" w:color="auto"/>
              <w:right w:val="single" w:sz="4" w:space="0" w:color="auto"/>
            </w:tcBorders>
            <w:shd w:val="clear" w:color="000000" w:fill="FFFFFF"/>
            <w:noWrap/>
            <w:vAlign w:val="center"/>
          </w:tcPr>
          <w:p w14:paraId="45CAC00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E36CA8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4 614,1</w:t>
            </w:r>
          </w:p>
        </w:tc>
        <w:tc>
          <w:tcPr>
            <w:tcW w:w="993" w:type="dxa"/>
            <w:tcBorders>
              <w:top w:val="nil"/>
              <w:left w:val="nil"/>
              <w:bottom w:val="single" w:sz="4" w:space="0" w:color="auto"/>
              <w:right w:val="single" w:sz="4" w:space="0" w:color="auto"/>
            </w:tcBorders>
            <w:shd w:val="clear" w:color="auto" w:fill="auto"/>
            <w:noWrap/>
            <w:vAlign w:val="center"/>
          </w:tcPr>
          <w:p w14:paraId="6704770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-716,5</w:t>
            </w:r>
          </w:p>
        </w:tc>
      </w:tr>
      <w:tr w:rsidR="00F3645B" w:rsidRPr="00F3645B" w14:paraId="183D872A" w14:textId="77777777" w:rsidTr="00545B6E">
        <w:trPr>
          <w:trHeight w:val="34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5921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102BE6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«Повышение безопасности дорожного движения»</w:t>
            </w:r>
          </w:p>
        </w:tc>
        <w:tc>
          <w:tcPr>
            <w:tcW w:w="1105" w:type="dxa"/>
            <w:tcBorders>
              <w:top w:val="nil"/>
              <w:left w:val="single" w:sz="4" w:space="0" w:color="auto"/>
              <w:bottom w:val="single" w:sz="4" w:space="0" w:color="auto"/>
              <w:right w:val="single" w:sz="4" w:space="0" w:color="auto"/>
            </w:tcBorders>
            <w:shd w:val="clear" w:color="auto" w:fill="auto"/>
            <w:vAlign w:val="center"/>
          </w:tcPr>
          <w:p w14:paraId="114FFA1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21 089,0</w:t>
            </w:r>
          </w:p>
        </w:tc>
        <w:tc>
          <w:tcPr>
            <w:tcW w:w="1134" w:type="dxa"/>
            <w:tcBorders>
              <w:top w:val="nil"/>
              <w:left w:val="nil"/>
              <w:bottom w:val="single" w:sz="4" w:space="0" w:color="auto"/>
              <w:right w:val="single" w:sz="4" w:space="0" w:color="auto"/>
            </w:tcBorders>
            <w:shd w:val="clear" w:color="000000" w:fill="FFFFFF"/>
            <w:vAlign w:val="center"/>
          </w:tcPr>
          <w:p w14:paraId="443A41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21 089,0</w:t>
            </w:r>
          </w:p>
        </w:tc>
        <w:tc>
          <w:tcPr>
            <w:tcW w:w="850" w:type="dxa"/>
            <w:tcBorders>
              <w:top w:val="nil"/>
              <w:left w:val="nil"/>
              <w:bottom w:val="single" w:sz="4" w:space="0" w:color="auto"/>
              <w:right w:val="single" w:sz="4" w:space="0" w:color="auto"/>
            </w:tcBorders>
            <w:shd w:val="clear" w:color="000000" w:fill="FFFFFF"/>
            <w:noWrap/>
            <w:vAlign w:val="center"/>
          </w:tcPr>
          <w:p w14:paraId="09FD784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BFC101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18 652,4</w:t>
            </w:r>
          </w:p>
        </w:tc>
        <w:tc>
          <w:tcPr>
            <w:tcW w:w="993" w:type="dxa"/>
            <w:tcBorders>
              <w:top w:val="nil"/>
              <w:left w:val="nil"/>
              <w:bottom w:val="single" w:sz="4" w:space="0" w:color="auto"/>
              <w:right w:val="single" w:sz="4" w:space="0" w:color="auto"/>
            </w:tcBorders>
            <w:shd w:val="clear" w:color="auto" w:fill="auto"/>
            <w:noWrap/>
            <w:vAlign w:val="center"/>
          </w:tcPr>
          <w:p w14:paraId="7002031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-2 436,6</w:t>
            </w:r>
          </w:p>
        </w:tc>
      </w:tr>
      <w:tr w:rsidR="00F3645B" w:rsidRPr="00F3645B" w14:paraId="05E60A53"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708D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09AC48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«Профилактика правонарушений и преступлений несовершеннолетних в Республике Дагестан»</w:t>
            </w:r>
          </w:p>
        </w:tc>
        <w:tc>
          <w:tcPr>
            <w:tcW w:w="1105" w:type="dxa"/>
            <w:tcBorders>
              <w:top w:val="nil"/>
              <w:left w:val="single" w:sz="4" w:space="0" w:color="auto"/>
              <w:bottom w:val="single" w:sz="4" w:space="0" w:color="auto"/>
              <w:right w:val="single" w:sz="4" w:space="0" w:color="auto"/>
            </w:tcBorders>
            <w:shd w:val="clear" w:color="auto" w:fill="auto"/>
            <w:vAlign w:val="center"/>
          </w:tcPr>
          <w:p w14:paraId="7C7206C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2 055,9</w:t>
            </w:r>
          </w:p>
        </w:tc>
        <w:tc>
          <w:tcPr>
            <w:tcW w:w="1134" w:type="dxa"/>
            <w:tcBorders>
              <w:top w:val="nil"/>
              <w:left w:val="nil"/>
              <w:bottom w:val="single" w:sz="4" w:space="0" w:color="auto"/>
              <w:right w:val="single" w:sz="4" w:space="0" w:color="auto"/>
            </w:tcBorders>
            <w:shd w:val="clear" w:color="000000" w:fill="FFFFFF"/>
            <w:vAlign w:val="center"/>
          </w:tcPr>
          <w:p w14:paraId="3D7B89E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2 055,9</w:t>
            </w:r>
          </w:p>
        </w:tc>
        <w:tc>
          <w:tcPr>
            <w:tcW w:w="850" w:type="dxa"/>
            <w:tcBorders>
              <w:top w:val="nil"/>
              <w:left w:val="nil"/>
              <w:bottom w:val="single" w:sz="4" w:space="0" w:color="auto"/>
              <w:right w:val="single" w:sz="4" w:space="0" w:color="auto"/>
            </w:tcBorders>
            <w:shd w:val="clear" w:color="000000" w:fill="FFFFFF"/>
            <w:noWrap/>
            <w:vAlign w:val="center"/>
          </w:tcPr>
          <w:p w14:paraId="4766ACB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8FC2EE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1 005,9</w:t>
            </w:r>
          </w:p>
        </w:tc>
        <w:tc>
          <w:tcPr>
            <w:tcW w:w="993" w:type="dxa"/>
            <w:tcBorders>
              <w:top w:val="nil"/>
              <w:left w:val="nil"/>
              <w:bottom w:val="single" w:sz="4" w:space="0" w:color="auto"/>
              <w:right w:val="single" w:sz="4" w:space="0" w:color="auto"/>
            </w:tcBorders>
            <w:shd w:val="clear" w:color="auto" w:fill="auto"/>
            <w:noWrap/>
            <w:vAlign w:val="center"/>
          </w:tcPr>
          <w:p w14:paraId="0DA173D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-1 050,0</w:t>
            </w:r>
          </w:p>
        </w:tc>
      </w:tr>
      <w:tr w:rsidR="00F3645B" w:rsidRPr="00F3645B" w14:paraId="03E9F165" w14:textId="77777777" w:rsidTr="00545B6E">
        <w:trPr>
          <w:trHeight w:val="25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6D85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E4722D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«Профилактика и противодействие проявлениям экстремизма в Республике Дагестан»</w:t>
            </w:r>
          </w:p>
        </w:tc>
        <w:tc>
          <w:tcPr>
            <w:tcW w:w="1105" w:type="dxa"/>
            <w:tcBorders>
              <w:top w:val="nil"/>
              <w:left w:val="single" w:sz="4" w:space="0" w:color="auto"/>
              <w:bottom w:val="single" w:sz="4" w:space="0" w:color="auto"/>
              <w:right w:val="single" w:sz="4" w:space="0" w:color="auto"/>
            </w:tcBorders>
            <w:shd w:val="clear" w:color="000000" w:fill="FFFFFF"/>
            <w:vAlign w:val="center"/>
          </w:tcPr>
          <w:p w14:paraId="2A0FFDF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10 177,8</w:t>
            </w:r>
          </w:p>
        </w:tc>
        <w:tc>
          <w:tcPr>
            <w:tcW w:w="1134" w:type="dxa"/>
            <w:tcBorders>
              <w:top w:val="nil"/>
              <w:left w:val="nil"/>
              <w:bottom w:val="single" w:sz="4" w:space="0" w:color="auto"/>
              <w:right w:val="single" w:sz="4" w:space="0" w:color="auto"/>
            </w:tcBorders>
            <w:shd w:val="clear" w:color="000000" w:fill="FFFFFF"/>
            <w:vAlign w:val="center"/>
          </w:tcPr>
          <w:p w14:paraId="428E327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10 177,8</w:t>
            </w:r>
          </w:p>
        </w:tc>
        <w:tc>
          <w:tcPr>
            <w:tcW w:w="850" w:type="dxa"/>
            <w:tcBorders>
              <w:top w:val="nil"/>
              <w:left w:val="nil"/>
              <w:bottom w:val="single" w:sz="4" w:space="0" w:color="auto"/>
              <w:right w:val="single" w:sz="4" w:space="0" w:color="auto"/>
            </w:tcBorders>
            <w:shd w:val="clear" w:color="000000" w:fill="FFFFFF"/>
            <w:noWrap/>
            <w:vAlign w:val="center"/>
          </w:tcPr>
          <w:p w14:paraId="6431C06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3AE7DA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8 945,8</w:t>
            </w:r>
          </w:p>
        </w:tc>
        <w:tc>
          <w:tcPr>
            <w:tcW w:w="993" w:type="dxa"/>
            <w:tcBorders>
              <w:top w:val="nil"/>
              <w:left w:val="nil"/>
              <w:bottom w:val="single" w:sz="4" w:space="0" w:color="auto"/>
              <w:right w:val="single" w:sz="4" w:space="0" w:color="auto"/>
            </w:tcBorders>
            <w:shd w:val="clear" w:color="auto" w:fill="auto"/>
            <w:noWrap/>
            <w:vAlign w:val="center"/>
          </w:tcPr>
          <w:p w14:paraId="3817CB9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-1 232,0</w:t>
            </w:r>
          </w:p>
        </w:tc>
      </w:tr>
      <w:tr w:rsidR="00F3645B" w:rsidRPr="00F3645B" w14:paraId="4BBB0277"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E502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5</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BB51B2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1105" w:type="dxa"/>
            <w:tcBorders>
              <w:top w:val="single" w:sz="4" w:space="0" w:color="auto"/>
              <w:left w:val="single" w:sz="4" w:space="0" w:color="auto"/>
              <w:bottom w:val="single" w:sz="4" w:space="0" w:color="auto"/>
              <w:right w:val="single" w:sz="4" w:space="0" w:color="auto"/>
            </w:tcBorders>
            <w:shd w:val="clear" w:color="000000" w:fill="FFFFFF"/>
            <w:vAlign w:val="center"/>
          </w:tcPr>
          <w:p w14:paraId="5DDF186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1 692 921,4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2B82FF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1 692 921,4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13E21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8D4F59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1 606 149,7</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DE003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color w:val="000000"/>
                <w:sz w:val="16"/>
                <w:szCs w:val="16"/>
                <w:lang w:eastAsia="ru-RU"/>
              </w:rPr>
            </w:pPr>
            <w:r w:rsidRPr="00F3645B">
              <w:rPr>
                <w:rFonts w:ascii="Times New Roman" w:eastAsia="Times New Roman" w:hAnsi="Times New Roman" w:cs="Times New Roman"/>
                <w:b/>
                <w:color w:val="000000"/>
                <w:sz w:val="16"/>
                <w:szCs w:val="16"/>
                <w:lang w:eastAsia="ru-RU"/>
              </w:rPr>
              <w:t>-86 771,7</w:t>
            </w:r>
          </w:p>
        </w:tc>
      </w:tr>
      <w:tr w:rsidR="00F3645B" w:rsidRPr="00F3645B" w14:paraId="6FAA8500" w14:textId="77777777" w:rsidTr="00545B6E">
        <w:trPr>
          <w:trHeight w:val="283"/>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A69D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79A67E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«Комплексные меры по обеспечению пожарной безопасности в РД»</w:t>
            </w:r>
          </w:p>
        </w:tc>
        <w:tc>
          <w:tcPr>
            <w:tcW w:w="1105" w:type="dxa"/>
            <w:tcBorders>
              <w:top w:val="single" w:sz="4" w:space="0" w:color="auto"/>
              <w:left w:val="nil"/>
              <w:bottom w:val="single" w:sz="4" w:space="0" w:color="auto"/>
              <w:right w:val="single" w:sz="4" w:space="0" w:color="auto"/>
            </w:tcBorders>
            <w:shd w:val="clear" w:color="auto" w:fill="auto"/>
            <w:vAlign w:val="center"/>
          </w:tcPr>
          <w:p w14:paraId="499178E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29 559,3</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CD87AF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29 559,3</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47F2BE1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6730FC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26 420,3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7324C6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-3 139,0</w:t>
            </w:r>
          </w:p>
        </w:tc>
      </w:tr>
      <w:tr w:rsidR="00F3645B" w:rsidRPr="00F3645B" w14:paraId="577F2F1E" w14:textId="77777777" w:rsidTr="00545B6E">
        <w:trPr>
          <w:trHeight w:val="3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D52E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292326B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  Подпрограмма «Построение (развитие), внедрение и эксплуатация аппаратно-программного комплекса «Безопасный город»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4491F60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673 389,8</w:t>
            </w:r>
          </w:p>
        </w:tc>
        <w:tc>
          <w:tcPr>
            <w:tcW w:w="1134" w:type="dxa"/>
            <w:tcBorders>
              <w:top w:val="nil"/>
              <w:left w:val="nil"/>
              <w:bottom w:val="single" w:sz="4" w:space="0" w:color="auto"/>
              <w:right w:val="single" w:sz="4" w:space="0" w:color="auto"/>
            </w:tcBorders>
            <w:shd w:val="clear" w:color="000000" w:fill="FFFFFF"/>
            <w:vAlign w:val="center"/>
          </w:tcPr>
          <w:p w14:paraId="2E9759E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611 527,2</w:t>
            </w:r>
          </w:p>
        </w:tc>
        <w:tc>
          <w:tcPr>
            <w:tcW w:w="850" w:type="dxa"/>
            <w:tcBorders>
              <w:top w:val="nil"/>
              <w:left w:val="nil"/>
              <w:bottom w:val="single" w:sz="4" w:space="0" w:color="auto"/>
              <w:right w:val="single" w:sz="4" w:space="0" w:color="auto"/>
            </w:tcBorders>
            <w:shd w:val="clear" w:color="000000" w:fill="FFFFFF"/>
            <w:noWrap/>
            <w:vAlign w:val="center"/>
          </w:tcPr>
          <w:p w14:paraId="7F61E9E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-61 862,6</w:t>
            </w:r>
          </w:p>
        </w:tc>
        <w:tc>
          <w:tcPr>
            <w:tcW w:w="1134" w:type="dxa"/>
            <w:tcBorders>
              <w:top w:val="nil"/>
              <w:left w:val="nil"/>
              <w:bottom w:val="single" w:sz="4" w:space="0" w:color="auto"/>
              <w:right w:val="single" w:sz="4" w:space="0" w:color="auto"/>
            </w:tcBorders>
            <w:shd w:val="clear" w:color="000000" w:fill="FFFFFF"/>
            <w:vAlign w:val="center"/>
          </w:tcPr>
          <w:p w14:paraId="6A5853E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611 527,2</w:t>
            </w:r>
          </w:p>
        </w:tc>
        <w:tc>
          <w:tcPr>
            <w:tcW w:w="993" w:type="dxa"/>
            <w:tcBorders>
              <w:top w:val="nil"/>
              <w:left w:val="nil"/>
              <w:bottom w:val="single" w:sz="4" w:space="0" w:color="auto"/>
              <w:right w:val="single" w:sz="4" w:space="0" w:color="auto"/>
            </w:tcBorders>
            <w:shd w:val="clear" w:color="auto" w:fill="auto"/>
            <w:noWrap/>
            <w:vAlign w:val="center"/>
          </w:tcPr>
          <w:p w14:paraId="5998D70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5BD926E9" w14:textId="77777777" w:rsidTr="00545B6E">
        <w:trPr>
          <w:trHeight w:val="38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F757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2E8AB28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  Подпрограмма "Обеспечение реализации государственной программы»</w:t>
            </w:r>
          </w:p>
        </w:tc>
        <w:tc>
          <w:tcPr>
            <w:tcW w:w="1105" w:type="dxa"/>
            <w:tcBorders>
              <w:top w:val="nil"/>
              <w:left w:val="nil"/>
              <w:bottom w:val="single" w:sz="4" w:space="0" w:color="auto"/>
              <w:right w:val="single" w:sz="4" w:space="0" w:color="auto"/>
            </w:tcBorders>
            <w:shd w:val="clear" w:color="auto" w:fill="auto"/>
            <w:vAlign w:val="center"/>
          </w:tcPr>
          <w:p w14:paraId="19EF730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926 401,2</w:t>
            </w:r>
          </w:p>
        </w:tc>
        <w:tc>
          <w:tcPr>
            <w:tcW w:w="1134" w:type="dxa"/>
            <w:tcBorders>
              <w:top w:val="nil"/>
              <w:left w:val="nil"/>
              <w:bottom w:val="single" w:sz="4" w:space="0" w:color="auto"/>
              <w:right w:val="single" w:sz="4" w:space="0" w:color="auto"/>
            </w:tcBorders>
            <w:shd w:val="clear" w:color="000000" w:fill="FFFFFF"/>
            <w:vAlign w:val="center"/>
          </w:tcPr>
          <w:p w14:paraId="121DB8A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926 401,2</w:t>
            </w:r>
          </w:p>
        </w:tc>
        <w:tc>
          <w:tcPr>
            <w:tcW w:w="850" w:type="dxa"/>
            <w:tcBorders>
              <w:top w:val="nil"/>
              <w:left w:val="nil"/>
              <w:bottom w:val="single" w:sz="4" w:space="0" w:color="auto"/>
              <w:right w:val="single" w:sz="4" w:space="0" w:color="auto"/>
            </w:tcBorders>
            <w:shd w:val="clear" w:color="000000" w:fill="FFFFFF"/>
            <w:noWrap/>
            <w:vAlign w:val="center"/>
          </w:tcPr>
          <w:p w14:paraId="1941ACF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79578D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907 989,6</w:t>
            </w:r>
          </w:p>
        </w:tc>
        <w:tc>
          <w:tcPr>
            <w:tcW w:w="993" w:type="dxa"/>
            <w:tcBorders>
              <w:top w:val="nil"/>
              <w:left w:val="nil"/>
              <w:bottom w:val="single" w:sz="4" w:space="0" w:color="auto"/>
              <w:right w:val="single" w:sz="4" w:space="0" w:color="auto"/>
            </w:tcBorders>
            <w:shd w:val="clear" w:color="auto" w:fill="auto"/>
            <w:noWrap/>
            <w:vAlign w:val="center"/>
          </w:tcPr>
          <w:p w14:paraId="0C48B1C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-18 411,6</w:t>
            </w:r>
          </w:p>
        </w:tc>
      </w:tr>
      <w:tr w:rsidR="00F3645B" w:rsidRPr="00F3645B" w14:paraId="2ADCF96E" w14:textId="77777777" w:rsidTr="00545B6E">
        <w:trPr>
          <w:trHeight w:val="41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6B00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5F8AFDC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  Подпрограмма "Совершенствование гражданской обороны РД»</w:t>
            </w:r>
          </w:p>
        </w:tc>
        <w:tc>
          <w:tcPr>
            <w:tcW w:w="1105" w:type="dxa"/>
            <w:tcBorders>
              <w:top w:val="nil"/>
              <w:left w:val="nil"/>
              <w:bottom w:val="single" w:sz="4" w:space="0" w:color="auto"/>
              <w:right w:val="single" w:sz="4" w:space="0" w:color="auto"/>
            </w:tcBorders>
            <w:shd w:val="clear" w:color="auto" w:fill="auto"/>
            <w:vAlign w:val="center"/>
          </w:tcPr>
          <w:p w14:paraId="7236152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73 395,6</w:t>
            </w:r>
          </w:p>
        </w:tc>
        <w:tc>
          <w:tcPr>
            <w:tcW w:w="1134" w:type="dxa"/>
            <w:tcBorders>
              <w:top w:val="nil"/>
              <w:left w:val="nil"/>
              <w:bottom w:val="single" w:sz="4" w:space="0" w:color="auto"/>
              <w:right w:val="single" w:sz="4" w:space="0" w:color="auto"/>
            </w:tcBorders>
            <w:shd w:val="clear" w:color="000000" w:fill="FFFFFF"/>
            <w:vAlign w:val="center"/>
          </w:tcPr>
          <w:p w14:paraId="1FD667E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73 395,6</w:t>
            </w:r>
          </w:p>
        </w:tc>
        <w:tc>
          <w:tcPr>
            <w:tcW w:w="850" w:type="dxa"/>
            <w:tcBorders>
              <w:top w:val="nil"/>
              <w:left w:val="nil"/>
              <w:bottom w:val="single" w:sz="4" w:space="0" w:color="auto"/>
              <w:right w:val="single" w:sz="4" w:space="0" w:color="auto"/>
            </w:tcBorders>
            <w:shd w:val="clear" w:color="000000" w:fill="FFFFFF"/>
            <w:noWrap/>
            <w:vAlign w:val="center"/>
          </w:tcPr>
          <w:p w14:paraId="7F5D417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7A55AA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68 040,7</w:t>
            </w:r>
          </w:p>
        </w:tc>
        <w:tc>
          <w:tcPr>
            <w:tcW w:w="993" w:type="dxa"/>
            <w:tcBorders>
              <w:top w:val="nil"/>
              <w:left w:val="nil"/>
              <w:bottom w:val="single" w:sz="4" w:space="0" w:color="auto"/>
              <w:right w:val="single" w:sz="4" w:space="0" w:color="auto"/>
            </w:tcBorders>
            <w:shd w:val="clear" w:color="auto" w:fill="auto"/>
            <w:noWrap/>
            <w:vAlign w:val="center"/>
          </w:tcPr>
          <w:p w14:paraId="5D94A7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-5 354,9</w:t>
            </w:r>
          </w:p>
        </w:tc>
      </w:tr>
      <w:tr w:rsidR="00F3645B" w:rsidRPr="00F3645B" w14:paraId="4328F95E" w14:textId="77777777" w:rsidTr="00545B6E">
        <w:trPr>
          <w:trHeight w:val="28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9B345"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tc>
        <w:tc>
          <w:tcPr>
            <w:tcW w:w="3827" w:type="dxa"/>
            <w:tcBorders>
              <w:top w:val="nil"/>
              <w:left w:val="single" w:sz="4" w:space="0" w:color="auto"/>
              <w:bottom w:val="single" w:sz="4" w:space="0" w:color="auto"/>
              <w:right w:val="single" w:sz="4" w:space="0" w:color="auto"/>
            </w:tcBorders>
            <w:shd w:val="clear" w:color="auto" w:fill="auto"/>
          </w:tcPr>
          <w:p w14:paraId="5E3F54C0"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  Подпрограмма «Обеспечение безопасности людей на водных объектах РД"</w:t>
            </w:r>
          </w:p>
        </w:tc>
        <w:tc>
          <w:tcPr>
            <w:tcW w:w="1105" w:type="dxa"/>
            <w:tcBorders>
              <w:top w:val="nil"/>
              <w:left w:val="nil"/>
              <w:bottom w:val="single" w:sz="4" w:space="0" w:color="auto"/>
              <w:right w:val="single" w:sz="4" w:space="0" w:color="auto"/>
            </w:tcBorders>
            <w:shd w:val="clear" w:color="auto" w:fill="auto"/>
            <w:vAlign w:val="center"/>
          </w:tcPr>
          <w:p w14:paraId="3EA33F2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305 484,8</w:t>
            </w:r>
          </w:p>
        </w:tc>
        <w:tc>
          <w:tcPr>
            <w:tcW w:w="1134" w:type="dxa"/>
            <w:tcBorders>
              <w:top w:val="nil"/>
              <w:left w:val="nil"/>
              <w:bottom w:val="single" w:sz="4" w:space="0" w:color="auto"/>
              <w:right w:val="single" w:sz="4" w:space="0" w:color="auto"/>
            </w:tcBorders>
            <w:shd w:val="clear" w:color="000000" w:fill="FFFFFF"/>
            <w:vAlign w:val="center"/>
          </w:tcPr>
          <w:p w14:paraId="17BAF9F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305 484,8</w:t>
            </w:r>
          </w:p>
        </w:tc>
        <w:tc>
          <w:tcPr>
            <w:tcW w:w="850" w:type="dxa"/>
            <w:tcBorders>
              <w:top w:val="nil"/>
              <w:left w:val="nil"/>
              <w:bottom w:val="single" w:sz="4" w:space="0" w:color="auto"/>
              <w:right w:val="single" w:sz="4" w:space="0" w:color="auto"/>
            </w:tcBorders>
            <w:shd w:val="clear" w:color="000000" w:fill="FFFFFF"/>
            <w:noWrap/>
            <w:vAlign w:val="center"/>
          </w:tcPr>
          <w:p w14:paraId="7B13313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A53302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304 782,4</w:t>
            </w:r>
          </w:p>
        </w:tc>
        <w:tc>
          <w:tcPr>
            <w:tcW w:w="993" w:type="dxa"/>
            <w:tcBorders>
              <w:top w:val="nil"/>
              <w:left w:val="nil"/>
              <w:bottom w:val="single" w:sz="4" w:space="0" w:color="auto"/>
              <w:right w:val="single" w:sz="4" w:space="0" w:color="auto"/>
            </w:tcBorders>
            <w:shd w:val="clear" w:color="auto" w:fill="auto"/>
            <w:noWrap/>
            <w:vAlign w:val="center"/>
          </w:tcPr>
          <w:p w14:paraId="546BB5C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-702,4</w:t>
            </w:r>
          </w:p>
        </w:tc>
      </w:tr>
      <w:tr w:rsidR="00F3645B" w:rsidRPr="00F3645B" w14:paraId="2558392A" w14:textId="77777777" w:rsidTr="00545B6E">
        <w:trPr>
          <w:trHeight w:val="282"/>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36AD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6</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656457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«Экономическое развитие и инновационная экономика»</w:t>
            </w:r>
          </w:p>
        </w:tc>
        <w:tc>
          <w:tcPr>
            <w:tcW w:w="1105" w:type="dxa"/>
            <w:tcBorders>
              <w:top w:val="single" w:sz="4" w:space="0" w:color="auto"/>
              <w:left w:val="nil"/>
              <w:bottom w:val="single" w:sz="4" w:space="0" w:color="auto"/>
              <w:right w:val="single" w:sz="4" w:space="0" w:color="auto"/>
            </w:tcBorders>
            <w:shd w:val="clear" w:color="000000" w:fill="FFFFFF"/>
            <w:vAlign w:val="center"/>
          </w:tcPr>
          <w:p w14:paraId="26B4E3F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426 265,8</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49B4C5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426 265,8</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54CD2B0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DF8A1E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406 773,5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669010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-19 492,3</w:t>
            </w:r>
          </w:p>
        </w:tc>
      </w:tr>
      <w:tr w:rsidR="00F3645B" w:rsidRPr="00F3645B" w14:paraId="65C97D5F" w14:textId="77777777" w:rsidTr="00545B6E">
        <w:trPr>
          <w:trHeight w:val="30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5C3C5"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4084294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малого и среднего предпринимательства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2930FC1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400 491,6</w:t>
            </w:r>
          </w:p>
        </w:tc>
        <w:tc>
          <w:tcPr>
            <w:tcW w:w="1134" w:type="dxa"/>
            <w:tcBorders>
              <w:top w:val="nil"/>
              <w:left w:val="nil"/>
              <w:bottom w:val="single" w:sz="4" w:space="0" w:color="auto"/>
              <w:right w:val="single" w:sz="4" w:space="0" w:color="auto"/>
            </w:tcBorders>
            <w:shd w:val="clear" w:color="000000" w:fill="FFFFFF"/>
            <w:vAlign w:val="center"/>
          </w:tcPr>
          <w:p w14:paraId="5743A9A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400 491,6</w:t>
            </w:r>
          </w:p>
        </w:tc>
        <w:tc>
          <w:tcPr>
            <w:tcW w:w="850" w:type="dxa"/>
            <w:tcBorders>
              <w:top w:val="nil"/>
              <w:left w:val="nil"/>
              <w:bottom w:val="single" w:sz="4" w:space="0" w:color="auto"/>
              <w:right w:val="single" w:sz="4" w:space="0" w:color="auto"/>
            </w:tcBorders>
            <w:shd w:val="clear" w:color="000000" w:fill="FFFFFF"/>
            <w:noWrap/>
            <w:vAlign w:val="center"/>
          </w:tcPr>
          <w:p w14:paraId="59D0B82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735580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390 298,2</w:t>
            </w:r>
          </w:p>
        </w:tc>
        <w:tc>
          <w:tcPr>
            <w:tcW w:w="993" w:type="dxa"/>
            <w:tcBorders>
              <w:top w:val="nil"/>
              <w:left w:val="nil"/>
              <w:bottom w:val="single" w:sz="4" w:space="0" w:color="auto"/>
              <w:right w:val="single" w:sz="4" w:space="0" w:color="auto"/>
            </w:tcBorders>
            <w:shd w:val="clear" w:color="auto" w:fill="auto"/>
            <w:noWrap/>
            <w:vAlign w:val="center"/>
          </w:tcPr>
          <w:p w14:paraId="147EF6A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-10 193,4</w:t>
            </w:r>
          </w:p>
        </w:tc>
      </w:tr>
      <w:tr w:rsidR="00F3645B" w:rsidRPr="00F3645B" w14:paraId="169884F8" w14:textId="77777777" w:rsidTr="00545B6E">
        <w:trPr>
          <w:trHeight w:val="35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B866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69BFA53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«Создание благоприятных условий для привлечения инвестиций в экономику Республики Дагестан»</w:t>
            </w:r>
          </w:p>
        </w:tc>
        <w:tc>
          <w:tcPr>
            <w:tcW w:w="1105" w:type="dxa"/>
            <w:tcBorders>
              <w:top w:val="nil"/>
              <w:left w:val="nil"/>
              <w:bottom w:val="single" w:sz="4" w:space="0" w:color="auto"/>
              <w:right w:val="single" w:sz="4" w:space="0" w:color="auto"/>
            </w:tcBorders>
            <w:shd w:val="clear" w:color="000000" w:fill="FFFFFF"/>
            <w:vAlign w:val="center"/>
          </w:tcPr>
          <w:p w14:paraId="7831DE4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25 774,2</w:t>
            </w:r>
          </w:p>
        </w:tc>
        <w:tc>
          <w:tcPr>
            <w:tcW w:w="1134" w:type="dxa"/>
            <w:tcBorders>
              <w:top w:val="nil"/>
              <w:left w:val="nil"/>
              <w:bottom w:val="single" w:sz="4" w:space="0" w:color="auto"/>
              <w:right w:val="single" w:sz="4" w:space="0" w:color="auto"/>
            </w:tcBorders>
            <w:shd w:val="clear" w:color="000000" w:fill="FFFFFF"/>
            <w:vAlign w:val="center"/>
          </w:tcPr>
          <w:p w14:paraId="2C287B6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25 774,2</w:t>
            </w:r>
          </w:p>
        </w:tc>
        <w:tc>
          <w:tcPr>
            <w:tcW w:w="850" w:type="dxa"/>
            <w:tcBorders>
              <w:top w:val="nil"/>
              <w:left w:val="nil"/>
              <w:bottom w:val="single" w:sz="4" w:space="0" w:color="auto"/>
              <w:right w:val="single" w:sz="4" w:space="0" w:color="auto"/>
            </w:tcBorders>
            <w:shd w:val="clear" w:color="000000" w:fill="FFFFFF"/>
            <w:noWrap/>
            <w:vAlign w:val="center"/>
          </w:tcPr>
          <w:p w14:paraId="2813920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11D5444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16 475,3</w:t>
            </w:r>
          </w:p>
        </w:tc>
        <w:tc>
          <w:tcPr>
            <w:tcW w:w="993" w:type="dxa"/>
            <w:tcBorders>
              <w:top w:val="nil"/>
              <w:left w:val="nil"/>
              <w:bottom w:val="single" w:sz="4" w:space="0" w:color="auto"/>
              <w:right w:val="single" w:sz="4" w:space="0" w:color="auto"/>
            </w:tcBorders>
            <w:shd w:val="clear" w:color="auto" w:fill="auto"/>
            <w:noWrap/>
            <w:vAlign w:val="center"/>
          </w:tcPr>
          <w:p w14:paraId="3DA8FA5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-9 298,9</w:t>
            </w:r>
          </w:p>
        </w:tc>
      </w:tr>
      <w:tr w:rsidR="00F3645B" w:rsidRPr="00F3645B" w14:paraId="5DD2CFBC" w14:textId="77777777" w:rsidTr="00545B6E">
        <w:trPr>
          <w:trHeight w:val="332"/>
        </w:trPr>
        <w:tc>
          <w:tcPr>
            <w:tcW w:w="421" w:type="dxa"/>
            <w:tcBorders>
              <w:top w:val="single" w:sz="4" w:space="0" w:color="auto"/>
              <w:left w:val="single" w:sz="4" w:space="0" w:color="auto"/>
              <w:bottom w:val="single" w:sz="4" w:space="0" w:color="auto"/>
              <w:right w:val="single" w:sz="4" w:space="0" w:color="auto"/>
            </w:tcBorders>
            <w:shd w:val="clear" w:color="auto" w:fill="auto"/>
            <w:noWrap/>
          </w:tcPr>
          <w:p w14:paraId="7431DBC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w:t>
            </w:r>
          </w:p>
        </w:tc>
        <w:tc>
          <w:tcPr>
            <w:tcW w:w="3827" w:type="dxa"/>
            <w:tcBorders>
              <w:top w:val="single" w:sz="4" w:space="0" w:color="auto"/>
              <w:left w:val="nil"/>
              <w:bottom w:val="single" w:sz="4" w:space="0" w:color="auto"/>
              <w:right w:val="single" w:sz="4" w:space="0" w:color="auto"/>
            </w:tcBorders>
            <w:shd w:val="clear" w:color="auto" w:fill="auto"/>
          </w:tcPr>
          <w:p w14:paraId="37C88E20"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промышленности и повышение ее конкурентоспособности»</w:t>
            </w:r>
          </w:p>
        </w:tc>
        <w:tc>
          <w:tcPr>
            <w:tcW w:w="1105" w:type="dxa"/>
            <w:tcBorders>
              <w:top w:val="single" w:sz="4" w:space="0" w:color="auto"/>
              <w:left w:val="nil"/>
              <w:bottom w:val="single" w:sz="4" w:space="0" w:color="auto"/>
              <w:right w:val="single" w:sz="4" w:space="0" w:color="auto"/>
            </w:tcBorders>
            <w:shd w:val="clear" w:color="auto" w:fill="auto"/>
            <w:vAlign w:val="center"/>
          </w:tcPr>
          <w:p w14:paraId="240123C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231 499,9</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AC6BEC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231 499,9</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159162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58A5CD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227 141,2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818E34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-4 358,7</w:t>
            </w:r>
          </w:p>
        </w:tc>
      </w:tr>
      <w:tr w:rsidR="00F3645B" w:rsidRPr="00F3645B" w14:paraId="6E916698" w14:textId="77777777" w:rsidTr="00545B6E">
        <w:trPr>
          <w:trHeight w:val="295"/>
        </w:trPr>
        <w:tc>
          <w:tcPr>
            <w:tcW w:w="421" w:type="dxa"/>
            <w:tcBorders>
              <w:top w:val="nil"/>
              <w:left w:val="single" w:sz="4" w:space="0" w:color="auto"/>
              <w:bottom w:val="single" w:sz="4" w:space="0" w:color="auto"/>
              <w:right w:val="single" w:sz="4" w:space="0" w:color="auto"/>
            </w:tcBorders>
            <w:shd w:val="clear" w:color="auto" w:fill="auto"/>
            <w:noWrap/>
          </w:tcPr>
          <w:p w14:paraId="7B78560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28A5377"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«Модернизация промышленности Республики Дагестан на 2015-2020 годы»</w:t>
            </w:r>
          </w:p>
        </w:tc>
        <w:tc>
          <w:tcPr>
            <w:tcW w:w="1105" w:type="dxa"/>
            <w:tcBorders>
              <w:top w:val="nil"/>
              <w:left w:val="nil"/>
              <w:bottom w:val="single" w:sz="4" w:space="0" w:color="auto"/>
              <w:right w:val="single" w:sz="4" w:space="0" w:color="auto"/>
            </w:tcBorders>
            <w:shd w:val="clear" w:color="000000" w:fill="FFFFFF"/>
            <w:vAlign w:val="center"/>
          </w:tcPr>
          <w:p w14:paraId="1FB0EA2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126 623,6</w:t>
            </w:r>
          </w:p>
        </w:tc>
        <w:tc>
          <w:tcPr>
            <w:tcW w:w="1134" w:type="dxa"/>
            <w:tcBorders>
              <w:top w:val="nil"/>
              <w:left w:val="nil"/>
              <w:bottom w:val="single" w:sz="4" w:space="0" w:color="auto"/>
              <w:right w:val="single" w:sz="4" w:space="0" w:color="auto"/>
            </w:tcBorders>
            <w:shd w:val="clear" w:color="000000" w:fill="FFFFFF"/>
            <w:vAlign w:val="center"/>
          </w:tcPr>
          <w:p w14:paraId="61139F8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126 623,6</w:t>
            </w:r>
          </w:p>
        </w:tc>
        <w:tc>
          <w:tcPr>
            <w:tcW w:w="850" w:type="dxa"/>
            <w:tcBorders>
              <w:top w:val="nil"/>
              <w:left w:val="nil"/>
              <w:bottom w:val="single" w:sz="4" w:space="0" w:color="auto"/>
              <w:right w:val="single" w:sz="4" w:space="0" w:color="auto"/>
            </w:tcBorders>
            <w:shd w:val="clear" w:color="000000" w:fill="FFFFFF"/>
            <w:noWrap/>
            <w:vAlign w:val="center"/>
          </w:tcPr>
          <w:p w14:paraId="48DCC5B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899704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122 751,4</w:t>
            </w:r>
          </w:p>
        </w:tc>
        <w:tc>
          <w:tcPr>
            <w:tcW w:w="993" w:type="dxa"/>
            <w:tcBorders>
              <w:top w:val="nil"/>
              <w:left w:val="nil"/>
              <w:bottom w:val="single" w:sz="4" w:space="0" w:color="auto"/>
              <w:right w:val="single" w:sz="4" w:space="0" w:color="auto"/>
            </w:tcBorders>
            <w:shd w:val="clear" w:color="auto" w:fill="auto"/>
            <w:noWrap/>
            <w:vAlign w:val="center"/>
          </w:tcPr>
          <w:p w14:paraId="1175C84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-3 872,2</w:t>
            </w:r>
          </w:p>
        </w:tc>
      </w:tr>
      <w:tr w:rsidR="00F3645B" w:rsidRPr="00F3645B" w14:paraId="2019222E" w14:textId="77777777" w:rsidTr="00545B6E">
        <w:trPr>
          <w:trHeight w:val="202"/>
        </w:trPr>
        <w:tc>
          <w:tcPr>
            <w:tcW w:w="421" w:type="dxa"/>
            <w:tcBorders>
              <w:top w:val="nil"/>
              <w:left w:val="single" w:sz="4" w:space="0" w:color="auto"/>
              <w:bottom w:val="single" w:sz="4" w:space="0" w:color="auto"/>
              <w:right w:val="single" w:sz="4" w:space="0" w:color="auto"/>
            </w:tcBorders>
            <w:shd w:val="clear" w:color="auto" w:fill="auto"/>
            <w:noWrap/>
          </w:tcPr>
          <w:p w14:paraId="5B19B96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4EA525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"Индустриальные парки РД"</w:t>
            </w:r>
          </w:p>
        </w:tc>
        <w:tc>
          <w:tcPr>
            <w:tcW w:w="1105" w:type="dxa"/>
            <w:tcBorders>
              <w:top w:val="nil"/>
              <w:left w:val="nil"/>
              <w:bottom w:val="single" w:sz="4" w:space="0" w:color="auto"/>
              <w:right w:val="single" w:sz="4" w:space="0" w:color="auto"/>
            </w:tcBorders>
            <w:shd w:val="clear" w:color="000000" w:fill="FFFFFF"/>
            <w:vAlign w:val="center"/>
          </w:tcPr>
          <w:p w14:paraId="2C66076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104 876,3</w:t>
            </w:r>
          </w:p>
        </w:tc>
        <w:tc>
          <w:tcPr>
            <w:tcW w:w="1134" w:type="dxa"/>
            <w:tcBorders>
              <w:top w:val="nil"/>
              <w:left w:val="nil"/>
              <w:bottom w:val="single" w:sz="4" w:space="0" w:color="auto"/>
              <w:right w:val="single" w:sz="4" w:space="0" w:color="auto"/>
            </w:tcBorders>
            <w:shd w:val="clear" w:color="000000" w:fill="FFFFFF"/>
            <w:vAlign w:val="center"/>
          </w:tcPr>
          <w:p w14:paraId="613804C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104 876,3</w:t>
            </w:r>
          </w:p>
        </w:tc>
        <w:tc>
          <w:tcPr>
            <w:tcW w:w="850" w:type="dxa"/>
            <w:tcBorders>
              <w:top w:val="nil"/>
              <w:left w:val="nil"/>
              <w:bottom w:val="single" w:sz="4" w:space="0" w:color="auto"/>
              <w:right w:val="single" w:sz="4" w:space="0" w:color="auto"/>
            </w:tcBorders>
            <w:shd w:val="clear" w:color="000000" w:fill="FFFFFF"/>
            <w:noWrap/>
            <w:vAlign w:val="center"/>
          </w:tcPr>
          <w:p w14:paraId="3D1BAC1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9A4F25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104 389,8</w:t>
            </w:r>
          </w:p>
        </w:tc>
        <w:tc>
          <w:tcPr>
            <w:tcW w:w="993" w:type="dxa"/>
            <w:tcBorders>
              <w:top w:val="nil"/>
              <w:left w:val="nil"/>
              <w:bottom w:val="single" w:sz="4" w:space="0" w:color="auto"/>
              <w:right w:val="single" w:sz="4" w:space="0" w:color="auto"/>
            </w:tcBorders>
            <w:shd w:val="clear" w:color="auto" w:fill="auto"/>
            <w:noWrap/>
            <w:vAlign w:val="center"/>
          </w:tcPr>
          <w:p w14:paraId="77F228E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-486,5</w:t>
            </w:r>
          </w:p>
        </w:tc>
      </w:tr>
      <w:tr w:rsidR="00F3645B" w:rsidRPr="00F3645B" w14:paraId="09B0F021" w14:textId="77777777" w:rsidTr="00545B6E">
        <w:trPr>
          <w:trHeight w:val="353"/>
        </w:trPr>
        <w:tc>
          <w:tcPr>
            <w:tcW w:w="421" w:type="dxa"/>
            <w:tcBorders>
              <w:top w:val="nil"/>
              <w:left w:val="single" w:sz="4" w:space="0" w:color="auto"/>
              <w:bottom w:val="single" w:sz="4" w:space="0" w:color="auto"/>
              <w:right w:val="single" w:sz="4" w:space="0" w:color="auto"/>
            </w:tcBorders>
            <w:shd w:val="clear" w:color="auto" w:fill="auto"/>
            <w:noWrap/>
          </w:tcPr>
          <w:p w14:paraId="7F4111F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8</w:t>
            </w:r>
          </w:p>
        </w:tc>
        <w:tc>
          <w:tcPr>
            <w:tcW w:w="3827" w:type="dxa"/>
            <w:tcBorders>
              <w:top w:val="nil"/>
              <w:left w:val="nil"/>
              <w:bottom w:val="single" w:sz="4" w:space="0" w:color="auto"/>
              <w:right w:val="single" w:sz="4" w:space="0" w:color="auto"/>
            </w:tcBorders>
            <w:shd w:val="clear" w:color="auto" w:fill="auto"/>
          </w:tcPr>
          <w:p w14:paraId="7E5AB64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«Комплексная программа противодействия идеологии терроризма в Республике Дагестан «</w:t>
            </w:r>
          </w:p>
        </w:tc>
        <w:tc>
          <w:tcPr>
            <w:tcW w:w="1105" w:type="dxa"/>
            <w:tcBorders>
              <w:top w:val="nil"/>
              <w:left w:val="nil"/>
              <w:bottom w:val="single" w:sz="4" w:space="0" w:color="auto"/>
              <w:right w:val="single" w:sz="4" w:space="0" w:color="auto"/>
            </w:tcBorders>
            <w:shd w:val="clear" w:color="auto" w:fill="auto"/>
            <w:vAlign w:val="center"/>
          </w:tcPr>
          <w:p w14:paraId="790F865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30 924,1</w:t>
            </w:r>
          </w:p>
        </w:tc>
        <w:tc>
          <w:tcPr>
            <w:tcW w:w="1134" w:type="dxa"/>
            <w:tcBorders>
              <w:top w:val="nil"/>
              <w:left w:val="nil"/>
              <w:bottom w:val="single" w:sz="4" w:space="0" w:color="auto"/>
              <w:right w:val="single" w:sz="4" w:space="0" w:color="auto"/>
            </w:tcBorders>
            <w:shd w:val="clear" w:color="000000" w:fill="FFFFFF"/>
            <w:vAlign w:val="center"/>
          </w:tcPr>
          <w:p w14:paraId="63A20C5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30 924,1</w:t>
            </w:r>
          </w:p>
        </w:tc>
        <w:tc>
          <w:tcPr>
            <w:tcW w:w="850" w:type="dxa"/>
            <w:tcBorders>
              <w:top w:val="nil"/>
              <w:left w:val="nil"/>
              <w:bottom w:val="single" w:sz="4" w:space="0" w:color="auto"/>
              <w:right w:val="single" w:sz="4" w:space="0" w:color="auto"/>
            </w:tcBorders>
            <w:shd w:val="clear" w:color="000000" w:fill="FFFFFF"/>
            <w:noWrap/>
            <w:vAlign w:val="center"/>
          </w:tcPr>
          <w:p w14:paraId="5ABFC01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93825F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29 131,0</w:t>
            </w:r>
          </w:p>
        </w:tc>
        <w:tc>
          <w:tcPr>
            <w:tcW w:w="993" w:type="dxa"/>
            <w:tcBorders>
              <w:top w:val="nil"/>
              <w:left w:val="nil"/>
              <w:bottom w:val="single" w:sz="4" w:space="0" w:color="auto"/>
              <w:right w:val="single" w:sz="4" w:space="0" w:color="auto"/>
            </w:tcBorders>
            <w:shd w:val="clear" w:color="auto" w:fill="auto"/>
            <w:noWrap/>
            <w:vAlign w:val="center"/>
          </w:tcPr>
          <w:p w14:paraId="4A14594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-1 793,1</w:t>
            </w:r>
          </w:p>
        </w:tc>
      </w:tr>
      <w:tr w:rsidR="00F3645B" w:rsidRPr="00F3645B" w14:paraId="37ED5579" w14:textId="77777777" w:rsidTr="00545B6E">
        <w:trPr>
          <w:trHeight w:val="389"/>
        </w:trPr>
        <w:tc>
          <w:tcPr>
            <w:tcW w:w="421" w:type="dxa"/>
            <w:tcBorders>
              <w:top w:val="nil"/>
              <w:left w:val="single" w:sz="4" w:space="0" w:color="auto"/>
              <w:bottom w:val="single" w:sz="4" w:space="0" w:color="auto"/>
              <w:right w:val="single" w:sz="4" w:space="0" w:color="auto"/>
            </w:tcBorders>
            <w:shd w:val="clear" w:color="auto" w:fill="auto"/>
            <w:noWrap/>
          </w:tcPr>
          <w:p w14:paraId="63F8C97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w:t>
            </w:r>
          </w:p>
        </w:tc>
        <w:tc>
          <w:tcPr>
            <w:tcW w:w="3827" w:type="dxa"/>
            <w:tcBorders>
              <w:top w:val="nil"/>
              <w:left w:val="nil"/>
              <w:bottom w:val="single" w:sz="4" w:space="0" w:color="auto"/>
              <w:right w:val="single" w:sz="4" w:space="0" w:color="auto"/>
            </w:tcBorders>
            <w:shd w:val="clear" w:color="auto" w:fill="auto"/>
          </w:tcPr>
          <w:p w14:paraId="5A561C9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«Управление имуществом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3493D3C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256 733,3</w:t>
            </w:r>
          </w:p>
        </w:tc>
        <w:tc>
          <w:tcPr>
            <w:tcW w:w="1134" w:type="dxa"/>
            <w:tcBorders>
              <w:top w:val="nil"/>
              <w:left w:val="nil"/>
              <w:bottom w:val="single" w:sz="4" w:space="0" w:color="auto"/>
              <w:right w:val="single" w:sz="4" w:space="0" w:color="auto"/>
            </w:tcBorders>
            <w:shd w:val="clear" w:color="000000" w:fill="FFFFFF"/>
            <w:vAlign w:val="center"/>
          </w:tcPr>
          <w:p w14:paraId="26313E7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256 733,3</w:t>
            </w:r>
          </w:p>
        </w:tc>
        <w:tc>
          <w:tcPr>
            <w:tcW w:w="850" w:type="dxa"/>
            <w:tcBorders>
              <w:top w:val="nil"/>
              <w:left w:val="nil"/>
              <w:bottom w:val="single" w:sz="4" w:space="0" w:color="auto"/>
              <w:right w:val="single" w:sz="4" w:space="0" w:color="auto"/>
            </w:tcBorders>
            <w:shd w:val="clear" w:color="000000" w:fill="FFFFFF"/>
            <w:noWrap/>
            <w:vAlign w:val="center"/>
          </w:tcPr>
          <w:p w14:paraId="4A36DAD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575272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242 530,0</w:t>
            </w:r>
          </w:p>
        </w:tc>
        <w:tc>
          <w:tcPr>
            <w:tcW w:w="993" w:type="dxa"/>
            <w:tcBorders>
              <w:top w:val="nil"/>
              <w:left w:val="nil"/>
              <w:bottom w:val="single" w:sz="4" w:space="0" w:color="auto"/>
              <w:right w:val="single" w:sz="4" w:space="0" w:color="auto"/>
            </w:tcBorders>
            <w:shd w:val="clear" w:color="auto" w:fill="auto"/>
            <w:noWrap/>
            <w:vAlign w:val="center"/>
          </w:tcPr>
          <w:p w14:paraId="6A6B782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-14 203,3</w:t>
            </w:r>
          </w:p>
        </w:tc>
      </w:tr>
      <w:tr w:rsidR="00F3645B" w:rsidRPr="00F3645B" w14:paraId="58F5167D"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tcPr>
          <w:p w14:paraId="26F4CC9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10</w:t>
            </w:r>
          </w:p>
        </w:tc>
        <w:tc>
          <w:tcPr>
            <w:tcW w:w="3827" w:type="dxa"/>
            <w:tcBorders>
              <w:top w:val="single" w:sz="4" w:space="0" w:color="auto"/>
              <w:left w:val="nil"/>
              <w:bottom w:val="single" w:sz="4" w:space="0" w:color="auto"/>
              <w:right w:val="single" w:sz="4" w:space="0" w:color="auto"/>
            </w:tcBorders>
            <w:shd w:val="clear" w:color="auto" w:fill="auto"/>
          </w:tcPr>
          <w:p w14:paraId="185A6BB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«Взаимодействие с религиозными организациями в Республике Дагестан и их государственная поддержка»</w:t>
            </w:r>
          </w:p>
        </w:tc>
        <w:tc>
          <w:tcPr>
            <w:tcW w:w="1105" w:type="dxa"/>
            <w:tcBorders>
              <w:top w:val="single" w:sz="4" w:space="0" w:color="auto"/>
              <w:left w:val="nil"/>
              <w:bottom w:val="single" w:sz="4" w:space="0" w:color="auto"/>
              <w:right w:val="single" w:sz="4" w:space="0" w:color="auto"/>
            </w:tcBorders>
            <w:shd w:val="clear" w:color="auto" w:fill="auto"/>
            <w:vAlign w:val="center"/>
          </w:tcPr>
          <w:p w14:paraId="5FE32CA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24 000,0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9353FC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24 000,0</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7ADCED8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891BA1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24 000,0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99C36F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465DDA42"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tcPr>
          <w:p w14:paraId="4D6CB02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11</w:t>
            </w:r>
          </w:p>
        </w:tc>
        <w:tc>
          <w:tcPr>
            <w:tcW w:w="3827" w:type="dxa"/>
            <w:tcBorders>
              <w:top w:val="single" w:sz="4" w:space="0" w:color="auto"/>
              <w:left w:val="nil"/>
              <w:bottom w:val="single" w:sz="4" w:space="0" w:color="auto"/>
              <w:right w:val="single" w:sz="4" w:space="0" w:color="auto"/>
            </w:tcBorders>
            <w:shd w:val="clear" w:color="auto" w:fill="auto"/>
          </w:tcPr>
          <w:p w14:paraId="5DAF5E00"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сельского хозяйства и регулирование рынков сельскохозяйственной продукции, сырья и продовольствия в Республике Дагестан»</w:t>
            </w:r>
          </w:p>
        </w:tc>
        <w:tc>
          <w:tcPr>
            <w:tcW w:w="1105" w:type="dxa"/>
            <w:tcBorders>
              <w:top w:val="single" w:sz="4" w:space="0" w:color="auto"/>
              <w:left w:val="nil"/>
              <w:bottom w:val="single" w:sz="4" w:space="0" w:color="auto"/>
              <w:right w:val="single" w:sz="4" w:space="0" w:color="auto"/>
            </w:tcBorders>
            <w:shd w:val="clear" w:color="auto" w:fill="auto"/>
            <w:vAlign w:val="center"/>
          </w:tcPr>
          <w:p w14:paraId="2BB613E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4 188 628,8</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3270A1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4 188 628,8</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0BBC026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6B4292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4 111 315,6</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89B3C1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-77 313,2</w:t>
            </w:r>
          </w:p>
        </w:tc>
      </w:tr>
      <w:tr w:rsidR="00F3645B" w:rsidRPr="00F3645B" w14:paraId="2E42F41E" w14:textId="77777777" w:rsidTr="00545B6E">
        <w:trPr>
          <w:trHeight w:val="378"/>
        </w:trPr>
        <w:tc>
          <w:tcPr>
            <w:tcW w:w="421" w:type="dxa"/>
            <w:tcBorders>
              <w:top w:val="nil"/>
              <w:left w:val="single" w:sz="4" w:space="0" w:color="auto"/>
              <w:bottom w:val="single" w:sz="4" w:space="0" w:color="auto"/>
              <w:right w:val="single" w:sz="4" w:space="0" w:color="auto"/>
            </w:tcBorders>
            <w:shd w:val="clear" w:color="auto" w:fill="auto"/>
            <w:noWrap/>
          </w:tcPr>
          <w:p w14:paraId="198AF8E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37AC6F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отраслей агропромышленного комплекса»</w:t>
            </w:r>
          </w:p>
        </w:tc>
        <w:tc>
          <w:tcPr>
            <w:tcW w:w="1105" w:type="dxa"/>
            <w:tcBorders>
              <w:top w:val="nil"/>
              <w:left w:val="nil"/>
              <w:bottom w:val="single" w:sz="4" w:space="0" w:color="auto"/>
              <w:right w:val="single" w:sz="4" w:space="0" w:color="auto"/>
            </w:tcBorders>
            <w:shd w:val="clear" w:color="auto" w:fill="auto"/>
            <w:vAlign w:val="center"/>
          </w:tcPr>
          <w:p w14:paraId="182F31B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2 398 767,9</w:t>
            </w:r>
          </w:p>
        </w:tc>
        <w:tc>
          <w:tcPr>
            <w:tcW w:w="1134" w:type="dxa"/>
            <w:tcBorders>
              <w:top w:val="nil"/>
              <w:left w:val="nil"/>
              <w:bottom w:val="single" w:sz="4" w:space="0" w:color="auto"/>
              <w:right w:val="single" w:sz="4" w:space="0" w:color="auto"/>
            </w:tcBorders>
            <w:shd w:val="clear" w:color="000000" w:fill="FFFFFF"/>
            <w:vAlign w:val="center"/>
          </w:tcPr>
          <w:p w14:paraId="65941B3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2 398 767,9</w:t>
            </w:r>
          </w:p>
        </w:tc>
        <w:tc>
          <w:tcPr>
            <w:tcW w:w="850" w:type="dxa"/>
            <w:tcBorders>
              <w:top w:val="nil"/>
              <w:left w:val="nil"/>
              <w:bottom w:val="single" w:sz="4" w:space="0" w:color="auto"/>
              <w:right w:val="single" w:sz="4" w:space="0" w:color="auto"/>
            </w:tcBorders>
            <w:shd w:val="clear" w:color="000000" w:fill="FFFFFF"/>
            <w:noWrap/>
            <w:vAlign w:val="center"/>
          </w:tcPr>
          <w:p w14:paraId="7DE4FAF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47D152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2 395 524,4</w:t>
            </w:r>
          </w:p>
        </w:tc>
        <w:tc>
          <w:tcPr>
            <w:tcW w:w="993" w:type="dxa"/>
            <w:tcBorders>
              <w:top w:val="nil"/>
              <w:left w:val="nil"/>
              <w:bottom w:val="single" w:sz="4" w:space="0" w:color="auto"/>
              <w:right w:val="single" w:sz="4" w:space="0" w:color="auto"/>
            </w:tcBorders>
            <w:shd w:val="clear" w:color="auto" w:fill="auto"/>
            <w:noWrap/>
            <w:vAlign w:val="center"/>
          </w:tcPr>
          <w:p w14:paraId="5DA2166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-3 243,5</w:t>
            </w:r>
          </w:p>
        </w:tc>
      </w:tr>
      <w:tr w:rsidR="00F3645B" w:rsidRPr="00F3645B" w14:paraId="42F62486" w14:textId="77777777" w:rsidTr="00545B6E">
        <w:trPr>
          <w:trHeight w:val="148"/>
        </w:trPr>
        <w:tc>
          <w:tcPr>
            <w:tcW w:w="421" w:type="dxa"/>
            <w:tcBorders>
              <w:top w:val="nil"/>
              <w:left w:val="single" w:sz="4" w:space="0" w:color="auto"/>
              <w:bottom w:val="single" w:sz="4" w:space="0" w:color="auto"/>
              <w:right w:val="single" w:sz="4" w:space="0" w:color="auto"/>
            </w:tcBorders>
            <w:shd w:val="clear" w:color="auto" w:fill="auto"/>
            <w:noWrap/>
          </w:tcPr>
          <w:p w14:paraId="599BF64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lastRenderedPageBreak/>
              <w:t> </w:t>
            </w:r>
          </w:p>
        </w:tc>
        <w:tc>
          <w:tcPr>
            <w:tcW w:w="3827" w:type="dxa"/>
            <w:tcBorders>
              <w:top w:val="nil"/>
              <w:left w:val="nil"/>
              <w:bottom w:val="single" w:sz="4" w:space="0" w:color="auto"/>
              <w:right w:val="single" w:sz="4" w:space="0" w:color="auto"/>
            </w:tcBorders>
            <w:shd w:val="clear" w:color="auto" w:fill="auto"/>
          </w:tcPr>
          <w:p w14:paraId="4F447B7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реализации программы»</w:t>
            </w:r>
          </w:p>
        </w:tc>
        <w:tc>
          <w:tcPr>
            <w:tcW w:w="1105" w:type="dxa"/>
            <w:tcBorders>
              <w:top w:val="nil"/>
              <w:left w:val="nil"/>
              <w:bottom w:val="single" w:sz="4" w:space="0" w:color="auto"/>
              <w:right w:val="single" w:sz="4" w:space="0" w:color="auto"/>
            </w:tcBorders>
            <w:shd w:val="clear" w:color="auto" w:fill="auto"/>
            <w:vAlign w:val="center"/>
          </w:tcPr>
          <w:p w14:paraId="1140F3A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1 141 685,4</w:t>
            </w:r>
          </w:p>
        </w:tc>
        <w:tc>
          <w:tcPr>
            <w:tcW w:w="1134" w:type="dxa"/>
            <w:tcBorders>
              <w:top w:val="nil"/>
              <w:left w:val="nil"/>
              <w:bottom w:val="single" w:sz="4" w:space="0" w:color="auto"/>
              <w:right w:val="single" w:sz="4" w:space="0" w:color="auto"/>
            </w:tcBorders>
            <w:shd w:val="clear" w:color="000000" w:fill="FFFFFF"/>
            <w:vAlign w:val="center"/>
          </w:tcPr>
          <w:p w14:paraId="03D0E1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1 141 685,4</w:t>
            </w:r>
          </w:p>
        </w:tc>
        <w:tc>
          <w:tcPr>
            <w:tcW w:w="850" w:type="dxa"/>
            <w:tcBorders>
              <w:top w:val="nil"/>
              <w:left w:val="nil"/>
              <w:bottom w:val="single" w:sz="4" w:space="0" w:color="auto"/>
              <w:right w:val="single" w:sz="4" w:space="0" w:color="auto"/>
            </w:tcBorders>
            <w:shd w:val="clear" w:color="000000" w:fill="FFFFFF"/>
            <w:noWrap/>
            <w:vAlign w:val="center"/>
          </w:tcPr>
          <w:p w14:paraId="7F75564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37B420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1 119 216,0</w:t>
            </w:r>
          </w:p>
        </w:tc>
        <w:tc>
          <w:tcPr>
            <w:tcW w:w="993" w:type="dxa"/>
            <w:tcBorders>
              <w:top w:val="nil"/>
              <w:left w:val="nil"/>
              <w:bottom w:val="single" w:sz="4" w:space="0" w:color="auto"/>
              <w:right w:val="single" w:sz="4" w:space="0" w:color="auto"/>
            </w:tcBorders>
            <w:shd w:val="clear" w:color="auto" w:fill="auto"/>
            <w:noWrap/>
            <w:vAlign w:val="center"/>
          </w:tcPr>
          <w:p w14:paraId="3AA0B96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-22 469,4</w:t>
            </w:r>
          </w:p>
        </w:tc>
      </w:tr>
      <w:tr w:rsidR="00F3645B" w:rsidRPr="00F3645B" w14:paraId="3660E43F"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77E3FCA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061441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общих условий функционирования отраслей агропромышленного комплекса»</w:t>
            </w:r>
          </w:p>
        </w:tc>
        <w:tc>
          <w:tcPr>
            <w:tcW w:w="1105" w:type="dxa"/>
            <w:tcBorders>
              <w:top w:val="nil"/>
              <w:left w:val="nil"/>
              <w:bottom w:val="single" w:sz="4" w:space="0" w:color="auto"/>
              <w:right w:val="single" w:sz="4" w:space="0" w:color="auto"/>
            </w:tcBorders>
            <w:shd w:val="clear" w:color="auto" w:fill="auto"/>
            <w:vAlign w:val="center"/>
          </w:tcPr>
          <w:p w14:paraId="2E7D74D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214 678,3</w:t>
            </w:r>
          </w:p>
        </w:tc>
        <w:tc>
          <w:tcPr>
            <w:tcW w:w="1134" w:type="dxa"/>
            <w:tcBorders>
              <w:top w:val="nil"/>
              <w:left w:val="nil"/>
              <w:bottom w:val="single" w:sz="4" w:space="0" w:color="auto"/>
              <w:right w:val="single" w:sz="4" w:space="0" w:color="auto"/>
            </w:tcBorders>
            <w:shd w:val="clear" w:color="000000" w:fill="FFFFFF"/>
            <w:vAlign w:val="center"/>
          </w:tcPr>
          <w:p w14:paraId="1DF7C06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214 678,3</w:t>
            </w:r>
          </w:p>
        </w:tc>
        <w:tc>
          <w:tcPr>
            <w:tcW w:w="850" w:type="dxa"/>
            <w:tcBorders>
              <w:top w:val="nil"/>
              <w:left w:val="nil"/>
              <w:bottom w:val="single" w:sz="4" w:space="0" w:color="auto"/>
              <w:right w:val="single" w:sz="4" w:space="0" w:color="auto"/>
            </w:tcBorders>
            <w:shd w:val="clear" w:color="000000" w:fill="FFFFFF"/>
            <w:noWrap/>
            <w:vAlign w:val="center"/>
          </w:tcPr>
          <w:p w14:paraId="449C4FE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BB17A9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178 240,9</w:t>
            </w:r>
          </w:p>
        </w:tc>
        <w:tc>
          <w:tcPr>
            <w:tcW w:w="993" w:type="dxa"/>
            <w:tcBorders>
              <w:top w:val="nil"/>
              <w:left w:val="nil"/>
              <w:bottom w:val="single" w:sz="4" w:space="0" w:color="auto"/>
              <w:right w:val="single" w:sz="4" w:space="0" w:color="auto"/>
            </w:tcBorders>
            <w:shd w:val="clear" w:color="auto" w:fill="auto"/>
            <w:noWrap/>
            <w:vAlign w:val="center"/>
          </w:tcPr>
          <w:p w14:paraId="22B9363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-36 437,4</w:t>
            </w:r>
          </w:p>
        </w:tc>
      </w:tr>
      <w:tr w:rsidR="00F3645B" w:rsidRPr="00F3645B" w14:paraId="07EE950C" w14:textId="77777777" w:rsidTr="00545B6E">
        <w:trPr>
          <w:trHeight w:val="325"/>
        </w:trPr>
        <w:tc>
          <w:tcPr>
            <w:tcW w:w="421" w:type="dxa"/>
            <w:tcBorders>
              <w:top w:val="nil"/>
              <w:left w:val="single" w:sz="4" w:space="0" w:color="auto"/>
              <w:bottom w:val="single" w:sz="4" w:space="0" w:color="auto"/>
              <w:right w:val="single" w:sz="4" w:space="0" w:color="auto"/>
            </w:tcBorders>
            <w:shd w:val="clear" w:color="auto" w:fill="auto"/>
            <w:noWrap/>
          </w:tcPr>
          <w:p w14:paraId="3E2114B0"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623689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«Борьба с бруцеллезом людей и сельскохозяйственных животных»</w:t>
            </w:r>
          </w:p>
        </w:tc>
        <w:tc>
          <w:tcPr>
            <w:tcW w:w="1105" w:type="dxa"/>
            <w:tcBorders>
              <w:top w:val="nil"/>
              <w:left w:val="nil"/>
              <w:bottom w:val="single" w:sz="4" w:space="0" w:color="auto"/>
              <w:right w:val="single" w:sz="4" w:space="0" w:color="auto"/>
            </w:tcBorders>
            <w:shd w:val="clear" w:color="auto" w:fill="auto"/>
            <w:vAlign w:val="center"/>
          </w:tcPr>
          <w:p w14:paraId="676F919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23 290,6</w:t>
            </w:r>
          </w:p>
        </w:tc>
        <w:tc>
          <w:tcPr>
            <w:tcW w:w="1134" w:type="dxa"/>
            <w:tcBorders>
              <w:top w:val="nil"/>
              <w:left w:val="nil"/>
              <w:bottom w:val="single" w:sz="4" w:space="0" w:color="auto"/>
              <w:right w:val="single" w:sz="4" w:space="0" w:color="auto"/>
            </w:tcBorders>
            <w:shd w:val="clear" w:color="000000" w:fill="FFFFFF"/>
            <w:vAlign w:val="center"/>
          </w:tcPr>
          <w:p w14:paraId="3E302A1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23 290,6</w:t>
            </w:r>
          </w:p>
        </w:tc>
        <w:tc>
          <w:tcPr>
            <w:tcW w:w="850" w:type="dxa"/>
            <w:tcBorders>
              <w:top w:val="nil"/>
              <w:left w:val="nil"/>
              <w:bottom w:val="single" w:sz="4" w:space="0" w:color="auto"/>
              <w:right w:val="single" w:sz="4" w:space="0" w:color="auto"/>
            </w:tcBorders>
            <w:shd w:val="clear" w:color="000000" w:fill="FFFFFF"/>
            <w:noWrap/>
            <w:vAlign w:val="center"/>
          </w:tcPr>
          <w:p w14:paraId="58CA7F1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B7AF9B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23 290,6</w:t>
            </w:r>
          </w:p>
        </w:tc>
        <w:tc>
          <w:tcPr>
            <w:tcW w:w="993" w:type="dxa"/>
            <w:tcBorders>
              <w:top w:val="nil"/>
              <w:left w:val="nil"/>
              <w:bottom w:val="single" w:sz="4" w:space="0" w:color="auto"/>
              <w:right w:val="single" w:sz="4" w:space="0" w:color="auto"/>
            </w:tcBorders>
            <w:shd w:val="clear" w:color="auto" w:fill="auto"/>
            <w:noWrap/>
            <w:vAlign w:val="center"/>
          </w:tcPr>
          <w:p w14:paraId="67CB93B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2AA42E85"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66D89E5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F4027A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техническая и технологическая модернизация, инновационное развитие сельскохозяйственного производства</w:t>
            </w:r>
          </w:p>
        </w:tc>
        <w:tc>
          <w:tcPr>
            <w:tcW w:w="1105" w:type="dxa"/>
            <w:tcBorders>
              <w:top w:val="nil"/>
              <w:left w:val="nil"/>
              <w:bottom w:val="single" w:sz="4" w:space="0" w:color="auto"/>
              <w:right w:val="single" w:sz="4" w:space="0" w:color="auto"/>
            </w:tcBorders>
            <w:shd w:val="clear" w:color="auto" w:fill="auto"/>
            <w:vAlign w:val="center"/>
          </w:tcPr>
          <w:p w14:paraId="7B3F2C8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10 163,0</w:t>
            </w:r>
          </w:p>
        </w:tc>
        <w:tc>
          <w:tcPr>
            <w:tcW w:w="1134" w:type="dxa"/>
            <w:tcBorders>
              <w:top w:val="nil"/>
              <w:left w:val="nil"/>
              <w:bottom w:val="single" w:sz="4" w:space="0" w:color="auto"/>
              <w:right w:val="single" w:sz="4" w:space="0" w:color="auto"/>
            </w:tcBorders>
            <w:shd w:val="clear" w:color="000000" w:fill="FFFFFF"/>
            <w:vAlign w:val="center"/>
          </w:tcPr>
          <w:p w14:paraId="419B391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10 163,0</w:t>
            </w:r>
          </w:p>
        </w:tc>
        <w:tc>
          <w:tcPr>
            <w:tcW w:w="850" w:type="dxa"/>
            <w:tcBorders>
              <w:top w:val="nil"/>
              <w:left w:val="nil"/>
              <w:bottom w:val="single" w:sz="4" w:space="0" w:color="auto"/>
              <w:right w:val="single" w:sz="4" w:space="0" w:color="auto"/>
            </w:tcBorders>
            <w:shd w:val="clear" w:color="000000" w:fill="FFFFFF"/>
            <w:noWrap/>
            <w:vAlign w:val="center"/>
          </w:tcPr>
          <w:p w14:paraId="7AE9F44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C4E431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6170421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-10 163,0</w:t>
            </w:r>
          </w:p>
        </w:tc>
      </w:tr>
      <w:tr w:rsidR="00F3645B" w:rsidRPr="00F3645B" w14:paraId="05B77468" w14:textId="77777777" w:rsidTr="00545B6E">
        <w:trPr>
          <w:trHeight w:val="381"/>
        </w:trPr>
        <w:tc>
          <w:tcPr>
            <w:tcW w:w="421" w:type="dxa"/>
            <w:tcBorders>
              <w:top w:val="nil"/>
              <w:left w:val="single" w:sz="4" w:space="0" w:color="auto"/>
              <w:bottom w:val="single" w:sz="4" w:space="0" w:color="auto"/>
              <w:right w:val="single" w:sz="4" w:space="0" w:color="auto"/>
            </w:tcBorders>
            <w:shd w:val="clear" w:color="auto" w:fill="auto"/>
            <w:noWrap/>
          </w:tcPr>
          <w:p w14:paraId="779966B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305DEAE"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«Стимулирование инвестиционной деятельности в агропромышленном комплексе"</w:t>
            </w:r>
          </w:p>
        </w:tc>
        <w:tc>
          <w:tcPr>
            <w:tcW w:w="1105" w:type="dxa"/>
            <w:tcBorders>
              <w:top w:val="nil"/>
              <w:left w:val="nil"/>
              <w:bottom w:val="single" w:sz="4" w:space="0" w:color="auto"/>
              <w:right w:val="single" w:sz="4" w:space="0" w:color="auto"/>
            </w:tcBorders>
            <w:shd w:val="clear" w:color="auto" w:fill="auto"/>
            <w:vAlign w:val="center"/>
          </w:tcPr>
          <w:p w14:paraId="233CAA9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215,4</w:t>
            </w:r>
          </w:p>
        </w:tc>
        <w:tc>
          <w:tcPr>
            <w:tcW w:w="1134" w:type="dxa"/>
            <w:tcBorders>
              <w:top w:val="nil"/>
              <w:left w:val="nil"/>
              <w:bottom w:val="single" w:sz="4" w:space="0" w:color="auto"/>
              <w:right w:val="single" w:sz="4" w:space="0" w:color="auto"/>
            </w:tcBorders>
            <w:shd w:val="clear" w:color="000000" w:fill="FFFFFF"/>
            <w:vAlign w:val="center"/>
          </w:tcPr>
          <w:p w14:paraId="6968C2C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215,4</w:t>
            </w:r>
          </w:p>
        </w:tc>
        <w:tc>
          <w:tcPr>
            <w:tcW w:w="850" w:type="dxa"/>
            <w:tcBorders>
              <w:top w:val="nil"/>
              <w:left w:val="nil"/>
              <w:bottom w:val="single" w:sz="4" w:space="0" w:color="auto"/>
              <w:right w:val="single" w:sz="4" w:space="0" w:color="auto"/>
            </w:tcBorders>
            <w:shd w:val="clear" w:color="000000" w:fill="FFFFFF"/>
            <w:noWrap/>
            <w:vAlign w:val="center"/>
          </w:tcPr>
          <w:p w14:paraId="73057CB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48FA28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215,4</w:t>
            </w:r>
          </w:p>
        </w:tc>
        <w:tc>
          <w:tcPr>
            <w:tcW w:w="993" w:type="dxa"/>
            <w:tcBorders>
              <w:top w:val="nil"/>
              <w:left w:val="nil"/>
              <w:bottom w:val="single" w:sz="4" w:space="0" w:color="auto"/>
              <w:right w:val="single" w:sz="4" w:space="0" w:color="auto"/>
            </w:tcBorders>
            <w:shd w:val="clear" w:color="auto" w:fill="auto"/>
            <w:noWrap/>
            <w:vAlign w:val="center"/>
          </w:tcPr>
          <w:p w14:paraId="055AC15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5E8B87FA" w14:textId="77777777" w:rsidTr="00545B6E">
        <w:trPr>
          <w:trHeight w:val="402"/>
        </w:trPr>
        <w:tc>
          <w:tcPr>
            <w:tcW w:w="421" w:type="dxa"/>
            <w:tcBorders>
              <w:top w:val="nil"/>
              <w:left w:val="single" w:sz="4" w:space="0" w:color="auto"/>
              <w:bottom w:val="single" w:sz="4" w:space="0" w:color="auto"/>
              <w:right w:val="single" w:sz="4" w:space="0" w:color="auto"/>
            </w:tcBorders>
            <w:shd w:val="clear" w:color="auto" w:fill="auto"/>
            <w:noWrap/>
          </w:tcPr>
          <w:p w14:paraId="69F978C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29BFAB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мелиорации сельскохозяйственных земель»</w:t>
            </w:r>
          </w:p>
        </w:tc>
        <w:tc>
          <w:tcPr>
            <w:tcW w:w="1105" w:type="dxa"/>
            <w:tcBorders>
              <w:top w:val="nil"/>
              <w:left w:val="nil"/>
              <w:bottom w:val="single" w:sz="4" w:space="0" w:color="auto"/>
              <w:right w:val="single" w:sz="4" w:space="0" w:color="auto"/>
            </w:tcBorders>
            <w:shd w:val="clear" w:color="auto" w:fill="auto"/>
            <w:vAlign w:val="center"/>
          </w:tcPr>
          <w:p w14:paraId="54EEC2D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394 828,3</w:t>
            </w:r>
          </w:p>
        </w:tc>
        <w:tc>
          <w:tcPr>
            <w:tcW w:w="1134" w:type="dxa"/>
            <w:tcBorders>
              <w:top w:val="nil"/>
              <w:left w:val="nil"/>
              <w:bottom w:val="single" w:sz="4" w:space="0" w:color="auto"/>
              <w:right w:val="single" w:sz="4" w:space="0" w:color="auto"/>
            </w:tcBorders>
            <w:shd w:val="clear" w:color="000000" w:fill="FFFFFF"/>
            <w:vAlign w:val="center"/>
          </w:tcPr>
          <w:p w14:paraId="66B62D1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394 828,3</w:t>
            </w:r>
          </w:p>
        </w:tc>
        <w:tc>
          <w:tcPr>
            <w:tcW w:w="850" w:type="dxa"/>
            <w:tcBorders>
              <w:top w:val="nil"/>
              <w:left w:val="nil"/>
              <w:bottom w:val="single" w:sz="4" w:space="0" w:color="auto"/>
              <w:right w:val="single" w:sz="4" w:space="0" w:color="auto"/>
            </w:tcBorders>
            <w:shd w:val="clear" w:color="000000" w:fill="FFFFFF"/>
            <w:noWrap/>
            <w:vAlign w:val="center"/>
          </w:tcPr>
          <w:p w14:paraId="75ED9E6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7E2D2B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394 828,3</w:t>
            </w:r>
          </w:p>
        </w:tc>
        <w:tc>
          <w:tcPr>
            <w:tcW w:w="993" w:type="dxa"/>
            <w:tcBorders>
              <w:top w:val="nil"/>
              <w:left w:val="nil"/>
              <w:bottom w:val="single" w:sz="4" w:space="0" w:color="auto"/>
              <w:right w:val="single" w:sz="4" w:space="0" w:color="auto"/>
            </w:tcBorders>
            <w:shd w:val="clear" w:color="auto" w:fill="auto"/>
            <w:noWrap/>
            <w:vAlign w:val="center"/>
          </w:tcPr>
          <w:p w14:paraId="13B9EB7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26A91E2F" w14:textId="77777777" w:rsidTr="00545B6E">
        <w:trPr>
          <w:trHeight w:val="402"/>
        </w:trPr>
        <w:tc>
          <w:tcPr>
            <w:tcW w:w="421" w:type="dxa"/>
            <w:tcBorders>
              <w:top w:val="nil"/>
              <w:left w:val="single" w:sz="4" w:space="0" w:color="auto"/>
              <w:bottom w:val="single" w:sz="4" w:space="0" w:color="auto"/>
              <w:right w:val="single" w:sz="4" w:space="0" w:color="auto"/>
            </w:tcBorders>
            <w:shd w:val="clear" w:color="auto" w:fill="auto"/>
            <w:noWrap/>
          </w:tcPr>
          <w:p w14:paraId="29EC67C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6D56DF1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«Профилактика и ликвидация лейкоза крупного рогатого скота в хозяйствах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38BA4BD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5 000,0</w:t>
            </w:r>
          </w:p>
        </w:tc>
        <w:tc>
          <w:tcPr>
            <w:tcW w:w="1134" w:type="dxa"/>
            <w:tcBorders>
              <w:top w:val="nil"/>
              <w:left w:val="nil"/>
              <w:bottom w:val="single" w:sz="4" w:space="0" w:color="auto"/>
              <w:right w:val="single" w:sz="4" w:space="0" w:color="auto"/>
            </w:tcBorders>
            <w:shd w:val="clear" w:color="000000" w:fill="FFFFFF"/>
            <w:vAlign w:val="center"/>
          </w:tcPr>
          <w:p w14:paraId="5DFCCED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5 000,0</w:t>
            </w:r>
          </w:p>
        </w:tc>
        <w:tc>
          <w:tcPr>
            <w:tcW w:w="850" w:type="dxa"/>
            <w:tcBorders>
              <w:top w:val="nil"/>
              <w:left w:val="nil"/>
              <w:bottom w:val="single" w:sz="4" w:space="0" w:color="auto"/>
              <w:right w:val="single" w:sz="4" w:space="0" w:color="auto"/>
            </w:tcBorders>
            <w:shd w:val="clear" w:color="000000" w:fill="FFFFFF"/>
            <w:noWrap/>
            <w:vAlign w:val="center"/>
          </w:tcPr>
          <w:p w14:paraId="46974C5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557AD3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7F9C34F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-5 000,0</w:t>
            </w:r>
          </w:p>
        </w:tc>
      </w:tr>
      <w:tr w:rsidR="00F3645B" w:rsidRPr="00F3645B" w14:paraId="0D77B3CE"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7AFF0"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12</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925733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территориальных автомобильных дорог республиканского, межмуниципального и местного значения Республики Дагестан»</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2CC2B7F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12 521 404,2</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518394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12 521 404,2</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4D5920C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F4AFB3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10 845 420,3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A9411B2" w14:textId="77777777" w:rsidR="00F3645B" w:rsidRPr="00F3645B" w:rsidRDefault="00F3645B" w:rsidP="00F3645B">
            <w:pPr>
              <w:widowControl w:val="0"/>
              <w:autoSpaceDE w:val="0"/>
              <w:autoSpaceDN w:val="0"/>
              <w:adjustRightInd w:val="0"/>
              <w:spacing w:after="0" w:line="240" w:lineRule="auto"/>
              <w:ind w:hanging="75"/>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-1 675 983,9</w:t>
            </w:r>
          </w:p>
        </w:tc>
      </w:tr>
      <w:tr w:rsidR="00F3645B" w:rsidRPr="00F3645B" w14:paraId="4E1417BE" w14:textId="77777777" w:rsidTr="00545B6E">
        <w:trPr>
          <w:trHeight w:val="319"/>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9AD05"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3AF61B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реализации государственной программы»</w:t>
            </w:r>
          </w:p>
        </w:tc>
        <w:tc>
          <w:tcPr>
            <w:tcW w:w="1105" w:type="dxa"/>
            <w:tcBorders>
              <w:top w:val="nil"/>
              <w:left w:val="single" w:sz="4" w:space="0" w:color="auto"/>
              <w:bottom w:val="single" w:sz="4" w:space="0" w:color="auto"/>
              <w:right w:val="single" w:sz="4" w:space="0" w:color="auto"/>
            </w:tcBorders>
            <w:shd w:val="clear" w:color="auto" w:fill="auto"/>
            <w:vAlign w:val="center"/>
          </w:tcPr>
          <w:p w14:paraId="2A44C5E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45 844,6</w:t>
            </w:r>
          </w:p>
        </w:tc>
        <w:tc>
          <w:tcPr>
            <w:tcW w:w="1134" w:type="dxa"/>
            <w:tcBorders>
              <w:top w:val="nil"/>
              <w:left w:val="nil"/>
              <w:bottom w:val="single" w:sz="4" w:space="0" w:color="auto"/>
              <w:right w:val="single" w:sz="4" w:space="0" w:color="auto"/>
            </w:tcBorders>
            <w:shd w:val="clear" w:color="000000" w:fill="FFFFFF"/>
            <w:vAlign w:val="center"/>
          </w:tcPr>
          <w:p w14:paraId="2B6A1F7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45 844,6</w:t>
            </w:r>
          </w:p>
        </w:tc>
        <w:tc>
          <w:tcPr>
            <w:tcW w:w="850" w:type="dxa"/>
            <w:tcBorders>
              <w:top w:val="nil"/>
              <w:left w:val="nil"/>
              <w:bottom w:val="single" w:sz="4" w:space="0" w:color="auto"/>
              <w:right w:val="single" w:sz="4" w:space="0" w:color="auto"/>
            </w:tcBorders>
            <w:shd w:val="clear" w:color="000000" w:fill="FFFFFF"/>
            <w:noWrap/>
            <w:vAlign w:val="center"/>
          </w:tcPr>
          <w:p w14:paraId="2146EB0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8B4607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44 546,7</w:t>
            </w:r>
          </w:p>
        </w:tc>
        <w:tc>
          <w:tcPr>
            <w:tcW w:w="993" w:type="dxa"/>
            <w:tcBorders>
              <w:top w:val="nil"/>
              <w:left w:val="nil"/>
              <w:bottom w:val="single" w:sz="4" w:space="0" w:color="auto"/>
              <w:right w:val="single" w:sz="4" w:space="0" w:color="auto"/>
            </w:tcBorders>
            <w:shd w:val="clear" w:color="auto" w:fill="auto"/>
            <w:noWrap/>
            <w:vAlign w:val="center"/>
          </w:tcPr>
          <w:p w14:paraId="7AE569A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-1 297,9</w:t>
            </w:r>
          </w:p>
        </w:tc>
      </w:tr>
      <w:tr w:rsidR="00F3645B" w:rsidRPr="00F3645B" w14:paraId="5DB98C44" w14:textId="77777777" w:rsidTr="00545B6E">
        <w:trPr>
          <w:trHeight w:val="226"/>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FC4A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A87A1A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«Дорожное хозяйство»</w:t>
            </w:r>
          </w:p>
        </w:tc>
        <w:tc>
          <w:tcPr>
            <w:tcW w:w="1105" w:type="dxa"/>
            <w:tcBorders>
              <w:top w:val="nil"/>
              <w:left w:val="single" w:sz="4" w:space="0" w:color="auto"/>
              <w:bottom w:val="single" w:sz="4" w:space="0" w:color="auto"/>
              <w:right w:val="single" w:sz="4" w:space="0" w:color="auto"/>
            </w:tcBorders>
            <w:shd w:val="clear" w:color="auto" w:fill="auto"/>
            <w:vAlign w:val="center"/>
          </w:tcPr>
          <w:p w14:paraId="7050F74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144 902,4</w:t>
            </w:r>
          </w:p>
        </w:tc>
        <w:tc>
          <w:tcPr>
            <w:tcW w:w="1134" w:type="dxa"/>
            <w:tcBorders>
              <w:top w:val="nil"/>
              <w:left w:val="nil"/>
              <w:bottom w:val="single" w:sz="4" w:space="0" w:color="auto"/>
              <w:right w:val="single" w:sz="4" w:space="0" w:color="auto"/>
            </w:tcBorders>
            <w:shd w:val="clear" w:color="000000" w:fill="FFFFFF"/>
            <w:vAlign w:val="center"/>
          </w:tcPr>
          <w:p w14:paraId="6D2C464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144 902,4</w:t>
            </w:r>
          </w:p>
        </w:tc>
        <w:tc>
          <w:tcPr>
            <w:tcW w:w="850" w:type="dxa"/>
            <w:tcBorders>
              <w:top w:val="nil"/>
              <w:left w:val="nil"/>
              <w:bottom w:val="single" w:sz="4" w:space="0" w:color="auto"/>
              <w:right w:val="single" w:sz="4" w:space="0" w:color="auto"/>
            </w:tcBorders>
            <w:shd w:val="clear" w:color="000000" w:fill="FFFFFF"/>
            <w:noWrap/>
            <w:vAlign w:val="center"/>
          </w:tcPr>
          <w:p w14:paraId="5691BF3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0620A6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136 119,1</w:t>
            </w:r>
          </w:p>
        </w:tc>
        <w:tc>
          <w:tcPr>
            <w:tcW w:w="993" w:type="dxa"/>
            <w:tcBorders>
              <w:top w:val="nil"/>
              <w:left w:val="nil"/>
              <w:bottom w:val="single" w:sz="4" w:space="0" w:color="auto"/>
              <w:right w:val="single" w:sz="4" w:space="0" w:color="auto"/>
            </w:tcBorders>
            <w:shd w:val="clear" w:color="auto" w:fill="auto"/>
            <w:noWrap/>
            <w:vAlign w:val="center"/>
          </w:tcPr>
          <w:p w14:paraId="3C35242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-8 783,3</w:t>
            </w:r>
          </w:p>
        </w:tc>
      </w:tr>
      <w:tr w:rsidR="00F3645B" w:rsidRPr="00F3645B" w14:paraId="2B3228BD" w14:textId="77777777" w:rsidTr="00545B6E">
        <w:trPr>
          <w:trHeight w:val="11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6F63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75FF92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«Автомобильные дороги»</w:t>
            </w:r>
          </w:p>
        </w:tc>
        <w:tc>
          <w:tcPr>
            <w:tcW w:w="1105" w:type="dxa"/>
            <w:tcBorders>
              <w:top w:val="nil"/>
              <w:left w:val="single" w:sz="4" w:space="0" w:color="auto"/>
              <w:bottom w:val="single" w:sz="4" w:space="0" w:color="auto"/>
              <w:right w:val="single" w:sz="4" w:space="0" w:color="auto"/>
            </w:tcBorders>
            <w:shd w:val="clear" w:color="auto" w:fill="auto"/>
            <w:vAlign w:val="center"/>
          </w:tcPr>
          <w:p w14:paraId="67E5A22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12 330 657,2</w:t>
            </w:r>
          </w:p>
        </w:tc>
        <w:tc>
          <w:tcPr>
            <w:tcW w:w="1134" w:type="dxa"/>
            <w:tcBorders>
              <w:top w:val="nil"/>
              <w:left w:val="nil"/>
              <w:bottom w:val="single" w:sz="4" w:space="0" w:color="auto"/>
              <w:right w:val="single" w:sz="4" w:space="0" w:color="auto"/>
            </w:tcBorders>
            <w:shd w:val="clear" w:color="000000" w:fill="FFFFFF"/>
            <w:vAlign w:val="center"/>
          </w:tcPr>
          <w:p w14:paraId="6F8ACEB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12 330 657,2</w:t>
            </w:r>
          </w:p>
        </w:tc>
        <w:tc>
          <w:tcPr>
            <w:tcW w:w="850" w:type="dxa"/>
            <w:tcBorders>
              <w:top w:val="nil"/>
              <w:left w:val="nil"/>
              <w:bottom w:val="single" w:sz="4" w:space="0" w:color="auto"/>
              <w:right w:val="single" w:sz="4" w:space="0" w:color="auto"/>
            </w:tcBorders>
            <w:shd w:val="clear" w:color="000000" w:fill="FFFFFF"/>
            <w:noWrap/>
            <w:vAlign w:val="center"/>
          </w:tcPr>
          <w:p w14:paraId="3B28474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1344172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10 664 754,5</w:t>
            </w:r>
          </w:p>
        </w:tc>
        <w:tc>
          <w:tcPr>
            <w:tcW w:w="993" w:type="dxa"/>
            <w:tcBorders>
              <w:top w:val="nil"/>
              <w:left w:val="nil"/>
              <w:bottom w:val="single" w:sz="4" w:space="0" w:color="auto"/>
              <w:right w:val="single" w:sz="4" w:space="0" w:color="auto"/>
            </w:tcBorders>
            <w:shd w:val="clear" w:color="auto" w:fill="auto"/>
            <w:noWrap/>
            <w:vAlign w:val="center"/>
          </w:tcPr>
          <w:p w14:paraId="36385C1A" w14:textId="77777777" w:rsidR="00F3645B" w:rsidRPr="00F3645B" w:rsidRDefault="00F3645B" w:rsidP="00F3645B">
            <w:pPr>
              <w:widowControl w:val="0"/>
              <w:autoSpaceDE w:val="0"/>
              <w:autoSpaceDN w:val="0"/>
              <w:adjustRightInd w:val="0"/>
              <w:spacing w:after="0" w:line="240" w:lineRule="auto"/>
              <w:ind w:hanging="217"/>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-1 665 902,7</w:t>
            </w:r>
          </w:p>
        </w:tc>
      </w:tr>
      <w:tr w:rsidR="00F3645B" w:rsidRPr="00F3645B" w14:paraId="1428105C" w14:textId="77777777" w:rsidTr="00545B6E">
        <w:trPr>
          <w:trHeight w:val="348"/>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1A59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F3645B">
              <w:rPr>
                <w:rFonts w:ascii="Times New Roman" w:eastAsia="Times New Roman" w:hAnsi="Times New Roman" w:cs="Times New Roman"/>
                <w:b/>
                <w:bCs/>
                <w:sz w:val="16"/>
                <w:szCs w:val="16"/>
                <w:lang w:eastAsia="ru-RU"/>
              </w:rPr>
              <w:t>13</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D4A5DE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жилищного строительства в Республике Дагестан»</w:t>
            </w:r>
          </w:p>
        </w:tc>
        <w:tc>
          <w:tcPr>
            <w:tcW w:w="1105" w:type="dxa"/>
            <w:tcBorders>
              <w:top w:val="single" w:sz="4" w:space="0" w:color="auto"/>
              <w:left w:val="nil"/>
              <w:bottom w:val="single" w:sz="4" w:space="0" w:color="auto"/>
              <w:right w:val="single" w:sz="4" w:space="0" w:color="auto"/>
            </w:tcBorders>
            <w:shd w:val="clear" w:color="auto" w:fill="auto"/>
            <w:vAlign w:val="center"/>
          </w:tcPr>
          <w:p w14:paraId="0901752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2 854 518,5</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7F769C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2 814 518,5</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09A0C0C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-40 000,0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77100D1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2 352 296,3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DD44A0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-462 222,2</w:t>
            </w:r>
          </w:p>
        </w:tc>
      </w:tr>
      <w:tr w:rsidR="00F3645B" w:rsidRPr="00F3645B" w14:paraId="519BBA76" w14:textId="77777777" w:rsidTr="00545B6E">
        <w:trPr>
          <w:trHeight w:val="283"/>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866E5"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3D60585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территорий для жилищного строительства в Республике Дагестан»</w:t>
            </w:r>
          </w:p>
        </w:tc>
        <w:tc>
          <w:tcPr>
            <w:tcW w:w="1105" w:type="dxa"/>
            <w:tcBorders>
              <w:top w:val="nil"/>
              <w:left w:val="nil"/>
              <w:bottom w:val="single" w:sz="4" w:space="0" w:color="auto"/>
              <w:right w:val="single" w:sz="4" w:space="0" w:color="auto"/>
            </w:tcBorders>
            <w:shd w:val="clear" w:color="000000" w:fill="FFFFFF"/>
            <w:vAlign w:val="center"/>
          </w:tcPr>
          <w:p w14:paraId="342A438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vAlign w:val="center"/>
          </w:tcPr>
          <w:p w14:paraId="546D227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850" w:type="dxa"/>
            <w:tcBorders>
              <w:top w:val="nil"/>
              <w:left w:val="nil"/>
              <w:bottom w:val="single" w:sz="4" w:space="0" w:color="auto"/>
              <w:right w:val="single" w:sz="4" w:space="0" w:color="auto"/>
            </w:tcBorders>
            <w:shd w:val="clear" w:color="000000" w:fill="FFFFFF"/>
            <w:noWrap/>
            <w:vAlign w:val="center"/>
          </w:tcPr>
          <w:p w14:paraId="79CF8D8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A74BE7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5BBBE06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79D7D8FE"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D16CF"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4E70EA2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  Подпрограмма «Оказание мер государственной поддержки в улучшении жилищных условий отдельным категориям граждан»</w:t>
            </w:r>
          </w:p>
        </w:tc>
        <w:tc>
          <w:tcPr>
            <w:tcW w:w="1105" w:type="dxa"/>
            <w:tcBorders>
              <w:top w:val="nil"/>
              <w:left w:val="nil"/>
              <w:bottom w:val="single" w:sz="4" w:space="0" w:color="auto"/>
              <w:right w:val="single" w:sz="4" w:space="0" w:color="auto"/>
            </w:tcBorders>
            <w:shd w:val="clear" w:color="000000" w:fill="FFFFFF"/>
            <w:vAlign w:val="center"/>
          </w:tcPr>
          <w:p w14:paraId="5CD3A3A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538 727,0</w:t>
            </w:r>
          </w:p>
        </w:tc>
        <w:tc>
          <w:tcPr>
            <w:tcW w:w="1134" w:type="dxa"/>
            <w:tcBorders>
              <w:top w:val="nil"/>
              <w:left w:val="nil"/>
              <w:bottom w:val="single" w:sz="4" w:space="0" w:color="auto"/>
              <w:right w:val="single" w:sz="4" w:space="0" w:color="auto"/>
            </w:tcBorders>
            <w:shd w:val="clear" w:color="000000" w:fill="FFFFFF"/>
            <w:vAlign w:val="center"/>
          </w:tcPr>
          <w:p w14:paraId="3E3ADE9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538 727,0</w:t>
            </w:r>
          </w:p>
        </w:tc>
        <w:tc>
          <w:tcPr>
            <w:tcW w:w="850" w:type="dxa"/>
            <w:tcBorders>
              <w:top w:val="nil"/>
              <w:left w:val="nil"/>
              <w:bottom w:val="single" w:sz="4" w:space="0" w:color="auto"/>
              <w:right w:val="single" w:sz="4" w:space="0" w:color="auto"/>
            </w:tcBorders>
            <w:shd w:val="clear" w:color="000000" w:fill="FFFFFF"/>
            <w:noWrap/>
            <w:vAlign w:val="center"/>
          </w:tcPr>
          <w:p w14:paraId="737A304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19B037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538 705,0</w:t>
            </w:r>
          </w:p>
        </w:tc>
        <w:tc>
          <w:tcPr>
            <w:tcW w:w="993" w:type="dxa"/>
            <w:tcBorders>
              <w:top w:val="nil"/>
              <w:left w:val="nil"/>
              <w:bottom w:val="single" w:sz="4" w:space="0" w:color="auto"/>
              <w:right w:val="single" w:sz="4" w:space="0" w:color="auto"/>
            </w:tcBorders>
            <w:shd w:val="clear" w:color="auto" w:fill="auto"/>
            <w:noWrap/>
            <w:vAlign w:val="center"/>
          </w:tcPr>
          <w:p w14:paraId="22DFAC0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-22,0</w:t>
            </w:r>
          </w:p>
        </w:tc>
      </w:tr>
      <w:tr w:rsidR="00F3645B" w:rsidRPr="00F3645B" w14:paraId="7D1A0E2C"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C6E8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3A19EED1"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«Повышение сейсмоустойчивости жилых домов, основных объектов и систем жизнеобеспечения Республики Дагестан»</w:t>
            </w:r>
          </w:p>
        </w:tc>
        <w:tc>
          <w:tcPr>
            <w:tcW w:w="1105" w:type="dxa"/>
            <w:tcBorders>
              <w:top w:val="nil"/>
              <w:left w:val="nil"/>
              <w:bottom w:val="single" w:sz="4" w:space="0" w:color="auto"/>
              <w:right w:val="single" w:sz="4" w:space="0" w:color="auto"/>
            </w:tcBorders>
            <w:shd w:val="clear" w:color="000000" w:fill="FFFFFF"/>
            <w:vAlign w:val="center"/>
          </w:tcPr>
          <w:p w14:paraId="0FEB885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37 181,0</w:t>
            </w:r>
          </w:p>
        </w:tc>
        <w:tc>
          <w:tcPr>
            <w:tcW w:w="1134" w:type="dxa"/>
            <w:tcBorders>
              <w:top w:val="nil"/>
              <w:left w:val="nil"/>
              <w:bottom w:val="single" w:sz="4" w:space="0" w:color="auto"/>
              <w:right w:val="single" w:sz="4" w:space="0" w:color="auto"/>
            </w:tcBorders>
            <w:shd w:val="clear" w:color="000000" w:fill="FFFFFF"/>
            <w:vAlign w:val="center"/>
          </w:tcPr>
          <w:p w14:paraId="59DB39B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37 181,0</w:t>
            </w:r>
          </w:p>
        </w:tc>
        <w:tc>
          <w:tcPr>
            <w:tcW w:w="850" w:type="dxa"/>
            <w:tcBorders>
              <w:top w:val="nil"/>
              <w:left w:val="nil"/>
              <w:bottom w:val="single" w:sz="4" w:space="0" w:color="auto"/>
              <w:right w:val="single" w:sz="4" w:space="0" w:color="auto"/>
            </w:tcBorders>
            <w:shd w:val="clear" w:color="000000" w:fill="FFFFFF"/>
            <w:noWrap/>
            <w:vAlign w:val="center"/>
          </w:tcPr>
          <w:p w14:paraId="4A420AD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2A64FB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37 181,0</w:t>
            </w:r>
          </w:p>
        </w:tc>
        <w:tc>
          <w:tcPr>
            <w:tcW w:w="993" w:type="dxa"/>
            <w:tcBorders>
              <w:top w:val="nil"/>
              <w:left w:val="nil"/>
              <w:bottom w:val="single" w:sz="4" w:space="0" w:color="auto"/>
              <w:right w:val="single" w:sz="4" w:space="0" w:color="auto"/>
            </w:tcBorders>
            <w:shd w:val="clear" w:color="auto" w:fill="auto"/>
            <w:noWrap/>
            <w:vAlign w:val="center"/>
          </w:tcPr>
          <w:p w14:paraId="214C09A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484B007F" w14:textId="77777777" w:rsidTr="00545B6E">
        <w:trPr>
          <w:trHeight w:val="333"/>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EA00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3F6DF1B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жильем молодых семей в Республике Дагестан»</w:t>
            </w:r>
          </w:p>
        </w:tc>
        <w:tc>
          <w:tcPr>
            <w:tcW w:w="1105" w:type="dxa"/>
            <w:tcBorders>
              <w:top w:val="nil"/>
              <w:left w:val="nil"/>
              <w:bottom w:val="single" w:sz="4" w:space="0" w:color="auto"/>
              <w:right w:val="single" w:sz="4" w:space="0" w:color="auto"/>
            </w:tcBorders>
            <w:shd w:val="clear" w:color="000000" w:fill="FFFFFF"/>
            <w:vAlign w:val="center"/>
          </w:tcPr>
          <w:p w14:paraId="77DE530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9 118,6</w:t>
            </w:r>
          </w:p>
        </w:tc>
        <w:tc>
          <w:tcPr>
            <w:tcW w:w="1134" w:type="dxa"/>
            <w:tcBorders>
              <w:top w:val="nil"/>
              <w:left w:val="nil"/>
              <w:bottom w:val="single" w:sz="4" w:space="0" w:color="auto"/>
              <w:right w:val="single" w:sz="4" w:space="0" w:color="auto"/>
            </w:tcBorders>
            <w:shd w:val="clear" w:color="000000" w:fill="FFFFFF"/>
            <w:vAlign w:val="center"/>
          </w:tcPr>
          <w:p w14:paraId="27249FD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9 118,6</w:t>
            </w:r>
          </w:p>
        </w:tc>
        <w:tc>
          <w:tcPr>
            <w:tcW w:w="850" w:type="dxa"/>
            <w:tcBorders>
              <w:top w:val="nil"/>
              <w:left w:val="nil"/>
              <w:bottom w:val="single" w:sz="4" w:space="0" w:color="auto"/>
              <w:right w:val="single" w:sz="4" w:space="0" w:color="auto"/>
            </w:tcBorders>
            <w:shd w:val="clear" w:color="000000" w:fill="FFFFFF"/>
            <w:noWrap/>
            <w:vAlign w:val="center"/>
          </w:tcPr>
          <w:p w14:paraId="4315DD9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8E2D0C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9 118,6</w:t>
            </w:r>
          </w:p>
        </w:tc>
        <w:tc>
          <w:tcPr>
            <w:tcW w:w="993" w:type="dxa"/>
            <w:tcBorders>
              <w:top w:val="nil"/>
              <w:left w:val="nil"/>
              <w:bottom w:val="single" w:sz="4" w:space="0" w:color="auto"/>
              <w:right w:val="single" w:sz="4" w:space="0" w:color="auto"/>
            </w:tcBorders>
            <w:shd w:val="clear" w:color="auto" w:fill="auto"/>
            <w:noWrap/>
            <w:vAlign w:val="center"/>
          </w:tcPr>
          <w:p w14:paraId="70715EB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25D2E3D8" w14:textId="77777777" w:rsidTr="00545B6E">
        <w:trPr>
          <w:trHeight w:val="517"/>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EF19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3645B">
              <w:rPr>
                <w:rFonts w:ascii="Times New Roman" w:eastAsia="Times New Roman" w:hAnsi="Times New Roman" w:cs="Times New Roman"/>
                <w:sz w:val="16"/>
                <w:szCs w:val="16"/>
                <w:lang w:eastAsia="ru-RU"/>
              </w:rPr>
              <w:t> </w:t>
            </w:r>
          </w:p>
        </w:tc>
        <w:tc>
          <w:tcPr>
            <w:tcW w:w="3827" w:type="dxa"/>
            <w:tcBorders>
              <w:top w:val="nil"/>
              <w:left w:val="single" w:sz="4" w:space="0" w:color="auto"/>
              <w:bottom w:val="single" w:sz="4" w:space="0" w:color="auto"/>
              <w:right w:val="single" w:sz="4" w:space="0" w:color="auto"/>
            </w:tcBorders>
            <w:shd w:val="clear" w:color="auto" w:fill="auto"/>
          </w:tcPr>
          <w:p w14:paraId="5565EA97"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«Создание условий для обеспечения качественными услугами жилищно-коммунального хозяйства населения Республики Дагестан»</w:t>
            </w:r>
          </w:p>
        </w:tc>
        <w:tc>
          <w:tcPr>
            <w:tcW w:w="1105" w:type="dxa"/>
            <w:tcBorders>
              <w:top w:val="nil"/>
              <w:left w:val="nil"/>
              <w:bottom w:val="single" w:sz="4" w:space="0" w:color="auto"/>
              <w:right w:val="single" w:sz="4" w:space="0" w:color="auto"/>
            </w:tcBorders>
            <w:shd w:val="clear" w:color="000000" w:fill="FFFFFF"/>
            <w:vAlign w:val="center"/>
          </w:tcPr>
          <w:p w14:paraId="41E5956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2 269 491,9</w:t>
            </w:r>
          </w:p>
        </w:tc>
        <w:tc>
          <w:tcPr>
            <w:tcW w:w="1134" w:type="dxa"/>
            <w:tcBorders>
              <w:top w:val="nil"/>
              <w:left w:val="nil"/>
              <w:bottom w:val="single" w:sz="4" w:space="0" w:color="auto"/>
              <w:right w:val="single" w:sz="4" w:space="0" w:color="auto"/>
            </w:tcBorders>
            <w:shd w:val="clear" w:color="000000" w:fill="FFFFFF"/>
            <w:vAlign w:val="center"/>
          </w:tcPr>
          <w:p w14:paraId="1FA22E0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2 229 491,9</w:t>
            </w:r>
          </w:p>
        </w:tc>
        <w:tc>
          <w:tcPr>
            <w:tcW w:w="850" w:type="dxa"/>
            <w:tcBorders>
              <w:top w:val="nil"/>
              <w:left w:val="nil"/>
              <w:bottom w:val="single" w:sz="4" w:space="0" w:color="auto"/>
              <w:right w:val="single" w:sz="4" w:space="0" w:color="auto"/>
            </w:tcBorders>
            <w:shd w:val="clear" w:color="000000" w:fill="FFFFFF"/>
            <w:noWrap/>
            <w:vAlign w:val="center"/>
          </w:tcPr>
          <w:p w14:paraId="2BCD45B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-40 000,0</w:t>
            </w:r>
          </w:p>
        </w:tc>
        <w:tc>
          <w:tcPr>
            <w:tcW w:w="1134" w:type="dxa"/>
            <w:tcBorders>
              <w:top w:val="nil"/>
              <w:left w:val="nil"/>
              <w:bottom w:val="single" w:sz="4" w:space="0" w:color="auto"/>
              <w:right w:val="single" w:sz="4" w:space="0" w:color="auto"/>
            </w:tcBorders>
            <w:shd w:val="clear" w:color="000000" w:fill="FFFFFF"/>
            <w:vAlign w:val="center"/>
          </w:tcPr>
          <w:p w14:paraId="7CF888F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1 767 291,7</w:t>
            </w:r>
          </w:p>
        </w:tc>
        <w:tc>
          <w:tcPr>
            <w:tcW w:w="993" w:type="dxa"/>
            <w:tcBorders>
              <w:top w:val="nil"/>
              <w:left w:val="nil"/>
              <w:bottom w:val="single" w:sz="4" w:space="0" w:color="auto"/>
              <w:right w:val="single" w:sz="4" w:space="0" w:color="auto"/>
            </w:tcBorders>
            <w:shd w:val="clear" w:color="auto" w:fill="auto"/>
            <w:noWrap/>
            <w:vAlign w:val="center"/>
          </w:tcPr>
          <w:p w14:paraId="65AC80B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-462 200,2</w:t>
            </w:r>
          </w:p>
        </w:tc>
      </w:tr>
      <w:tr w:rsidR="00F3645B" w:rsidRPr="00F3645B" w14:paraId="7BAC0913" w14:textId="77777777" w:rsidTr="00545B6E">
        <w:trPr>
          <w:trHeight w:val="154"/>
        </w:trPr>
        <w:tc>
          <w:tcPr>
            <w:tcW w:w="421" w:type="dxa"/>
            <w:tcBorders>
              <w:top w:val="single" w:sz="4" w:space="0" w:color="auto"/>
              <w:left w:val="single" w:sz="4" w:space="0" w:color="auto"/>
              <w:bottom w:val="single" w:sz="4" w:space="0" w:color="auto"/>
              <w:right w:val="single" w:sz="4" w:space="0" w:color="auto"/>
            </w:tcBorders>
            <w:shd w:val="clear" w:color="auto" w:fill="auto"/>
            <w:noWrap/>
          </w:tcPr>
          <w:p w14:paraId="267B968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14</w:t>
            </w:r>
          </w:p>
        </w:tc>
        <w:tc>
          <w:tcPr>
            <w:tcW w:w="3827" w:type="dxa"/>
            <w:tcBorders>
              <w:top w:val="single" w:sz="4" w:space="0" w:color="auto"/>
              <w:left w:val="nil"/>
              <w:bottom w:val="single" w:sz="4" w:space="0" w:color="auto"/>
              <w:right w:val="single" w:sz="4" w:space="0" w:color="auto"/>
            </w:tcBorders>
            <w:shd w:val="clear" w:color="auto" w:fill="auto"/>
          </w:tcPr>
          <w:p w14:paraId="6E49C62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лесного хозяйства Республики Дагестан»</w:t>
            </w:r>
          </w:p>
        </w:tc>
        <w:tc>
          <w:tcPr>
            <w:tcW w:w="1105" w:type="dxa"/>
            <w:tcBorders>
              <w:top w:val="single" w:sz="4" w:space="0" w:color="auto"/>
              <w:left w:val="nil"/>
              <w:bottom w:val="single" w:sz="4" w:space="0" w:color="auto"/>
              <w:right w:val="single" w:sz="4" w:space="0" w:color="auto"/>
            </w:tcBorders>
            <w:shd w:val="clear" w:color="auto" w:fill="auto"/>
            <w:vAlign w:val="center"/>
          </w:tcPr>
          <w:p w14:paraId="1F449B1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219 677,5</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5FEAD2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219 677,5</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36467FC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9A196E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218 859,0</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726843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-818,5</w:t>
            </w:r>
          </w:p>
        </w:tc>
      </w:tr>
      <w:tr w:rsidR="00F3645B" w:rsidRPr="00F3645B" w14:paraId="314BF077" w14:textId="77777777" w:rsidTr="00545B6E">
        <w:trPr>
          <w:trHeight w:val="281"/>
        </w:trPr>
        <w:tc>
          <w:tcPr>
            <w:tcW w:w="421" w:type="dxa"/>
            <w:tcBorders>
              <w:top w:val="nil"/>
              <w:left w:val="single" w:sz="4" w:space="0" w:color="auto"/>
              <w:bottom w:val="single" w:sz="4" w:space="0" w:color="auto"/>
              <w:right w:val="single" w:sz="4" w:space="0" w:color="auto"/>
            </w:tcBorders>
            <w:shd w:val="clear" w:color="auto" w:fill="auto"/>
            <w:noWrap/>
          </w:tcPr>
          <w:p w14:paraId="11E513D8"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C36F55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использования, охраны, защиты и воспроизводства лесов»</w:t>
            </w:r>
          </w:p>
        </w:tc>
        <w:tc>
          <w:tcPr>
            <w:tcW w:w="1105" w:type="dxa"/>
            <w:tcBorders>
              <w:top w:val="nil"/>
              <w:left w:val="nil"/>
              <w:bottom w:val="single" w:sz="4" w:space="0" w:color="auto"/>
              <w:right w:val="single" w:sz="4" w:space="0" w:color="auto"/>
            </w:tcBorders>
            <w:shd w:val="clear" w:color="auto" w:fill="auto"/>
            <w:vAlign w:val="center"/>
          </w:tcPr>
          <w:p w14:paraId="036F33C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185 444,4</w:t>
            </w:r>
          </w:p>
        </w:tc>
        <w:tc>
          <w:tcPr>
            <w:tcW w:w="1134" w:type="dxa"/>
            <w:tcBorders>
              <w:top w:val="nil"/>
              <w:left w:val="nil"/>
              <w:bottom w:val="single" w:sz="4" w:space="0" w:color="auto"/>
              <w:right w:val="single" w:sz="4" w:space="0" w:color="auto"/>
            </w:tcBorders>
            <w:shd w:val="clear" w:color="000000" w:fill="FFFFFF"/>
            <w:vAlign w:val="center"/>
          </w:tcPr>
          <w:p w14:paraId="5C22D22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185 444,4</w:t>
            </w:r>
          </w:p>
        </w:tc>
        <w:tc>
          <w:tcPr>
            <w:tcW w:w="850" w:type="dxa"/>
            <w:tcBorders>
              <w:top w:val="nil"/>
              <w:left w:val="nil"/>
              <w:bottom w:val="single" w:sz="4" w:space="0" w:color="auto"/>
              <w:right w:val="single" w:sz="4" w:space="0" w:color="auto"/>
            </w:tcBorders>
            <w:shd w:val="clear" w:color="000000" w:fill="FFFFFF"/>
            <w:noWrap/>
            <w:vAlign w:val="center"/>
          </w:tcPr>
          <w:p w14:paraId="3EE41E9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076888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185 214,9</w:t>
            </w:r>
          </w:p>
        </w:tc>
        <w:tc>
          <w:tcPr>
            <w:tcW w:w="993" w:type="dxa"/>
            <w:tcBorders>
              <w:top w:val="nil"/>
              <w:left w:val="nil"/>
              <w:bottom w:val="single" w:sz="4" w:space="0" w:color="auto"/>
              <w:right w:val="single" w:sz="4" w:space="0" w:color="auto"/>
            </w:tcBorders>
            <w:shd w:val="clear" w:color="auto" w:fill="auto"/>
            <w:noWrap/>
            <w:vAlign w:val="center"/>
          </w:tcPr>
          <w:p w14:paraId="6E61998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-229,5</w:t>
            </w:r>
          </w:p>
        </w:tc>
      </w:tr>
      <w:tr w:rsidR="00F3645B" w:rsidRPr="00F3645B" w14:paraId="246E8E1D"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4954DB0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7634E3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реализации государственной программы РД "Развитие лесного хозяйства РД на 2014-2020 годы»</w:t>
            </w:r>
          </w:p>
        </w:tc>
        <w:tc>
          <w:tcPr>
            <w:tcW w:w="1105" w:type="dxa"/>
            <w:tcBorders>
              <w:top w:val="nil"/>
              <w:left w:val="nil"/>
              <w:bottom w:val="single" w:sz="4" w:space="0" w:color="auto"/>
              <w:right w:val="single" w:sz="4" w:space="0" w:color="auto"/>
            </w:tcBorders>
            <w:shd w:val="clear" w:color="auto" w:fill="auto"/>
            <w:vAlign w:val="center"/>
          </w:tcPr>
          <w:p w14:paraId="17BBA5E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34 233,1</w:t>
            </w:r>
          </w:p>
        </w:tc>
        <w:tc>
          <w:tcPr>
            <w:tcW w:w="1134" w:type="dxa"/>
            <w:tcBorders>
              <w:top w:val="nil"/>
              <w:left w:val="nil"/>
              <w:bottom w:val="single" w:sz="4" w:space="0" w:color="auto"/>
              <w:right w:val="single" w:sz="4" w:space="0" w:color="auto"/>
            </w:tcBorders>
            <w:shd w:val="clear" w:color="000000" w:fill="FFFFFF"/>
            <w:vAlign w:val="center"/>
          </w:tcPr>
          <w:p w14:paraId="14D8BC0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34 233,1</w:t>
            </w:r>
          </w:p>
        </w:tc>
        <w:tc>
          <w:tcPr>
            <w:tcW w:w="850" w:type="dxa"/>
            <w:tcBorders>
              <w:top w:val="nil"/>
              <w:left w:val="nil"/>
              <w:bottom w:val="single" w:sz="4" w:space="0" w:color="auto"/>
              <w:right w:val="single" w:sz="4" w:space="0" w:color="auto"/>
            </w:tcBorders>
            <w:shd w:val="clear" w:color="000000" w:fill="FFFFFF"/>
            <w:noWrap/>
            <w:vAlign w:val="center"/>
          </w:tcPr>
          <w:p w14:paraId="59B13C7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F6993B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33 644,1</w:t>
            </w:r>
          </w:p>
        </w:tc>
        <w:tc>
          <w:tcPr>
            <w:tcW w:w="993" w:type="dxa"/>
            <w:tcBorders>
              <w:top w:val="nil"/>
              <w:left w:val="nil"/>
              <w:bottom w:val="single" w:sz="4" w:space="0" w:color="auto"/>
              <w:right w:val="single" w:sz="4" w:space="0" w:color="auto"/>
            </w:tcBorders>
            <w:shd w:val="clear" w:color="auto" w:fill="auto"/>
            <w:noWrap/>
            <w:vAlign w:val="center"/>
          </w:tcPr>
          <w:p w14:paraId="1054E8A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-589,0</w:t>
            </w:r>
          </w:p>
        </w:tc>
      </w:tr>
      <w:tr w:rsidR="00F3645B" w:rsidRPr="00F3645B" w14:paraId="28C3240A" w14:textId="77777777" w:rsidTr="00545B6E">
        <w:trPr>
          <w:trHeight w:val="137"/>
        </w:trPr>
        <w:tc>
          <w:tcPr>
            <w:tcW w:w="421" w:type="dxa"/>
            <w:tcBorders>
              <w:top w:val="single" w:sz="4" w:space="0" w:color="auto"/>
              <w:left w:val="single" w:sz="4" w:space="0" w:color="auto"/>
              <w:bottom w:val="single" w:sz="4" w:space="0" w:color="auto"/>
              <w:right w:val="single" w:sz="4" w:space="0" w:color="auto"/>
            </w:tcBorders>
            <w:shd w:val="clear" w:color="auto" w:fill="auto"/>
            <w:noWrap/>
          </w:tcPr>
          <w:p w14:paraId="404EA588"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15</w:t>
            </w:r>
          </w:p>
        </w:tc>
        <w:tc>
          <w:tcPr>
            <w:tcW w:w="3827" w:type="dxa"/>
            <w:tcBorders>
              <w:top w:val="single" w:sz="4" w:space="0" w:color="auto"/>
              <w:left w:val="nil"/>
              <w:bottom w:val="single" w:sz="4" w:space="0" w:color="auto"/>
              <w:right w:val="single" w:sz="4" w:space="0" w:color="auto"/>
            </w:tcBorders>
            <w:shd w:val="clear" w:color="auto" w:fill="auto"/>
          </w:tcPr>
          <w:p w14:paraId="243138A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«Охрана окружающей среды в Республике Дагестан»</w:t>
            </w:r>
          </w:p>
        </w:tc>
        <w:tc>
          <w:tcPr>
            <w:tcW w:w="1105" w:type="dxa"/>
            <w:tcBorders>
              <w:top w:val="single" w:sz="4" w:space="0" w:color="auto"/>
              <w:left w:val="nil"/>
              <w:bottom w:val="single" w:sz="4" w:space="0" w:color="auto"/>
              <w:right w:val="single" w:sz="4" w:space="0" w:color="auto"/>
            </w:tcBorders>
            <w:shd w:val="clear" w:color="auto" w:fill="auto"/>
            <w:vAlign w:val="center"/>
          </w:tcPr>
          <w:p w14:paraId="0F58691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544 893,5</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DC4773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544 893,5</w:t>
            </w:r>
          </w:p>
        </w:tc>
        <w:tc>
          <w:tcPr>
            <w:tcW w:w="850" w:type="dxa"/>
            <w:tcBorders>
              <w:top w:val="single" w:sz="4" w:space="0" w:color="auto"/>
              <w:left w:val="nil"/>
              <w:bottom w:val="single" w:sz="4" w:space="0" w:color="auto"/>
              <w:right w:val="single" w:sz="4" w:space="0" w:color="auto"/>
            </w:tcBorders>
            <w:shd w:val="clear" w:color="000000" w:fill="FFFFFF"/>
            <w:noWrap/>
            <w:vAlign w:val="center"/>
          </w:tcPr>
          <w:p w14:paraId="051D527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0F26E6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479 326,2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F8191C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-65 567,3</w:t>
            </w:r>
          </w:p>
        </w:tc>
      </w:tr>
      <w:tr w:rsidR="00F3645B" w:rsidRPr="00F3645B" w14:paraId="2EAADB9F" w14:textId="77777777" w:rsidTr="00545B6E">
        <w:trPr>
          <w:trHeight w:val="334"/>
        </w:trPr>
        <w:tc>
          <w:tcPr>
            <w:tcW w:w="421" w:type="dxa"/>
            <w:tcBorders>
              <w:top w:val="nil"/>
              <w:left w:val="single" w:sz="4" w:space="0" w:color="auto"/>
              <w:bottom w:val="single" w:sz="4" w:space="0" w:color="auto"/>
              <w:right w:val="single" w:sz="4" w:space="0" w:color="auto"/>
            </w:tcBorders>
            <w:shd w:val="clear" w:color="auto" w:fill="auto"/>
            <w:noWrap/>
          </w:tcPr>
          <w:p w14:paraId="614A60E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D73A25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«Охрана и воспроизводство объектов животного мира и среды их обитания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5828583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13 730,7</w:t>
            </w:r>
          </w:p>
        </w:tc>
        <w:tc>
          <w:tcPr>
            <w:tcW w:w="1134" w:type="dxa"/>
            <w:tcBorders>
              <w:top w:val="nil"/>
              <w:left w:val="nil"/>
              <w:bottom w:val="single" w:sz="4" w:space="0" w:color="auto"/>
              <w:right w:val="single" w:sz="4" w:space="0" w:color="auto"/>
            </w:tcBorders>
            <w:shd w:val="clear" w:color="000000" w:fill="FFFFFF"/>
            <w:vAlign w:val="center"/>
          </w:tcPr>
          <w:p w14:paraId="1ECE44F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13 730,7</w:t>
            </w:r>
          </w:p>
        </w:tc>
        <w:tc>
          <w:tcPr>
            <w:tcW w:w="850" w:type="dxa"/>
            <w:tcBorders>
              <w:top w:val="nil"/>
              <w:left w:val="nil"/>
              <w:bottom w:val="single" w:sz="4" w:space="0" w:color="auto"/>
              <w:right w:val="single" w:sz="4" w:space="0" w:color="auto"/>
            </w:tcBorders>
            <w:shd w:val="clear" w:color="000000" w:fill="FFFFFF"/>
            <w:noWrap/>
            <w:vAlign w:val="center"/>
          </w:tcPr>
          <w:p w14:paraId="6A38E75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410ABA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13 730,7</w:t>
            </w:r>
          </w:p>
        </w:tc>
        <w:tc>
          <w:tcPr>
            <w:tcW w:w="993" w:type="dxa"/>
            <w:tcBorders>
              <w:top w:val="nil"/>
              <w:left w:val="nil"/>
              <w:bottom w:val="single" w:sz="4" w:space="0" w:color="auto"/>
              <w:right w:val="single" w:sz="4" w:space="0" w:color="auto"/>
            </w:tcBorders>
            <w:shd w:val="clear" w:color="auto" w:fill="auto"/>
            <w:noWrap/>
            <w:vAlign w:val="center"/>
          </w:tcPr>
          <w:p w14:paraId="2E953F5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10DE6B1D" w14:textId="77777777" w:rsidTr="00545B6E">
        <w:trPr>
          <w:trHeight w:val="339"/>
        </w:trPr>
        <w:tc>
          <w:tcPr>
            <w:tcW w:w="421" w:type="dxa"/>
            <w:tcBorders>
              <w:top w:val="nil"/>
              <w:left w:val="single" w:sz="4" w:space="0" w:color="auto"/>
              <w:bottom w:val="single" w:sz="4" w:space="0" w:color="auto"/>
              <w:right w:val="single" w:sz="4" w:space="0" w:color="auto"/>
            </w:tcBorders>
            <w:shd w:val="clear" w:color="auto" w:fill="auto"/>
            <w:noWrap/>
          </w:tcPr>
          <w:p w14:paraId="6BB82A6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33F310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минерально-сырьевой базы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7A49506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2 550,0</w:t>
            </w:r>
          </w:p>
        </w:tc>
        <w:tc>
          <w:tcPr>
            <w:tcW w:w="1134" w:type="dxa"/>
            <w:tcBorders>
              <w:top w:val="nil"/>
              <w:left w:val="nil"/>
              <w:bottom w:val="single" w:sz="4" w:space="0" w:color="auto"/>
              <w:right w:val="single" w:sz="4" w:space="0" w:color="auto"/>
            </w:tcBorders>
            <w:shd w:val="clear" w:color="000000" w:fill="FFFFFF"/>
            <w:vAlign w:val="center"/>
          </w:tcPr>
          <w:p w14:paraId="699F793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2 550,0</w:t>
            </w:r>
          </w:p>
        </w:tc>
        <w:tc>
          <w:tcPr>
            <w:tcW w:w="850" w:type="dxa"/>
            <w:tcBorders>
              <w:top w:val="nil"/>
              <w:left w:val="nil"/>
              <w:bottom w:val="single" w:sz="4" w:space="0" w:color="auto"/>
              <w:right w:val="single" w:sz="4" w:space="0" w:color="auto"/>
            </w:tcBorders>
            <w:shd w:val="clear" w:color="000000" w:fill="FFFFFF"/>
            <w:noWrap/>
            <w:vAlign w:val="center"/>
          </w:tcPr>
          <w:p w14:paraId="25F9B9C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859B54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2 550,0</w:t>
            </w:r>
          </w:p>
        </w:tc>
        <w:tc>
          <w:tcPr>
            <w:tcW w:w="993" w:type="dxa"/>
            <w:tcBorders>
              <w:top w:val="nil"/>
              <w:left w:val="nil"/>
              <w:bottom w:val="single" w:sz="4" w:space="0" w:color="auto"/>
              <w:right w:val="single" w:sz="4" w:space="0" w:color="auto"/>
            </w:tcBorders>
            <w:shd w:val="clear" w:color="auto" w:fill="auto"/>
            <w:noWrap/>
            <w:vAlign w:val="center"/>
          </w:tcPr>
          <w:p w14:paraId="248B58E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2A2D15F8" w14:textId="77777777" w:rsidTr="00545B6E">
        <w:trPr>
          <w:trHeight w:val="388"/>
        </w:trPr>
        <w:tc>
          <w:tcPr>
            <w:tcW w:w="421" w:type="dxa"/>
            <w:tcBorders>
              <w:top w:val="nil"/>
              <w:left w:val="single" w:sz="4" w:space="0" w:color="auto"/>
              <w:bottom w:val="single" w:sz="4" w:space="0" w:color="auto"/>
              <w:right w:val="single" w:sz="4" w:space="0" w:color="auto"/>
            </w:tcBorders>
            <w:shd w:val="clear" w:color="auto" w:fill="auto"/>
            <w:noWrap/>
          </w:tcPr>
          <w:p w14:paraId="3FBFFF2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43ACE0F9"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«Экологическое образование и просвещение населения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5A3F8DD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1 000,0</w:t>
            </w:r>
          </w:p>
        </w:tc>
        <w:tc>
          <w:tcPr>
            <w:tcW w:w="1134" w:type="dxa"/>
            <w:tcBorders>
              <w:top w:val="nil"/>
              <w:left w:val="nil"/>
              <w:bottom w:val="single" w:sz="4" w:space="0" w:color="auto"/>
              <w:right w:val="single" w:sz="4" w:space="0" w:color="auto"/>
            </w:tcBorders>
            <w:shd w:val="clear" w:color="000000" w:fill="FFFFFF"/>
            <w:vAlign w:val="center"/>
          </w:tcPr>
          <w:p w14:paraId="5330713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1 000,0</w:t>
            </w:r>
          </w:p>
        </w:tc>
        <w:tc>
          <w:tcPr>
            <w:tcW w:w="850" w:type="dxa"/>
            <w:tcBorders>
              <w:top w:val="nil"/>
              <w:left w:val="nil"/>
              <w:bottom w:val="single" w:sz="4" w:space="0" w:color="auto"/>
              <w:right w:val="single" w:sz="4" w:space="0" w:color="auto"/>
            </w:tcBorders>
            <w:shd w:val="clear" w:color="000000" w:fill="FFFFFF"/>
            <w:noWrap/>
            <w:vAlign w:val="center"/>
          </w:tcPr>
          <w:p w14:paraId="0473AF6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51D089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1 000,0</w:t>
            </w:r>
          </w:p>
        </w:tc>
        <w:tc>
          <w:tcPr>
            <w:tcW w:w="993" w:type="dxa"/>
            <w:tcBorders>
              <w:top w:val="nil"/>
              <w:left w:val="nil"/>
              <w:bottom w:val="single" w:sz="4" w:space="0" w:color="auto"/>
              <w:right w:val="single" w:sz="4" w:space="0" w:color="auto"/>
            </w:tcBorders>
            <w:shd w:val="clear" w:color="auto" w:fill="auto"/>
            <w:noWrap/>
            <w:vAlign w:val="center"/>
          </w:tcPr>
          <w:p w14:paraId="25E0551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63BBCA47"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1EB090E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6B4B90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«Комплексная система управления отходами и вторичными материальными ресурсами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0E2B0EB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80 106,8</w:t>
            </w:r>
          </w:p>
        </w:tc>
        <w:tc>
          <w:tcPr>
            <w:tcW w:w="1134" w:type="dxa"/>
            <w:tcBorders>
              <w:top w:val="nil"/>
              <w:left w:val="nil"/>
              <w:bottom w:val="single" w:sz="4" w:space="0" w:color="auto"/>
              <w:right w:val="single" w:sz="4" w:space="0" w:color="auto"/>
            </w:tcBorders>
            <w:shd w:val="clear" w:color="000000" w:fill="FFFFFF"/>
            <w:vAlign w:val="center"/>
          </w:tcPr>
          <w:p w14:paraId="24E0864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80 106,8</w:t>
            </w:r>
          </w:p>
        </w:tc>
        <w:tc>
          <w:tcPr>
            <w:tcW w:w="850" w:type="dxa"/>
            <w:tcBorders>
              <w:top w:val="nil"/>
              <w:left w:val="nil"/>
              <w:bottom w:val="single" w:sz="4" w:space="0" w:color="auto"/>
              <w:right w:val="single" w:sz="4" w:space="0" w:color="auto"/>
            </w:tcBorders>
            <w:shd w:val="clear" w:color="000000" w:fill="FFFFFF"/>
            <w:noWrap/>
            <w:vAlign w:val="center"/>
          </w:tcPr>
          <w:p w14:paraId="548C3F0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35B360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14 539,5</w:t>
            </w:r>
          </w:p>
        </w:tc>
        <w:tc>
          <w:tcPr>
            <w:tcW w:w="993" w:type="dxa"/>
            <w:tcBorders>
              <w:top w:val="nil"/>
              <w:left w:val="nil"/>
              <w:bottom w:val="single" w:sz="4" w:space="0" w:color="auto"/>
              <w:right w:val="single" w:sz="4" w:space="0" w:color="auto"/>
            </w:tcBorders>
            <w:shd w:val="clear" w:color="auto" w:fill="auto"/>
            <w:noWrap/>
            <w:vAlign w:val="center"/>
          </w:tcPr>
          <w:p w14:paraId="7D348AB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-65 567,3</w:t>
            </w:r>
          </w:p>
        </w:tc>
      </w:tr>
      <w:tr w:rsidR="00F3645B" w:rsidRPr="00F3645B" w14:paraId="7E1DB9EF" w14:textId="77777777" w:rsidTr="00545B6E">
        <w:trPr>
          <w:trHeight w:val="290"/>
        </w:trPr>
        <w:tc>
          <w:tcPr>
            <w:tcW w:w="421" w:type="dxa"/>
            <w:tcBorders>
              <w:top w:val="nil"/>
              <w:left w:val="single" w:sz="4" w:space="0" w:color="auto"/>
              <w:bottom w:val="single" w:sz="4" w:space="0" w:color="auto"/>
              <w:right w:val="single" w:sz="4" w:space="0" w:color="auto"/>
            </w:tcBorders>
            <w:shd w:val="clear" w:color="auto" w:fill="auto"/>
            <w:noWrap/>
          </w:tcPr>
          <w:p w14:paraId="364C009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CBFE29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водохозяйственного комплекса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0865BCF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263 668,4</w:t>
            </w:r>
          </w:p>
        </w:tc>
        <w:tc>
          <w:tcPr>
            <w:tcW w:w="1134" w:type="dxa"/>
            <w:tcBorders>
              <w:top w:val="nil"/>
              <w:left w:val="nil"/>
              <w:bottom w:val="single" w:sz="4" w:space="0" w:color="auto"/>
              <w:right w:val="single" w:sz="4" w:space="0" w:color="auto"/>
            </w:tcBorders>
            <w:shd w:val="clear" w:color="000000" w:fill="FFFFFF"/>
            <w:vAlign w:val="center"/>
          </w:tcPr>
          <w:p w14:paraId="420F02F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263 668,4</w:t>
            </w:r>
          </w:p>
        </w:tc>
        <w:tc>
          <w:tcPr>
            <w:tcW w:w="850" w:type="dxa"/>
            <w:tcBorders>
              <w:top w:val="nil"/>
              <w:left w:val="nil"/>
              <w:bottom w:val="single" w:sz="4" w:space="0" w:color="auto"/>
              <w:right w:val="single" w:sz="4" w:space="0" w:color="auto"/>
            </w:tcBorders>
            <w:shd w:val="clear" w:color="000000" w:fill="FFFFFF"/>
            <w:noWrap/>
            <w:vAlign w:val="center"/>
          </w:tcPr>
          <w:p w14:paraId="54F23A5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BB3F4D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263 668,4</w:t>
            </w:r>
          </w:p>
        </w:tc>
        <w:tc>
          <w:tcPr>
            <w:tcW w:w="993" w:type="dxa"/>
            <w:tcBorders>
              <w:top w:val="nil"/>
              <w:left w:val="nil"/>
              <w:bottom w:val="single" w:sz="4" w:space="0" w:color="auto"/>
              <w:right w:val="single" w:sz="4" w:space="0" w:color="auto"/>
            </w:tcBorders>
            <w:shd w:val="clear" w:color="auto" w:fill="auto"/>
            <w:noWrap/>
            <w:vAlign w:val="center"/>
          </w:tcPr>
          <w:p w14:paraId="71C3C30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710EB16F" w14:textId="77777777" w:rsidTr="00545B6E">
        <w:trPr>
          <w:trHeight w:val="321"/>
        </w:trPr>
        <w:tc>
          <w:tcPr>
            <w:tcW w:w="421" w:type="dxa"/>
            <w:tcBorders>
              <w:top w:val="nil"/>
              <w:left w:val="single" w:sz="4" w:space="0" w:color="auto"/>
              <w:bottom w:val="single" w:sz="4" w:space="0" w:color="auto"/>
              <w:right w:val="single" w:sz="4" w:space="0" w:color="auto"/>
            </w:tcBorders>
            <w:shd w:val="clear" w:color="auto" w:fill="auto"/>
            <w:noWrap/>
          </w:tcPr>
          <w:p w14:paraId="5572F04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57971C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реализации государственной программы»</w:t>
            </w:r>
          </w:p>
        </w:tc>
        <w:tc>
          <w:tcPr>
            <w:tcW w:w="1105" w:type="dxa"/>
            <w:tcBorders>
              <w:top w:val="nil"/>
              <w:left w:val="nil"/>
              <w:bottom w:val="single" w:sz="4" w:space="0" w:color="auto"/>
              <w:right w:val="single" w:sz="4" w:space="0" w:color="auto"/>
            </w:tcBorders>
            <w:shd w:val="clear" w:color="auto" w:fill="auto"/>
            <w:vAlign w:val="center"/>
          </w:tcPr>
          <w:p w14:paraId="0F0F5EF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183 837,6</w:t>
            </w:r>
          </w:p>
        </w:tc>
        <w:tc>
          <w:tcPr>
            <w:tcW w:w="1134" w:type="dxa"/>
            <w:tcBorders>
              <w:top w:val="nil"/>
              <w:left w:val="nil"/>
              <w:bottom w:val="single" w:sz="4" w:space="0" w:color="auto"/>
              <w:right w:val="single" w:sz="4" w:space="0" w:color="auto"/>
            </w:tcBorders>
            <w:shd w:val="clear" w:color="000000" w:fill="FFFFFF"/>
            <w:vAlign w:val="center"/>
          </w:tcPr>
          <w:p w14:paraId="5BBA60D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183 837,6</w:t>
            </w:r>
          </w:p>
        </w:tc>
        <w:tc>
          <w:tcPr>
            <w:tcW w:w="850" w:type="dxa"/>
            <w:tcBorders>
              <w:top w:val="nil"/>
              <w:left w:val="nil"/>
              <w:bottom w:val="single" w:sz="4" w:space="0" w:color="auto"/>
              <w:right w:val="single" w:sz="4" w:space="0" w:color="auto"/>
            </w:tcBorders>
            <w:shd w:val="clear" w:color="000000" w:fill="FFFFFF"/>
            <w:noWrap/>
            <w:vAlign w:val="center"/>
          </w:tcPr>
          <w:p w14:paraId="1821629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3D0B9F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183 837,6</w:t>
            </w:r>
          </w:p>
        </w:tc>
        <w:tc>
          <w:tcPr>
            <w:tcW w:w="993" w:type="dxa"/>
            <w:tcBorders>
              <w:top w:val="nil"/>
              <w:left w:val="nil"/>
              <w:bottom w:val="single" w:sz="4" w:space="0" w:color="auto"/>
              <w:right w:val="single" w:sz="4" w:space="0" w:color="auto"/>
            </w:tcBorders>
            <w:shd w:val="clear" w:color="auto" w:fill="auto"/>
            <w:noWrap/>
            <w:vAlign w:val="center"/>
          </w:tcPr>
          <w:p w14:paraId="097BE50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6DBDD1FD" w14:textId="77777777" w:rsidTr="00545B6E">
        <w:trPr>
          <w:trHeight w:val="138"/>
        </w:trPr>
        <w:tc>
          <w:tcPr>
            <w:tcW w:w="421" w:type="dxa"/>
            <w:tcBorders>
              <w:top w:val="nil"/>
              <w:left w:val="single" w:sz="4" w:space="0" w:color="auto"/>
              <w:bottom w:val="single" w:sz="4" w:space="0" w:color="auto"/>
              <w:right w:val="single" w:sz="4" w:space="0" w:color="auto"/>
            </w:tcBorders>
            <w:shd w:val="clear" w:color="auto" w:fill="auto"/>
            <w:noWrap/>
          </w:tcPr>
          <w:p w14:paraId="5BB9D26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w:t>
            </w:r>
          </w:p>
        </w:tc>
        <w:tc>
          <w:tcPr>
            <w:tcW w:w="3827" w:type="dxa"/>
            <w:tcBorders>
              <w:top w:val="nil"/>
              <w:left w:val="nil"/>
              <w:bottom w:val="single" w:sz="4" w:space="0" w:color="auto"/>
              <w:right w:val="single" w:sz="4" w:space="0" w:color="auto"/>
            </w:tcBorders>
            <w:shd w:val="clear" w:color="auto" w:fill="auto"/>
          </w:tcPr>
          <w:p w14:paraId="02C8B22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образования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686821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55 054 649,7</w:t>
            </w:r>
          </w:p>
        </w:tc>
        <w:tc>
          <w:tcPr>
            <w:tcW w:w="1134" w:type="dxa"/>
            <w:tcBorders>
              <w:top w:val="nil"/>
              <w:left w:val="nil"/>
              <w:bottom w:val="single" w:sz="4" w:space="0" w:color="auto"/>
              <w:right w:val="single" w:sz="4" w:space="0" w:color="auto"/>
            </w:tcBorders>
            <w:shd w:val="clear" w:color="000000" w:fill="FFFFFF"/>
            <w:vAlign w:val="center"/>
          </w:tcPr>
          <w:p w14:paraId="7DCC56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54 891 109,4</w:t>
            </w:r>
          </w:p>
        </w:tc>
        <w:tc>
          <w:tcPr>
            <w:tcW w:w="850" w:type="dxa"/>
            <w:tcBorders>
              <w:top w:val="nil"/>
              <w:left w:val="nil"/>
              <w:bottom w:val="single" w:sz="4" w:space="0" w:color="auto"/>
              <w:right w:val="single" w:sz="4" w:space="0" w:color="auto"/>
            </w:tcBorders>
            <w:shd w:val="clear" w:color="000000" w:fill="FFFFFF"/>
            <w:noWrap/>
            <w:vAlign w:val="center"/>
          </w:tcPr>
          <w:p w14:paraId="2311A1C9" w14:textId="77777777" w:rsidR="00F3645B" w:rsidRPr="00F3645B" w:rsidRDefault="00F3645B" w:rsidP="00F3645B">
            <w:pPr>
              <w:widowControl w:val="0"/>
              <w:autoSpaceDE w:val="0"/>
              <w:autoSpaceDN w:val="0"/>
              <w:adjustRightInd w:val="0"/>
              <w:spacing w:after="0" w:line="240" w:lineRule="auto"/>
              <w:ind w:hanging="81"/>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-163 540,3</w:t>
            </w:r>
          </w:p>
        </w:tc>
        <w:tc>
          <w:tcPr>
            <w:tcW w:w="1134" w:type="dxa"/>
            <w:tcBorders>
              <w:top w:val="nil"/>
              <w:left w:val="nil"/>
              <w:bottom w:val="single" w:sz="4" w:space="0" w:color="auto"/>
              <w:right w:val="single" w:sz="4" w:space="0" w:color="auto"/>
            </w:tcBorders>
            <w:shd w:val="clear" w:color="000000" w:fill="FFFFFF"/>
            <w:vAlign w:val="center"/>
          </w:tcPr>
          <w:p w14:paraId="7678557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47 680 801,3</w:t>
            </w:r>
          </w:p>
        </w:tc>
        <w:tc>
          <w:tcPr>
            <w:tcW w:w="993" w:type="dxa"/>
            <w:tcBorders>
              <w:top w:val="nil"/>
              <w:left w:val="nil"/>
              <w:bottom w:val="single" w:sz="4" w:space="0" w:color="auto"/>
              <w:right w:val="single" w:sz="4" w:space="0" w:color="auto"/>
            </w:tcBorders>
            <w:shd w:val="clear" w:color="auto" w:fill="auto"/>
            <w:noWrap/>
            <w:vAlign w:val="center"/>
          </w:tcPr>
          <w:p w14:paraId="01748277" w14:textId="77777777" w:rsidR="00F3645B" w:rsidRPr="00F3645B" w:rsidRDefault="00F3645B" w:rsidP="00F3645B">
            <w:pPr>
              <w:widowControl w:val="0"/>
              <w:autoSpaceDE w:val="0"/>
              <w:autoSpaceDN w:val="0"/>
              <w:adjustRightInd w:val="0"/>
              <w:spacing w:after="0" w:line="240" w:lineRule="auto"/>
              <w:ind w:hanging="105"/>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-7 210 308,1</w:t>
            </w:r>
          </w:p>
        </w:tc>
      </w:tr>
      <w:tr w:rsidR="00F3645B" w:rsidRPr="00F3645B" w14:paraId="1F1AA6CD" w14:textId="77777777" w:rsidTr="00545B6E">
        <w:trPr>
          <w:trHeight w:val="278"/>
        </w:trPr>
        <w:tc>
          <w:tcPr>
            <w:tcW w:w="421" w:type="dxa"/>
            <w:tcBorders>
              <w:top w:val="nil"/>
              <w:left w:val="single" w:sz="4" w:space="0" w:color="auto"/>
              <w:bottom w:val="single" w:sz="4" w:space="0" w:color="auto"/>
              <w:right w:val="single" w:sz="4" w:space="0" w:color="auto"/>
            </w:tcBorders>
            <w:shd w:val="clear" w:color="auto" w:fill="auto"/>
            <w:noWrap/>
          </w:tcPr>
          <w:p w14:paraId="262DD10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46B97B39"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дошкольного образования детей»</w:t>
            </w:r>
          </w:p>
        </w:tc>
        <w:tc>
          <w:tcPr>
            <w:tcW w:w="1105" w:type="dxa"/>
            <w:tcBorders>
              <w:top w:val="nil"/>
              <w:left w:val="nil"/>
              <w:bottom w:val="single" w:sz="4" w:space="0" w:color="auto"/>
              <w:right w:val="single" w:sz="4" w:space="0" w:color="auto"/>
            </w:tcBorders>
            <w:shd w:val="clear" w:color="auto" w:fill="auto"/>
            <w:vAlign w:val="center"/>
          </w:tcPr>
          <w:p w14:paraId="54B9069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9 638 108,5</w:t>
            </w:r>
          </w:p>
        </w:tc>
        <w:tc>
          <w:tcPr>
            <w:tcW w:w="1134" w:type="dxa"/>
            <w:tcBorders>
              <w:top w:val="nil"/>
              <w:left w:val="nil"/>
              <w:bottom w:val="single" w:sz="4" w:space="0" w:color="auto"/>
              <w:right w:val="single" w:sz="4" w:space="0" w:color="auto"/>
            </w:tcBorders>
            <w:shd w:val="clear" w:color="000000" w:fill="FFFFFF"/>
            <w:vAlign w:val="center"/>
          </w:tcPr>
          <w:p w14:paraId="593E69E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9 620 847,5</w:t>
            </w:r>
          </w:p>
        </w:tc>
        <w:tc>
          <w:tcPr>
            <w:tcW w:w="850" w:type="dxa"/>
            <w:tcBorders>
              <w:top w:val="nil"/>
              <w:left w:val="nil"/>
              <w:bottom w:val="single" w:sz="4" w:space="0" w:color="auto"/>
              <w:right w:val="single" w:sz="4" w:space="0" w:color="auto"/>
            </w:tcBorders>
            <w:shd w:val="clear" w:color="000000" w:fill="FFFFFF"/>
            <w:noWrap/>
            <w:vAlign w:val="center"/>
          </w:tcPr>
          <w:p w14:paraId="4A71B2B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-17 261,0</w:t>
            </w:r>
          </w:p>
        </w:tc>
        <w:tc>
          <w:tcPr>
            <w:tcW w:w="1134" w:type="dxa"/>
            <w:tcBorders>
              <w:top w:val="nil"/>
              <w:left w:val="nil"/>
              <w:bottom w:val="single" w:sz="4" w:space="0" w:color="auto"/>
              <w:right w:val="single" w:sz="4" w:space="0" w:color="auto"/>
            </w:tcBorders>
            <w:shd w:val="clear" w:color="000000" w:fill="FFFFFF"/>
            <w:vAlign w:val="center"/>
          </w:tcPr>
          <w:p w14:paraId="06E1CA4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7 602 333,9</w:t>
            </w:r>
          </w:p>
        </w:tc>
        <w:tc>
          <w:tcPr>
            <w:tcW w:w="993" w:type="dxa"/>
            <w:tcBorders>
              <w:top w:val="nil"/>
              <w:left w:val="nil"/>
              <w:bottom w:val="single" w:sz="4" w:space="0" w:color="auto"/>
              <w:right w:val="single" w:sz="4" w:space="0" w:color="auto"/>
            </w:tcBorders>
            <w:shd w:val="clear" w:color="auto" w:fill="auto"/>
            <w:noWrap/>
            <w:vAlign w:val="center"/>
          </w:tcPr>
          <w:p w14:paraId="1F190D29" w14:textId="77777777" w:rsidR="00F3645B" w:rsidRPr="00F3645B" w:rsidRDefault="00F3645B" w:rsidP="00F3645B">
            <w:pPr>
              <w:widowControl w:val="0"/>
              <w:autoSpaceDE w:val="0"/>
              <w:autoSpaceDN w:val="0"/>
              <w:adjustRightInd w:val="0"/>
              <w:spacing w:after="0" w:line="240" w:lineRule="auto"/>
              <w:ind w:hanging="247"/>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-2 018 513,6</w:t>
            </w:r>
          </w:p>
        </w:tc>
      </w:tr>
      <w:tr w:rsidR="00F3645B" w:rsidRPr="00F3645B" w14:paraId="2B3AF339" w14:textId="77777777" w:rsidTr="00545B6E">
        <w:trPr>
          <w:trHeight w:val="169"/>
        </w:trPr>
        <w:tc>
          <w:tcPr>
            <w:tcW w:w="421" w:type="dxa"/>
            <w:tcBorders>
              <w:top w:val="nil"/>
              <w:left w:val="single" w:sz="4" w:space="0" w:color="auto"/>
              <w:bottom w:val="single" w:sz="4" w:space="0" w:color="auto"/>
              <w:right w:val="single" w:sz="4" w:space="0" w:color="auto"/>
            </w:tcBorders>
            <w:shd w:val="clear" w:color="auto" w:fill="auto"/>
            <w:noWrap/>
          </w:tcPr>
          <w:p w14:paraId="5C7DD63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628F2031"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общего образования детей»</w:t>
            </w:r>
          </w:p>
        </w:tc>
        <w:tc>
          <w:tcPr>
            <w:tcW w:w="1105" w:type="dxa"/>
            <w:tcBorders>
              <w:top w:val="nil"/>
              <w:left w:val="nil"/>
              <w:bottom w:val="single" w:sz="4" w:space="0" w:color="auto"/>
              <w:right w:val="single" w:sz="4" w:space="0" w:color="auto"/>
            </w:tcBorders>
            <w:shd w:val="clear" w:color="auto" w:fill="auto"/>
            <w:vAlign w:val="center"/>
          </w:tcPr>
          <w:p w14:paraId="27D2E47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35 358 649,1</w:t>
            </w:r>
          </w:p>
        </w:tc>
        <w:tc>
          <w:tcPr>
            <w:tcW w:w="1134" w:type="dxa"/>
            <w:tcBorders>
              <w:top w:val="nil"/>
              <w:left w:val="nil"/>
              <w:bottom w:val="single" w:sz="4" w:space="0" w:color="auto"/>
              <w:right w:val="single" w:sz="4" w:space="0" w:color="auto"/>
            </w:tcBorders>
            <w:shd w:val="clear" w:color="000000" w:fill="FFFFFF"/>
            <w:vAlign w:val="center"/>
          </w:tcPr>
          <w:p w14:paraId="6092D1C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35 212 369,8</w:t>
            </w:r>
          </w:p>
        </w:tc>
        <w:tc>
          <w:tcPr>
            <w:tcW w:w="850" w:type="dxa"/>
            <w:tcBorders>
              <w:top w:val="nil"/>
              <w:left w:val="nil"/>
              <w:bottom w:val="single" w:sz="4" w:space="0" w:color="auto"/>
              <w:right w:val="single" w:sz="4" w:space="0" w:color="auto"/>
            </w:tcBorders>
            <w:shd w:val="clear" w:color="000000" w:fill="FFFFFF"/>
            <w:noWrap/>
            <w:vAlign w:val="center"/>
          </w:tcPr>
          <w:p w14:paraId="7B870D31" w14:textId="77777777" w:rsidR="00F3645B" w:rsidRPr="00F3645B" w:rsidRDefault="00F3645B" w:rsidP="00F3645B">
            <w:pPr>
              <w:widowControl w:val="0"/>
              <w:autoSpaceDE w:val="0"/>
              <w:autoSpaceDN w:val="0"/>
              <w:adjustRightInd w:val="0"/>
              <w:spacing w:after="0" w:line="240" w:lineRule="auto"/>
              <w:ind w:hanging="222"/>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-146 279,3</w:t>
            </w:r>
          </w:p>
        </w:tc>
        <w:tc>
          <w:tcPr>
            <w:tcW w:w="1134" w:type="dxa"/>
            <w:tcBorders>
              <w:top w:val="nil"/>
              <w:left w:val="nil"/>
              <w:bottom w:val="single" w:sz="4" w:space="0" w:color="auto"/>
              <w:right w:val="single" w:sz="4" w:space="0" w:color="auto"/>
            </w:tcBorders>
            <w:shd w:val="clear" w:color="000000" w:fill="FFFFFF"/>
            <w:vAlign w:val="center"/>
          </w:tcPr>
          <w:p w14:paraId="071216B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34 459 501,6</w:t>
            </w:r>
          </w:p>
        </w:tc>
        <w:tc>
          <w:tcPr>
            <w:tcW w:w="993" w:type="dxa"/>
            <w:tcBorders>
              <w:top w:val="nil"/>
              <w:left w:val="nil"/>
              <w:bottom w:val="single" w:sz="4" w:space="0" w:color="auto"/>
              <w:right w:val="single" w:sz="4" w:space="0" w:color="auto"/>
            </w:tcBorders>
            <w:shd w:val="clear" w:color="auto" w:fill="auto"/>
            <w:noWrap/>
            <w:vAlign w:val="center"/>
          </w:tcPr>
          <w:p w14:paraId="5BFD9B4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-752 868,2</w:t>
            </w:r>
          </w:p>
        </w:tc>
      </w:tr>
      <w:tr w:rsidR="00F3645B" w:rsidRPr="00F3645B" w14:paraId="3E564C7E" w14:textId="77777777" w:rsidTr="00545B6E">
        <w:trPr>
          <w:trHeight w:val="312"/>
        </w:trPr>
        <w:tc>
          <w:tcPr>
            <w:tcW w:w="421" w:type="dxa"/>
            <w:tcBorders>
              <w:top w:val="nil"/>
              <w:left w:val="single" w:sz="4" w:space="0" w:color="auto"/>
              <w:bottom w:val="single" w:sz="4" w:space="0" w:color="auto"/>
              <w:right w:val="single" w:sz="4" w:space="0" w:color="auto"/>
            </w:tcBorders>
            <w:shd w:val="clear" w:color="auto" w:fill="auto"/>
            <w:noWrap/>
          </w:tcPr>
          <w:p w14:paraId="0F9191E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lastRenderedPageBreak/>
              <w:t> </w:t>
            </w:r>
          </w:p>
        </w:tc>
        <w:tc>
          <w:tcPr>
            <w:tcW w:w="3827" w:type="dxa"/>
            <w:tcBorders>
              <w:top w:val="nil"/>
              <w:left w:val="nil"/>
              <w:bottom w:val="single" w:sz="4" w:space="0" w:color="auto"/>
              <w:right w:val="single" w:sz="4" w:space="0" w:color="auto"/>
            </w:tcBorders>
            <w:shd w:val="clear" w:color="auto" w:fill="auto"/>
          </w:tcPr>
          <w:p w14:paraId="5E97D7C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дополнительного образования детей»</w:t>
            </w:r>
          </w:p>
        </w:tc>
        <w:tc>
          <w:tcPr>
            <w:tcW w:w="1105" w:type="dxa"/>
            <w:tcBorders>
              <w:top w:val="nil"/>
              <w:left w:val="nil"/>
              <w:bottom w:val="single" w:sz="4" w:space="0" w:color="auto"/>
              <w:right w:val="single" w:sz="4" w:space="0" w:color="auto"/>
            </w:tcBorders>
            <w:shd w:val="clear" w:color="auto" w:fill="auto"/>
            <w:vAlign w:val="center"/>
          </w:tcPr>
          <w:p w14:paraId="023D233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789 365,0</w:t>
            </w:r>
          </w:p>
        </w:tc>
        <w:tc>
          <w:tcPr>
            <w:tcW w:w="1134" w:type="dxa"/>
            <w:tcBorders>
              <w:top w:val="nil"/>
              <w:left w:val="nil"/>
              <w:bottom w:val="single" w:sz="4" w:space="0" w:color="auto"/>
              <w:right w:val="single" w:sz="4" w:space="0" w:color="auto"/>
            </w:tcBorders>
            <w:shd w:val="clear" w:color="000000" w:fill="FFFFFF"/>
            <w:vAlign w:val="center"/>
          </w:tcPr>
          <w:p w14:paraId="7E7BCFF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789 365,0</w:t>
            </w:r>
          </w:p>
        </w:tc>
        <w:tc>
          <w:tcPr>
            <w:tcW w:w="850" w:type="dxa"/>
            <w:tcBorders>
              <w:top w:val="nil"/>
              <w:left w:val="nil"/>
              <w:bottom w:val="single" w:sz="4" w:space="0" w:color="auto"/>
              <w:right w:val="single" w:sz="4" w:space="0" w:color="auto"/>
            </w:tcBorders>
            <w:shd w:val="clear" w:color="000000" w:fill="FFFFFF"/>
            <w:noWrap/>
            <w:vAlign w:val="center"/>
          </w:tcPr>
          <w:p w14:paraId="6EE6F7C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DBD4A9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772 306,3</w:t>
            </w:r>
          </w:p>
        </w:tc>
        <w:tc>
          <w:tcPr>
            <w:tcW w:w="993" w:type="dxa"/>
            <w:tcBorders>
              <w:top w:val="nil"/>
              <w:left w:val="nil"/>
              <w:bottom w:val="single" w:sz="4" w:space="0" w:color="auto"/>
              <w:right w:val="single" w:sz="4" w:space="0" w:color="auto"/>
            </w:tcBorders>
            <w:shd w:val="clear" w:color="auto" w:fill="auto"/>
            <w:noWrap/>
            <w:vAlign w:val="center"/>
          </w:tcPr>
          <w:p w14:paraId="51E44C7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-17 058,7</w:t>
            </w:r>
          </w:p>
        </w:tc>
      </w:tr>
      <w:tr w:rsidR="00F3645B" w:rsidRPr="00F3645B" w14:paraId="0E66D950" w14:textId="77777777" w:rsidTr="00545B6E">
        <w:trPr>
          <w:trHeight w:val="360"/>
        </w:trPr>
        <w:tc>
          <w:tcPr>
            <w:tcW w:w="421" w:type="dxa"/>
            <w:tcBorders>
              <w:top w:val="nil"/>
              <w:left w:val="single" w:sz="4" w:space="0" w:color="auto"/>
              <w:bottom w:val="single" w:sz="4" w:space="0" w:color="auto"/>
              <w:right w:val="single" w:sz="4" w:space="0" w:color="auto"/>
            </w:tcBorders>
            <w:shd w:val="clear" w:color="auto" w:fill="auto"/>
            <w:noWrap/>
          </w:tcPr>
          <w:p w14:paraId="0FC160C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8A9A3E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профессионального образования»</w:t>
            </w:r>
          </w:p>
        </w:tc>
        <w:tc>
          <w:tcPr>
            <w:tcW w:w="1105" w:type="dxa"/>
            <w:tcBorders>
              <w:top w:val="nil"/>
              <w:left w:val="nil"/>
              <w:bottom w:val="single" w:sz="4" w:space="0" w:color="auto"/>
              <w:right w:val="single" w:sz="4" w:space="0" w:color="auto"/>
            </w:tcBorders>
            <w:shd w:val="clear" w:color="auto" w:fill="auto"/>
            <w:vAlign w:val="center"/>
          </w:tcPr>
          <w:p w14:paraId="6F02B6C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2 252 852,6</w:t>
            </w:r>
          </w:p>
        </w:tc>
        <w:tc>
          <w:tcPr>
            <w:tcW w:w="1134" w:type="dxa"/>
            <w:tcBorders>
              <w:top w:val="nil"/>
              <w:left w:val="nil"/>
              <w:bottom w:val="single" w:sz="4" w:space="0" w:color="auto"/>
              <w:right w:val="single" w:sz="4" w:space="0" w:color="auto"/>
            </w:tcBorders>
            <w:shd w:val="clear" w:color="000000" w:fill="FFFFFF"/>
            <w:vAlign w:val="center"/>
          </w:tcPr>
          <w:p w14:paraId="562BD26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2 252 852,6</w:t>
            </w:r>
          </w:p>
        </w:tc>
        <w:tc>
          <w:tcPr>
            <w:tcW w:w="850" w:type="dxa"/>
            <w:tcBorders>
              <w:top w:val="nil"/>
              <w:left w:val="nil"/>
              <w:bottom w:val="single" w:sz="4" w:space="0" w:color="auto"/>
              <w:right w:val="single" w:sz="4" w:space="0" w:color="auto"/>
            </w:tcBorders>
            <w:shd w:val="clear" w:color="000000" w:fill="FFFFFF"/>
            <w:noWrap/>
            <w:vAlign w:val="center"/>
          </w:tcPr>
          <w:p w14:paraId="6A33A40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A28FFA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2 252 017,3</w:t>
            </w:r>
          </w:p>
        </w:tc>
        <w:tc>
          <w:tcPr>
            <w:tcW w:w="993" w:type="dxa"/>
            <w:tcBorders>
              <w:top w:val="nil"/>
              <w:left w:val="nil"/>
              <w:bottom w:val="single" w:sz="4" w:space="0" w:color="auto"/>
              <w:right w:val="single" w:sz="4" w:space="0" w:color="auto"/>
            </w:tcBorders>
            <w:shd w:val="clear" w:color="auto" w:fill="auto"/>
            <w:noWrap/>
            <w:vAlign w:val="center"/>
          </w:tcPr>
          <w:p w14:paraId="71E58D3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-835,3</w:t>
            </w:r>
          </w:p>
        </w:tc>
      </w:tr>
      <w:tr w:rsidR="00F3645B" w:rsidRPr="00F3645B" w14:paraId="656C08F5" w14:textId="77777777" w:rsidTr="00545B6E">
        <w:trPr>
          <w:trHeight w:val="127"/>
        </w:trPr>
        <w:tc>
          <w:tcPr>
            <w:tcW w:w="421" w:type="dxa"/>
            <w:tcBorders>
              <w:top w:val="nil"/>
              <w:left w:val="single" w:sz="4" w:space="0" w:color="auto"/>
              <w:bottom w:val="single" w:sz="4" w:space="0" w:color="auto"/>
              <w:right w:val="single" w:sz="4" w:space="0" w:color="auto"/>
            </w:tcBorders>
            <w:shd w:val="clear" w:color="auto" w:fill="auto"/>
            <w:noWrap/>
          </w:tcPr>
          <w:p w14:paraId="1AAB883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41964C2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«Одаренные дети»</w:t>
            </w:r>
          </w:p>
        </w:tc>
        <w:tc>
          <w:tcPr>
            <w:tcW w:w="1105" w:type="dxa"/>
            <w:tcBorders>
              <w:top w:val="nil"/>
              <w:left w:val="nil"/>
              <w:bottom w:val="single" w:sz="4" w:space="0" w:color="auto"/>
              <w:right w:val="single" w:sz="4" w:space="0" w:color="auto"/>
            </w:tcBorders>
            <w:shd w:val="clear" w:color="auto" w:fill="auto"/>
            <w:vAlign w:val="center"/>
          </w:tcPr>
          <w:p w14:paraId="3DF42C4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14 958,8</w:t>
            </w:r>
          </w:p>
        </w:tc>
        <w:tc>
          <w:tcPr>
            <w:tcW w:w="1134" w:type="dxa"/>
            <w:tcBorders>
              <w:top w:val="nil"/>
              <w:left w:val="nil"/>
              <w:bottom w:val="single" w:sz="4" w:space="0" w:color="auto"/>
              <w:right w:val="single" w:sz="4" w:space="0" w:color="auto"/>
            </w:tcBorders>
            <w:shd w:val="clear" w:color="000000" w:fill="FFFFFF"/>
            <w:vAlign w:val="center"/>
          </w:tcPr>
          <w:p w14:paraId="5B53EE9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14 958,8</w:t>
            </w:r>
          </w:p>
        </w:tc>
        <w:tc>
          <w:tcPr>
            <w:tcW w:w="850" w:type="dxa"/>
            <w:tcBorders>
              <w:top w:val="nil"/>
              <w:left w:val="nil"/>
              <w:bottom w:val="single" w:sz="4" w:space="0" w:color="auto"/>
              <w:right w:val="single" w:sz="4" w:space="0" w:color="auto"/>
            </w:tcBorders>
            <w:shd w:val="clear" w:color="000000" w:fill="FFFFFF"/>
            <w:noWrap/>
            <w:vAlign w:val="center"/>
          </w:tcPr>
          <w:p w14:paraId="3DF523A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065566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14 958,8</w:t>
            </w:r>
          </w:p>
        </w:tc>
        <w:tc>
          <w:tcPr>
            <w:tcW w:w="993" w:type="dxa"/>
            <w:tcBorders>
              <w:top w:val="nil"/>
              <w:left w:val="nil"/>
              <w:bottom w:val="single" w:sz="4" w:space="0" w:color="auto"/>
              <w:right w:val="single" w:sz="4" w:space="0" w:color="auto"/>
            </w:tcBorders>
            <w:shd w:val="clear" w:color="auto" w:fill="auto"/>
            <w:noWrap/>
            <w:vAlign w:val="center"/>
          </w:tcPr>
          <w:p w14:paraId="4AB0384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238FE9F2" w14:textId="77777777" w:rsidTr="00545B6E">
        <w:trPr>
          <w:trHeight w:val="216"/>
        </w:trPr>
        <w:tc>
          <w:tcPr>
            <w:tcW w:w="421" w:type="dxa"/>
            <w:tcBorders>
              <w:top w:val="nil"/>
              <w:left w:val="single" w:sz="4" w:space="0" w:color="auto"/>
              <w:bottom w:val="single" w:sz="4" w:space="0" w:color="auto"/>
              <w:right w:val="single" w:sz="4" w:space="0" w:color="auto"/>
            </w:tcBorders>
            <w:shd w:val="clear" w:color="auto" w:fill="auto"/>
            <w:noWrap/>
          </w:tcPr>
          <w:p w14:paraId="7CA08F5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6A7215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«Русский язык»</w:t>
            </w:r>
          </w:p>
        </w:tc>
        <w:tc>
          <w:tcPr>
            <w:tcW w:w="1105" w:type="dxa"/>
            <w:tcBorders>
              <w:top w:val="nil"/>
              <w:left w:val="nil"/>
              <w:bottom w:val="single" w:sz="4" w:space="0" w:color="auto"/>
              <w:right w:val="single" w:sz="4" w:space="0" w:color="auto"/>
            </w:tcBorders>
            <w:shd w:val="clear" w:color="auto" w:fill="auto"/>
            <w:vAlign w:val="center"/>
          </w:tcPr>
          <w:p w14:paraId="44B6FDD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5 000,0</w:t>
            </w:r>
          </w:p>
        </w:tc>
        <w:tc>
          <w:tcPr>
            <w:tcW w:w="1134" w:type="dxa"/>
            <w:tcBorders>
              <w:top w:val="nil"/>
              <w:left w:val="nil"/>
              <w:bottom w:val="single" w:sz="4" w:space="0" w:color="auto"/>
              <w:right w:val="single" w:sz="4" w:space="0" w:color="auto"/>
            </w:tcBorders>
            <w:shd w:val="clear" w:color="000000" w:fill="FFFFFF"/>
            <w:vAlign w:val="center"/>
          </w:tcPr>
          <w:p w14:paraId="3B34146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5 000,0</w:t>
            </w:r>
          </w:p>
        </w:tc>
        <w:tc>
          <w:tcPr>
            <w:tcW w:w="850" w:type="dxa"/>
            <w:tcBorders>
              <w:top w:val="nil"/>
              <w:left w:val="nil"/>
              <w:bottom w:val="single" w:sz="4" w:space="0" w:color="auto"/>
              <w:right w:val="single" w:sz="4" w:space="0" w:color="auto"/>
            </w:tcBorders>
            <w:shd w:val="clear" w:color="000000" w:fill="FFFFFF"/>
            <w:noWrap/>
            <w:vAlign w:val="center"/>
          </w:tcPr>
          <w:p w14:paraId="57FF158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FE97D4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5 000,0</w:t>
            </w:r>
          </w:p>
        </w:tc>
        <w:tc>
          <w:tcPr>
            <w:tcW w:w="993" w:type="dxa"/>
            <w:tcBorders>
              <w:top w:val="nil"/>
              <w:left w:val="nil"/>
              <w:bottom w:val="single" w:sz="4" w:space="0" w:color="auto"/>
              <w:right w:val="single" w:sz="4" w:space="0" w:color="auto"/>
            </w:tcBorders>
            <w:shd w:val="clear" w:color="auto" w:fill="auto"/>
            <w:noWrap/>
            <w:vAlign w:val="center"/>
          </w:tcPr>
          <w:p w14:paraId="6B79326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6E517D9D" w14:textId="77777777" w:rsidTr="00545B6E">
        <w:trPr>
          <w:trHeight w:val="271"/>
        </w:trPr>
        <w:tc>
          <w:tcPr>
            <w:tcW w:w="421" w:type="dxa"/>
            <w:tcBorders>
              <w:top w:val="nil"/>
              <w:left w:val="single" w:sz="4" w:space="0" w:color="auto"/>
              <w:bottom w:val="single" w:sz="4" w:space="0" w:color="auto"/>
              <w:right w:val="single" w:sz="4" w:space="0" w:color="auto"/>
            </w:tcBorders>
            <w:shd w:val="clear" w:color="auto" w:fill="auto"/>
            <w:noWrap/>
          </w:tcPr>
          <w:p w14:paraId="630EAFDF"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457DD860"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«Организация отдыха и оздоровления детей, подростков и молодежи»</w:t>
            </w:r>
          </w:p>
        </w:tc>
        <w:tc>
          <w:tcPr>
            <w:tcW w:w="1105" w:type="dxa"/>
            <w:tcBorders>
              <w:top w:val="nil"/>
              <w:left w:val="nil"/>
              <w:bottom w:val="single" w:sz="4" w:space="0" w:color="auto"/>
              <w:right w:val="single" w:sz="4" w:space="0" w:color="auto"/>
            </w:tcBorders>
            <w:shd w:val="clear" w:color="auto" w:fill="auto"/>
            <w:vAlign w:val="center"/>
          </w:tcPr>
          <w:p w14:paraId="07E2B6F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287 332,7</w:t>
            </w:r>
          </w:p>
        </w:tc>
        <w:tc>
          <w:tcPr>
            <w:tcW w:w="1134" w:type="dxa"/>
            <w:tcBorders>
              <w:top w:val="nil"/>
              <w:left w:val="nil"/>
              <w:bottom w:val="single" w:sz="4" w:space="0" w:color="auto"/>
              <w:right w:val="single" w:sz="4" w:space="0" w:color="auto"/>
            </w:tcBorders>
            <w:shd w:val="clear" w:color="000000" w:fill="FFFFFF"/>
            <w:vAlign w:val="center"/>
          </w:tcPr>
          <w:p w14:paraId="1F91DE4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287 332,7</w:t>
            </w:r>
          </w:p>
        </w:tc>
        <w:tc>
          <w:tcPr>
            <w:tcW w:w="850" w:type="dxa"/>
            <w:tcBorders>
              <w:top w:val="nil"/>
              <w:left w:val="nil"/>
              <w:bottom w:val="single" w:sz="4" w:space="0" w:color="auto"/>
              <w:right w:val="single" w:sz="4" w:space="0" w:color="auto"/>
            </w:tcBorders>
            <w:shd w:val="clear" w:color="000000" w:fill="FFFFFF"/>
            <w:noWrap/>
            <w:vAlign w:val="center"/>
          </w:tcPr>
          <w:p w14:paraId="3A08F44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490214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265 749,0</w:t>
            </w:r>
          </w:p>
        </w:tc>
        <w:tc>
          <w:tcPr>
            <w:tcW w:w="993" w:type="dxa"/>
            <w:tcBorders>
              <w:top w:val="nil"/>
              <w:left w:val="nil"/>
              <w:bottom w:val="single" w:sz="4" w:space="0" w:color="auto"/>
              <w:right w:val="single" w:sz="4" w:space="0" w:color="auto"/>
            </w:tcBorders>
            <w:shd w:val="clear" w:color="auto" w:fill="auto"/>
            <w:noWrap/>
            <w:vAlign w:val="center"/>
          </w:tcPr>
          <w:p w14:paraId="2858B62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-21 583,7</w:t>
            </w:r>
          </w:p>
        </w:tc>
      </w:tr>
      <w:tr w:rsidR="00F3645B" w:rsidRPr="00F3645B" w14:paraId="1633A526" w14:textId="77777777" w:rsidTr="00545B6E">
        <w:trPr>
          <w:trHeight w:val="282"/>
        </w:trPr>
        <w:tc>
          <w:tcPr>
            <w:tcW w:w="421" w:type="dxa"/>
            <w:tcBorders>
              <w:top w:val="nil"/>
              <w:left w:val="single" w:sz="4" w:space="0" w:color="auto"/>
              <w:bottom w:val="single" w:sz="4" w:space="0" w:color="auto"/>
              <w:right w:val="single" w:sz="4" w:space="0" w:color="auto"/>
            </w:tcBorders>
            <w:shd w:val="clear" w:color="auto" w:fill="auto"/>
            <w:noWrap/>
          </w:tcPr>
          <w:p w14:paraId="474CE2C0"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6BA3BD2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реализации государственной программы»</w:t>
            </w:r>
          </w:p>
        </w:tc>
        <w:tc>
          <w:tcPr>
            <w:tcW w:w="1105" w:type="dxa"/>
            <w:tcBorders>
              <w:top w:val="nil"/>
              <w:left w:val="nil"/>
              <w:bottom w:val="single" w:sz="4" w:space="0" w:color="auto"/>
              <w:right w:val="single" w:sz="4" w:space="0" w:color="auto"/>
            </w:tcBorders>
            <w:shd w:val="clear" w:color="auto" w:fill="auto"/>
            <w:vAlign w:val="center"/>
          </w:tcPr>
          <w:p w14:paraId="039DA15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74 654,7</w:t>
            </w:r>
          </w:p>
        </w:tc>
        <w:tc>
          <w:tcPr>
            <w:tcW w:w="1134" w:type="dxa"/>
            <w:tcBorders>
              <w:top w:val="nil"/>
              <w:left w:val="nil"/>
              <w:bottom w:val="single" w:sz="4" w:space="0" w:color="auto"/>
              <w:right w:val="single" w:sz="4" w:space="0" w:color="auto"/>
            </w:tcBorders>
            <w:shd w:val="clear" w:color="000000" w:fill="FFFFFF"/>
            <w:vAlign w:val="center"/>
          </w:tcPr>
          <w:p w14:paraId="51429A5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74 654,7</w:t>
            </w:r>
          </w:p>
        </w:tc>
        <w:tc>
          <w:tcPr>
            <w:tcW w:w="850" w:type="dxa"/>
            <w:tcBorders>
              <w:top w:val="nil"/>
              <w:left w:val="nil"/>
              <w:bottom w:val="single" w:sz="4" w:space="0" w:color="auto"/>
              <w:right w:val="single" w:sz="4" w:space="0" w:color="auto"/>
            </w:tcBorders>
            <w:shd w:val="clear" w:color="000000" w:fill="FFFFFF"/>
            <w:noWrap/>
            <w:vAlign w:val="center"/>
          </w:tcPr>
          <w:p w14:paraId="03279D0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1BFC97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73 604,7</w:t>
            </w:r>
          </w:p>
        </w:tc>
        <w:tc>
          <w:tcPr>
            <w:tcW w:w="993" w:type="dxa"/>
            <w:tcBorders>
              <w:top w:val="nil"/>
              <w:left w:val="nil"/>
              <w:bottom w:val="single" w:sz="4" w:space="0" w:color="auto"/>
              <w:right w:val="single" w:sz="4" w:space="0" w:color="auto"/>
            </w:tcBorders>
            <w:shd w:val="clear" w:color="auto" w:fill="auto"/>
            <w:noWrap/>
            <w:vAlign w:val="center"/>
          </w:tcPr>
          <w:p w14:paraId="55A0D5B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-1 050,0</w:t>
            </w:r>
          </w:p>
        </w:tc>
      </w:tr>
      <w:tr w:rsidR="00F3645B" w:rsidRPr="00F3645B" w14:paraId="6FE8A512" w14:textId="77777777" w:rsidTr="00545B6E">
        <w:trPr>
          <w:trHeight w:val="329"/>
        </w:trPr>
        <w:tc>
          <w:tcPr>
            <w:tcW w:w="421" w:type="dxa"/>
            <w:tcBorders>
              <w:top w:val="nil"/>
              <w:left w:val="single" w:sz="4" w:space="0" w:color="auto"/>
              <w:bottom w:val="single" w:sz="4" w:space="0" w:color="auto"/>
              <w:right w:val="single" w:sz="4" w:space="0" w:color="auto"/>
            </w:tcBorders>
            <w:shd w:val="clear" w:color="auto" w:fill="auto"/>
            <w:noWrap/>
          </w:tcPr>
          <w:p w14:paraId="56536A3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91E776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«Создание новых мест в общеобразовательных организациях РД в соответствии с прогнозируемой потребностью и современными условиями обучения на 2016-2025 годы»</w:t>
            </w:r>
          </w:p>
        </w:tc>
        <w:tc>
          <w:tcPr>
            <w:tcW w:w="1105" w:type="dxa"/>
            <w:tcBorders>
              <w:top w:val="nil"/>
              <w:left w:val="nil"/>
              <w:bottom w:val="single" w:sz="4" w:space="0" w:color="auto"/>
              <w:right w:val="single" w:sz="4" w:space="0" w:color="auto"/>
            </w:tcBorders>
            <w:shd w:val="clear" w:color="auto" w:fill="auto"/>
            <w:vAlign w:val="center"/>
          </w:tcPr>
          <w:p w14:paraId="00D87A5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6 633 728,3</w:t>
            </w:r>
          </w:p>
        </w:tc>
        <w:tc>
          <w:tcPr>
            <w:tcW w:w="1134" w:type="dxa"/>
            <w:tcBorders>
              <w:top w:val="nil"/>
              <w:left w:val="nil"/>
              <w:bottom w:val="single" w:sz="4" w:space="0" w:color="auto"/>
              <w:right w:val="single" w:sz="4" w:space="0" w:color="auto"/>
            </w:tcBorders>
            <w:shd w:val="clear" w:color="000000" w:fill="FFFFFF"/>
            <w:vAlign w:val="center"/>
          </w:tcPr>
          <w:p w14:paraId="0BD980F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6 633 728,3</w:t>
            </w:r>
          </w:p>
        </w:tc>
        <w:tc>
          <w:tcPr>
            <w:tcW w:w="850" w:type="dxa"/>
            <w:tcBorders>
              <w:top w:val="nil"/>
              <w:left w:val="nil"/>
              <w:bottom w:val="single" w:sz="4" w:space="0" w:color="auto"/>
              <w:right w:val="single" w:sz="4" w:space="0" w:color="auto"/>
            </w:tcBorders>
            <w:shd w:val="clear" w:color="000000" w:fill="FFFFFF"/>
            <w:noWrap/>
            <w:vAlign w:val="center"/>
          </w:tcPr>
          <w:p w14:paraId="32347FA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311464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2 235 329,7</w:t>
            </w:r>
          </w:p>
        </w:tc>
        <w:tc>
          <w:tcPr>
            <w:tcW w:w="993" w:type="dxa"/>
            <w:tcBorders>
              <w:top w:val="nil"/>
              <w:left w:val="nil"/>
              <w:bottom w:val="single" w:sz="4" w:space="0" w:color="auto"/>
              <w:right w:val="single" w:sz="4" w:space="0" w:color="auto"/>
            </w:tcBorders>
            <w:shd w:val="clear" w:color="auto" w:fill="auto"/>
            <w:noWrap/>
            <w:vAlign w:val="center"/>
          </w:tcPr>
          <w:p w14:paraId="68C1DA8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-4 398 398,6</w:t>
            </w:r>
          </w:p>
        </w:tc>
      </w:tr>
      <w:tr w:rsidR="00F3645B" w:rsidRPr="00F3645B" w14:paraId="0CD2844F" w14:textId="77777777" w:rsidTr="00545B6E">
        <w:trPr>
          <w:trHeight w:val="58"/>
        </w:trPr>
        <w:tc>
          <w:tcPr>
            <w:tcW w:w="421" w:type="dxa"/>
            <w:tcBorders>
              <w:top w:val="nil"/>
              <w:left w:val="single" w:sz="4" w:space="0" w:color="auto"/>
              <w:bottom w:val="single" w:sz="4" w:space="0" w:color="auto"/>
              <w:right w:val="single" w:sz="4" w:space="0" w:color="auto"/>
            </w:tcBorders>
            <w:shd w:val="clear" w:color="auto" w:fill="auto"/>
            <w:noWrap/>
          </w:tcPr>
          <w:p w14:paraId="4B11A50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17</w:t>
            </w:r>
          </w:p>
        </w:tc>
        <w:tc>
          <w:tcPr>
            <w:tcW w:w="3827" w:type="dxa"/>
            <w:tcBorders>
              <w:top w:val="nil"/>
              <w:left w:val="nil"/>
              <w:bottom w:val="single" w:sz="4" w:space="0" w:color="auto"/>
              <w:right w:val="single" w:sz="4" w:space="0" w:color="auto"/>
            </w:tcBorders>
            <w:shd w:val="clear" w:color="auto" w:fill="auto"/>
          </w:tcPr>
          <w:p w14:paraId="7EF45F7E"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культуры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00006B3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2 403 541,3</w:t>
            </w:r>
          </w:p>
        </w:tc>
        <w:tc>
          <w:tcPr>
            <w:tcW w:w="1134" w:type="dxa"/>
            <w:tcBorders>
              <w:top w:val="nil"/>
              <w:left w:val="nil"/>
              <w:bottom w:val="single" w:sz="4" w:space="0" w:color="auto"/>
              <w:right w:val="single" w:sz="4" w:space="0" w:color="auto"/>
            </w:tcBorders>
            <w:shd w:val="clear" w:color="000000" w:fill="FFFFFF"/>
            <w:vAlign w:val="center"/>
          </w:tcPr>
          <w:p w14:paraId="2B1D31E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2 403 541,3</w:t>
            </w:r>
          </w:p>
        </w:tc>
        <w:tc>
          <w:tcPr>
            <w:tcW w:w="850" w:type="dxa"/>
            <w:tcBorders>
              <w:top w:val="nil"/>
              <w:left w:val="nil"/>
              <w:bottom w:val="single" w:sz="4" w:space="0" w:color="auto"/>
              <w:right w:val="single" w:sz="4" w:space="0" w:color="auto"/>
            </w:tcBorders>
            <w:shd w:val="clear" w:color="000000" w:fill="FFFFFF"/>
            <w:noWrap/>
            <w:vAlign w:val="center"/>
          </w:tcPr>
          <w:p w14:paraId="1A107BD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56B66E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2 350 456,0</w:t>
            </w:r>
          </w:p>
        </w:tc>
        <w:tc>
          <w:tcPr>
            <w:tcW w:w="993" w:type="dxa"/>
            <w:tcBorders>
              <w:top w:val="nil"/>
              <w:left w:val="nil"/>
              <w:bottom w:val="single" w:sz="4" w:space="0" w:color="auto"/>
              <w:right w:val="single" w:sz="4" w:space="0" w:color="auto"/>
            </w:tcBorders>
            <w:shd w:val="clear" w:color="auto" w:fill="auto"/>
            <w:noWrap/>
            <w:vAlign w:val="center"/>
          </w:tcPr>
          <w:p w14:paraId="0456B10A" w14:textId="77777777" w:rsidR="00F3645B" w:rsidRPr="00F3645B" w:rsidRDefault="00F3645B" w:rsidP="00F3645B">
            <w:pPr>
              <w:widowControl w:val="0"/>
              <w:autoSpaceDE w:val="0"/>
              <w:autoSpaceDN w:val="0"/>
              <w:adjustRightInd w:val="0"/>
              <w:spacing w:after="0" w:line="240" w:lineRule="auto"/>
              <w:ind w:hanging="105"/>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-53 085,3</w:t>
            </w:r>
          </w:p>
        </w:tc>
      </w:tr>
      <w:tr w:rsidR="00F3645B" w:rsidRPr="00F3645B" w14:paraId="3DBBEAE3" w14:textId="77777777" w:rsidTr="00545B6E">
        <w:trPr>
          <w:trHeight w:val="188"/>
        </w:trPr>
        <w:tc>
          <w:tcPr>
            <w:tcW w:w="421" w:type="dxa"/>
            <w:tcBorders>
              <w:top w:val="nil"/>
              <w:left w:val="single" w:sz="4" w:space="0" w:color="auto"/>
              <w:bottom w:val="single" w:sz="4" w:space="0" w:color="auto"/>
              <w:right w:val="single" w:sz="4" w:space="0" w:color="auto"/>
            </w:tcBorders>
            <w:shd w:val="clear" w:color="auto" w:fill="auto"/>
            <w:noWrap/>
          </w:tcPr>
          <w:p w14:paraId="032A7C9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FFAF8B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образования в сфере культуры»</w:t>
            </w:r>
          </w:p>
        </w:tc>
        <w:tc>
          <w:tcPr>
            <w:tcW w:w="1105" w:type="dxa"/>
            <w:tcBorders>
              <w:top w:val="nil"/>
              <w:left w:val="nil"/>
              <w:bottom w:val="single" w:sz="4" w:space="0" w:color="auto"/>
              <w:right w:val="single" w:sz="4" w:space="0" w:color="auto"/>
            </w:tcBorders>
            <w:shd w:val="clear" w:color="auto" w:fill="auto"/>
            <w:vAlign w:val="center"/>
          </w:tcPr>
          <w:p w14:paraId="2A25278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304 141,4</w:t>
            </w:r>
          </w:p>
        </w:tc>
        <w:tc>
          <w:tcPr>
            <w:tcW w:w="1134" w:type="dxa"/>
            <w:tcBorders>
              <w:top w:val="nil"/>
              <w:left w:val="nil"/>
              <w:bottom w:val="single" w:sz="4" w:space="0" w:color="auto"/>
              <w:right w:val="single" w:sz="4" w:space="0" w:color="auto"/>
            </w:tcBorders>
            <w:shd w:val="clear" w:color="000000" w:fill="FFFFFF"/>
            <w:vAlign w:val="center"/>
          </w:tcPr>
          <w:p w14:paraId="6E695D3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304 141,4</w:t>
            </w:r>
          </w:p>
        </w:tc>
        <w:tc>
          <w:tcPr>
            <w:tcW w:w="850" w:type="dxa"/>
            <w:tcBorders>
              <w:top w:val="nil"/>
              <w:left w:val="nil"/>
              <w:bottom w:val="single" w:sz="4" w:space="0" w:color="auto"/>
              <w:right w:val="single" w:sz="4" w:space="0" w:color="auto"/>
            </w:tcBorders>
            <w:shd w:val="clear" w:color="000000" w:fill="FFFFFF"/>
            <w:noWrap/>
            <w:vAlign w:val="center"/>
          </w:tcPr>
          <w:p w14:paraId="5B2A39F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DFF502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304 141,4</w:t>
            </w:r>
          </w:p>
        </w:tc>
        <w:tc>
          <w:tcPr>
            <w:tcW w:w="993" w:type="dxa"/>
            <w:tcBorders>
              <w:top w:val="nil"/>
              <w:left w:val="nil"/>
              <w:bottom w:val="single" w:sz="4" w:space="0" w:color="auto"/>
              <w:right w:val="single" w:sz="4" w:space="0" w:color="auto"/>
            </w:tcBorders>
            <w:shd w:val="clear" w:color="auto" w:fill="auto"/>
            <w:noWrap/>
            <w:vAlign w:val="center"/>
          </w:tcPr>
          <w:p w14:paraId="46B2358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45B9E32A" w14:textId="77777777" w:rsidTr="00545B6E">
        <w:trPr>
          <w:trHeight w:val="194"/>
        </w:trPr>
        <w:tc>
          <w:tcPr>
            <w:tcW w:w="421" w:type="dxa"/>
            <w:tcBorders>
              <w:top w:val="nil"/>
              <w:left w:val="single" w:sz="4" w:space="0" w:color="auto"/>
              <w:bottom w:val="single" w:sz="4" w:space="0" w:color="auto"/>
              <w:right w:val="single" w:sz="4" w:space="0" w:color="auto"/>
            </w:tcBorders>
            <w:shd w:val="clear" w:color="auto" w:fill="auto"/>
            <w:noWrap/>
          </w:tcPr>
          <w:p w14:paraId="6D2EC97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6F3297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«Культура и искусство»</w:t>
            </w:r>
          </w:p>
        </w:tc>
        <w:tc>
          <w:tcPr>
            <w:tcW w:w="1105" w:type="dxa"/>
            <w:tcBorders>
              <w:top w:val="nil"/>
              <w:left w:val="nil"/>
              <w:bottom w:val="single" w:sz="4" w:space="0" w:color="auto"/>
              <w:right w:val="single" w:sz="4" w:space="0" w:color="auto"/>
            </w:tcBorders>
            <w:shd w:val="clear" w:color="auto" w:fill="auto"/>
            <w:vAlign w:val="center"/>
          </w:tcPr>
          <w:p w14:paraId="298A178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2 066 530,6</w:t>
            </w:r>
          </w:p>
        </w:tc>
        <w:tc>
          <w:tcPr>
            <w:tcW w:w="1134" w:type="dxa"/>
            <w:tcBorders>
              <w:top w:val="nil"/>
              <w:left w:val="nil"/>
              <w:bottom w:val="single" w:sz="4" w:space="0" w:color="auto"/>
              <w:right w:val="single" w:sz="4" w:space="0" w:color="auto"/>
            </w:tcBorders>
            <w:shd w:val="clear" w:color="000000" w:fill="FFFFFF"/>
            <w:vAlign w:val="center"/>
          </w:tcPr>
          <w:p w14:paraId="31B5DF2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2 066 530,6</w:t>
            </w:r>
          </w:p>
        </w:tc>
        <w:tc>
          <w:tcPr>
            <w:tcW w:w="850" w:type="dxa"/>
            <w:tcBorders>
              <w:top w:val="nil"/>
              <w:left w:val="nil"/>
              <w:bottom w:val="single" w:sz="4" w:space="0" w:color="auto"/>
              <w:right w:val="single" w:sz="4" w:space="0" w:color="auto"/>
            </w:tcBorders>
            <w:shd w:val="clear" w:color="000000" w:fill="FFFFFF"/>
            <w:noWrap/>
            <w:vAlign w:val="center"/>
          </w:tcPr>
          <w:p w14:paraId="293EA2B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2F57EF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2 013 516,6</w:t>
            </w:r>
          </w:p>
        </w:tc>
        <w:tc>
          <w:tcPr>
            <w:tcW w:w="993" w:type="dxa"/>
            <w:tcBorders>
              <w:top w:val="nil"/>
              <w:left w:val="nil"/>
              <w:bottom w:val="single" w:sz="4" w:space="0" w:color="auto"/>
              <w:right w:val="single" w:sz="4" w:space="0" w:color="auto"/>
            </w:tcBorders>
            <w:shd w:val="clear" w:color="auto" w:fill="auto"/>
            <w:noWrap/>
            <w:vAlign w:val="center"/>
          </w:tcPr>
          <w:p w14:paraId="7F14381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-53 014,0</w:t>
            </w:r>
          </w:p>
        </w:tc>
      </w:tr>
      <w:tr w:rsidR="00F3645B" w:rsidRPr="00F3645B" w14:paraId="55DF813A" w14:textId="77777777" w:rsidTr="00545B6E">
        <w:trPr>
          <w:trHeight w:val="145"/>
        </w:trPr>
        <w:tc>
          <w:tcPr>
            <w:tcW w:w="421" w:type="dxa"/>
            <w:tcBorders>
              <w:top w:val="nil"/>
              <w:left w:val="single" w:sz="4" w:space="0" w:color="auto"/>
              <w:bottom w:val="single" w:sz="4" w:space="0" w:color="auto"/>
              <w:right w:val="single" w:sz="4" w:space="0" w:color="auto"/>
            </w:tcBorders>
            <w:shd w:val="clear" w:color="auto" w:fill="auto"/>
            <w:noWrap/>
          </w:tcPr>
          <w:p w14:paraId="074C9D4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13B3AB0"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реализации государственной программы»</w:t>
            </w:r>
          </w:p>
        </w:tc>
        <w:tc>
          <w:tcPr>
            <w:tcW w:w="1105" w:type="dxa"/>
            <w:tcBorders>
              <w:top w:val="nil"/>
              <w:left w:val="nil"/>
              <w:bottom w:val="single" w:sz="4" w:space="0" w:color="auto"/>
              <w:right w:val="single" w:sz="4" w:space="0" w:color="auto"/>
            </w:tcBorders>
            <w:shd w:val="clear" w:color="auto" w:fill="auto"/>
            <w:vAlign w:val="center"/>
          </w:tcPr>
          <w:p w14:paraId="78472FC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32 869,3</w:t>
            </w:r>
          </w:p>
        </w:tc>
        <w:tc>
          <w:tcPr>
            <w:tcW w:w="1134" w:type="dxa"/>
            <w:tcBorders>
              <w:top w:val="nil"/>
              <w:left w:val="nil"/>
              <w:bottom w:val="single" w:sz="4" w:space="0" w:color="auto"/>
              <w:right w:val="single" w:sz="4" w:space="0" w:color="auto"/>
            </w:tcBorders>
            <w:shd w:val="clear" w:color="000000" w:fill="FFFFFF"/>
            <w:vAlign w:val="center"/>
          </w:tcPr>
          <w:p w14:paraId="5DFFD35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32 869,3</w:t>
            </w:r>
          </w:p>
        </w:tc>
        <w:tc>
          <w:tcPr>
            <w:tcW w:w="850" w:type="dxa"/>
            <w:tcBorders>
              <w:top w:val="nil"/>
              <w:left w:val="nil"/>
              <w:bottom w:val="single" w:sz="4" w:space="0" w:color="auto"/>
              <w:right w:val="single" w:sz="4" w:space="0" w:color="auto"/>
            </w:tcBorders>
            <w:shd w:val="clear" w:color="000000" w:fill="FFFFFF"/>
            <w:noWrap/>
            <w:vAlign w:val="center"/>
          </w:tcPr>
          <w:p w14:paraId="3A5B440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A4D02A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32 798,0</w:t>
            </w:r>
          </w:p>
        </w:tc>
        <w:tc>
          <w:tcPr>
            <w:tcW w:w="993" w:type="dxa"/>
            <w:tcBorders>
              <w:top w:val="nil"/>
              <w:left w:val="nil"/>
              <w:bottom w:val="single" w:sz="4" w:space="0" w:color="auto"/>
              <w:right w:val="single" w:sz="4" w:space="0" w:color="auto"/>
            </w:tcBorders>
            <w:shd w:val="clear" w:color="auto" w:fill="auto"/>
            <w:noWrap/>
            <w:vAlign w:val="center"/>
          </w:tcPr>
          <w:p w14:paraId="576B992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-71,3</w:t>
            </w:r>
          </w:p>
        </w:tc>
      </w:tr>
      <w:tr w:rsidR="00F3645B" w:rsidRPr="00F3645B" w14:paraId="43D41B68" w14:textId="77777777" w:rsidTr="00545B6E">
        <w:trPr>
          <w:trHeight w:val="88"/>
        </w:trPr>
        <w:tc>
          <w:tcPr>
            <w:tcW w:w="421" w:type="dxa"/>
            <w:tcBorders>
              <w:top w:val="nil"/>
              <w:left w:val="single" w:sz="4" w:space="0" w:color="auto"/>
              <w:bottom w:val="single" w:sz="4" w:space="0" w:color="auto"/>
              <w:right w:val="single" w:sz="4" w:space="0" w:color="auto"/>
            </w:tcBorders>
            <w:shd w:val="clear" w:color="auto" w:fill="auto"/>
            <w:noWrap/>
          </w:tcPr>
          <w:p w14:paraId="7A6D64E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18</w:t>
            </w:r>
          </w:p>
        </w:tc>
        <w:tc>
          <w:tcPr>
            <w:tcW w:w="3827" w:type="dxa"/>
            <w:tcBorders>
              <w:top w:val="nil"/>
              <w:left w:val="nil"/>
              <w:bottom w:val="single" w:sz="4" w:space="0" w:color="auto"/>
              <w:right w:val="single" w:sz="4" w:space="0" w:color="auto"/>
            </w:tcBorders>
            <w:shd w:val="clear" w:color="auto" w:fill="auto"/>
          </w:tcPr>
          <w:p w14:paraId="51C52C7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здравоохранения в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14489C5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29 893 265,3</w:t>
            </w:r>
          </w:p>
        </w:tc>
        <w:tc>
          <w:tcPr>
            <w:tcW w:w="1134" w:type="dxa"/>
            <w:tcBorders>
              <w:top w:val="nil"/>
              <w:left w:val="nil"/>
              <w:bottom w:val="single" w:sz="4" w:space="0" w:color="auto"/>
              <w:right w:val="single" w:sz="4" w:space="0" w:color="auto"/>
            </w:tcBorders>
            <w:shd w:val="clear" w:color="000000" w:fill="FFFFFF"/>
            <w:vAlign w:val="center"/>
          </w:tcPr>
          <w:p w14:paraId="40A282C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29 773 264,4</w:t>
            </w:r>
          </w:p>
        </w:tc>
        <w:tc>
          <w:tcPr>
            <w:tcW w:w="850" w:type="dxa"/>
            <w:tcBorders>
              <w:top w:val="nil"/>
              <w:left w:val="nil"/>
              <w:bottom w:val="single" w:sz="4" w:space="0" w:color="auto"/>
              <w:right w:val="single" w:sz="4" w:space="0" w:color="auto"/>
            </w:tcBorders>
            <w:shd w:val="clear" w:color="000000" w:fill="FFFFFF"/>
            <w:noWrap/>
            <w:vAlign w:val="center"/>
          </w:tcPr>
          <w:p w14:paraId="35800FF1" w14:textId="77777777" w:rsidR="00F3645B" w:rsidRPr="00F3645B" w:rsidRDefault="00F3645B" w:rsidP="00F3645B">
            <w:pPr>
              <w:widowControl w:val="0"/>
              <w:autoSpaceDE w:val="0"/>
              <w:autoSpaceDN w:val="0"/>
              <w:adjustRightInd w:val="0"/>
              <w:spacing w:after="0" w:line="240" w:lineRule="auto"/>
              <w:ind w:hanging="80"/>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-120 000,9</w:t>
            </w:r>
          </w:p>
        </w:tc>
        <w:tc>
          <w:tcPr>
            <w:tcW w:w="1134" w:type="dxa"/>
            <w:tcBorders>
              <w:top w:val="nil"/>
              <w:left w:val="nil"/>
              <w:bottom w:val="single" w:sz="4" w:space="0" w:color="auto"/>
              <w:right w:val="single" w:sz="4" w:space="0" w:color="auto"/>
            </w:tcBorders>
            <w:shd w:val="clear" w:color="000000" w:fill="FFFFFF"/>
            <w:vAlign w:val="center"/>
          </w:tcPr>
          <w:p w14:paraId="0CF06FD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29 365 111,5</w:t>
            </w:r>
          </w:p>
        </w:tc>
        <w:tc>
          <w:tcPr>
            <w:tcW w:w="993" w:type="dxa"/>
            <w:tcBorders>
              <w:top w:val="nil"/>
              <w:left w:val="nil"/>
              <w:bottom w:val="single" w:sz="4" w:space="0" w:color="auto"/>
              <w:right w:val="single" w:sz="4" w:space="0" w:color="auto"/>
            </w:tcBorders>
            <w:shd w:val="clear" w:color="auto" w:fill="auto"/>
            <w:noWrap/>
            <w:vAlign w:val="center"/>
          </w:tcPr>
          <w:p w14:paraId="7F00268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-408 152,9</w:t>
            </w:r>
          </w:p>
        </w:tc>
      </w:tr>
      <w:tr w:rsidR="00F3645B" w:rsidRPr="00F3645B" w14:paraId="4B5F9525" w14:textId="77777777" w:rsidTr="00545B6E">
        <w:trPr>
          <w:trHeight w:val="305"/>
        </w:trPr>
        <w:tc>
          <w:tcPr>
            <w:tcW w:w="421" w:type="dxa"/>
            <w:tcBorders>
              <w:top w:val="nil"/>
              <w:left w:val="single" w:sz="4" w:space="0" w:color="auto"/>
              <w:bottom w:val="single" w:sz="4" w:space="0" w:color="auto"/>
              <w:right w:val="single" w:sz="4" w:space="0" w:color="auto"/>
            </w:tcBorders>
            <w:shd w:val="clear" w:color="auto" w:fill="auto"/>
            <w:noWrap/>
          </w:tcPr>
          <w:p w14:paraId="3B2C4E8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DCC900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«Профилактика заболеваний и формирование здорового образа жизни. Развитие первичной медико-санитарной помощи»</w:t>
            </w:r>
          </w:p>
        </w:tc>
        <w:tc>
          <w:tcPr>
            <w:tcW w:w="1105" w:type="dxa"/>
            <w:tcBorders>
              <w:top w:val="nil"/>
              <w:left w:val="nil"/>
              <w:bottom w:val="single" w:sz="4" w:space="0" w:color="auto"/>
              <w:right w:val="single" w:sz="4" w:space="0" w:color="auto"/>
            </w:tcBorders>
            <w:shd w:val="clear" w:color="auto" w:fill="auto"/>
            <w:vAlign w:val="center"/>
          </w:tcPr>
          <w:p w14:paraId="1BBDCB8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2 158 828,3</w:t>
            </w:r>
          </w:p>
        </w:tc>
        <w:tc>
          <w:tcPr>
            <w:tcW w:w="1134" w:type="dxa"/>
            <w:tcBorders>
              <w:top w:val="nil"/>
              <w:left w:val="nil"/>
              <w:bottom w:val="single" w:sz="4" w:space="0" w:color="auto"/>
              <w:right w:val="single" w:sz="4" w:space="0" w:color="auto"/>
            </w:tcBorders>
            <w:shd w:val="clear" w:color="000000" w:fill="FFFFFF"/>
            <w:vAlign w:val="center"/>
          </w:tcPr>
          <w:p w14:paraId="5B3617B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2 158 827,4</w:t>
            </w:r>
          </w:p>
        </w:tc>
        <w:tc>
          <w:tcPr>
            <w:tcW w:w="850" w:type="dxa"/>
            <w:tcBorders>
              <w:top w:val="nil"/>
              <w:left w:val="nil"/>
              <w:bottom w:val="single" w:sz="4" w:space="0" w:color="auto"/>
              <w:right w:val="single" w:sz="4" w:space="0" w:color="auto"/>
            </w:tcBorders>
            <w:shd w:val="clear" w:color="000000" w:fill="FFFFFF"/>
            <w:noWrap/>
            <w:vAlign w:val="center"/>
          </w:tcPr>
          <w:p w14:paraId="4537C1B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-0,9</w:t>
            </w:r>
          </w:p>
        </w:tc>
        <w:tc>
          <w:tcPr>
            <w:tcW w:w="1134" w:type="dxa"/>
            <w:tcBorders>
              <w:top w:val="nil"/>
              <w:left w:val="nil"/>
              <w:bottom w:val="single" w:sz="4" w:space="0" w:color="auto"/>
              <w:right w:val="single" w:sz="4" w:space="0" w:color="auto"/>
            </w:tcBorders>
            <w:shd w:val="clear" w:color="000000" w:fill="FFFFFF"/>
            <w:vAlign w:val="center"/>
          </w:tcPr>
          <w:p w14:paraId="07101A6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2 120 597,7</w:t>
            </w:r>
          </w:p>
        </w:tc>
        <w:tc>
          <w:tcPr>
            <w:tcW w:w="993" w:type="dxa"/>
            <w:tcBorders>
              <w:top w:val="nil"/>
              <w:left w:val="nil"/>
              <w:bottom w:val="single" w:sz="4" w:space="0" w:color="auto"/>
              <w:right w:val="single" w:sz="4" w:space="0" w:color="auto"/>
            </w:tcBorders>
            <w:shd w:val="clear" w:color="auto" w:fill="auto"/>
            <w:noWrap/>
            <w:vAlign w:val="center"/>
          </w:tcPr>
          <w:p w14:paraId="0FD0768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-38 229,7</w:t>
            </w:r>
          </w:p>
        </w:tc>
      </w:tr>
      <w:tr w:rsidR="00F3645B" w:rsidRPr="00F3645B" w14:paraId="0AEC3F7A"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2CE99B90"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901A51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05" w:type="dxa"/>
            <w:tcBorders>
              <w:top w:val="nil"/>
              <w:left w:val="nil"/>
              <w:bottom w:val="single" w:sz="4" w:space="0" w:color="auto"/>
              <w:right w:val="single" w:sz="4" w:space="0" w:color="auto"/>
            </w:tcBorders>
            <w:shd w:val="clear" w:color="auto" w:fill="auto"/>
            <w:vAlign w:val="center"/>
          </w:tcPr>
          <w:p w14:paraId="6F279C5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3 737 965,8</w:t>
            </w:r>
          </w:p>
        </w:tc>
        <w:tc>
          <w:tcPr>
            <w:tcW w:w="1134" w:type="dxa"/>
            <w:tcBorders>
              <w:top w:val="nil"/>
              <w:left w:val="nil"/>
              <w:bottom w:val="single" w:sz="4" w:space="0" w:color="auto"/>
              <w:right w:val="single" w:sz="4" w:space="0" w:color="auto"/>
            </w:tcBorders>
            <w:shd w:val="clear" w:color="000000" w:fill="FFFFFF"/>
            <w:vAlign w:val="center"/>
          </w:tcPr>
          <w:p w14:paraId="5DA6149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3 737 965,8</w:t>
            </w:r>
          </w:p>
        </w:tc>
        <w:tc>
          <w:tcPr>
            <w:tcW w:w="850" w:type="dxa"/>
            <w:tcBorders>
              <w:top w:val="nil"/>
              <w:left w:val="nil"/>
              <w:bottom w:val="single" w:sz="4" w:space="0" w:color="auto"/>
              <w:right w:val="single" w:sz="4" w:space="0" w:color="auto"/>
            </w:tcBorders>
            <w:shd w:val="clear" w:color="000000" w:fill="FFFFFF"/>
            <w:noWrap/>
            <w:vAlign w:val="center"/>
          </w:tcPr>
          <w:p w14:paraId="4770D44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E8C5F1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3 582 439,2</w:t>
            </w:r>
          </w:p>
        </w:tc>
        <w:tc>
          <w:tcPr>
            <w:tcW w:w="993" w:type="dxa"/>
            <w:tcBorders>
              <w:top w:val="nil"/>
              <w:left w:val="nil"/>
              <w:bottom w:val="single" w:sz="4" w:space="0" w:color="auto"/>
              <w:right w:val="single" w:sz="4" w:space="0" w:color="auto"/>
            </w:tcBorders>
            <w:shd w:val="clear" w:color="auto" w:fill="auto"/>
            <w:noWrap/>
            <w:vAlign w:val="center"/>
          </w:tcPr>
          <w:p w14:paraId="7A28D1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-155 526,6</w:t>
            </w:r>
          </w:p>
        </w:tc>
      </w:tr>
      <w:tr w:rsidR="00F3645B" w:rsidRPr="00F3645B" w14:paraId="2209F474" w14:textId="77777777" w:rsidTr="00545B6E">
        <w:trPr>
          <w:trHeight w:val="382"/>
        </w:trPr>
        <w:tc>
          <w:tcPr>
            <w:tcW w:w="421" w:type="dxa"/>
            <w:tcBorders>
              <w:top w:val="nil"/>
              <w:left w:val="single" w:sz="4" w:space="0" w:color="auto"/>
              <w:bottom w:val="single" w:sz="4" w:space="0" w:color="auto"/>
              <w:right w:val="single" w:sz="4" w:space="0" w:color="auto"/>
            </w:tcBorders>
            <w:shd w:val="clear" w:color="auto" w:fill="auto"/>
            <w:noWrap/>
          </w:tcPr>
          <w:p w14:paraId="244BE64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ECE7CD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«Охрана здоровья матери и ребенка в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2298741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460 920,5</w:t>
            </w:r>
          </w:p>
        </w:tc>
        <w:tc>
          <w:tcPr>
            <w:tcW w:w="1134" w:type="dxa"/>
            <w:tcBorders>
              <w:top w:val="nil"/>
              <w:left w:val="nil"/>
              <w:bottom w:val="single" w:sz="4" w:space="0" w:color="auto"/>
              <w:right w:val="single" w:sz="4" w:space="0" w:color="auto"/>
            </w:tcBorders>
            <w:shd w:val="clear" w:color="000000" w:fill="FFFFFF"/>
            <w:vAlign w:val="center"/>
          </w:tcPr>
          <w:p w14:paraId="4DAB49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460 920,5</w:t>
            </w:r>
          </w:p>
        </w:tc>
        <w:tc>
          <w:tcPr>
            <w:tcW w:w="850" w:type="dxa"/>
            <w:tcBorders>
              <w:top w:val="nil"/>
              <w:left w:val="nil"/>
              <w:bottom w:val="single" w:sz="4" w:space="0" w:color="auto"/>
              <w:right w:val="single" w:sz="4" w:space="0" w:color="auto"/>
            </w:tcBorders>
            <w:shd w:val="clear" w:color="000000" w:fill="FFFFFF"/>
            <w:noWrap/>
            <w:vAlign w:val="center"/>
          </w:tcPr>
          <w:p w14:paraId="3F3D682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1D12A8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454 860,5</w:t>
            </w:r>
          </w:p>
        </w:tc>
        <w:tc>
          <w:tcPr>
            <w:tcW w:w="993" w:type="dxa"/>
            <w:tcBorders>
              <w:top w:val="nil"/>
              <w:left w:val="nil"/>
              <w:bottom w:val="single" w:sz="4" w:space="0" w:color="auto"/>
              <w:right w:val="single" w:sz="4" w:space="0" w:color="auto"/>
            </w:tcBorders>
            <w:shd w:val="clear" w:color="auto" w:fill="auto"/>
            <w:noWrap/>
            <w:vAlign w:val="center"/>
          </w:tcPr>
          <w:p w14:paraId="4058999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-6 060,0</w:t>
            </w:r>
          </w:p>
        </w:tc>
      </w:tr>
      <w:tr w:rsidR="00F3645B" w:rsidRPr="00F3645B" w14:paraId="1A8ADDF5" w14:textId="77777777" w:rsidTr="00545B6E">
        <w:trPr>
          <w:trHeight w:val="340"/>
        </w:trPr>
        <w:tc>
          <w:tcPr>
            <w:tcW w:w="421" w:type="dxa"/>
            <w:tcBorders>
              <w:top w:val="nil"/>
              <w:left w:val="single" w:sz="4" w:space="0" w:color="auto"/>
              <w:bottom w:val="single" w:sz="4" w:space="0" w:color="auto"/>
              <w:right w:val="single" w:sz="4" w:space="0" w:color="auto"/>
            </w:tcBorders>
            <w:shd w:val="clear" w:color="auto" w:fill="auto"/>
            <w:noWrap/>
          </w:tcPr>
          <w:p w14:paraId="72F3C680"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D131DD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медицинской реабилитации и санаторно-курортного лечения, в том числе детей»</w:t>
            </w:r>
          </w:p>
        </w:tc>
        <w:tc>
          <w:tcPr>
            <w:tcW w:w="1105" w:type="dxa"/>
            <w:tcBorders>
              <w:top w:val="nil"/>
              <w:left w:val="nil"/>
              <w:bottom w:val="single" w:sz="4" w:space="0" w:color="auto"/>
              <w:right w:val="single" w:sz="4" w:space="0" w:color="auto"/>
            </w:tcBorders>
            <w:shd w:val="clear" w:color="auto" w:fill="auto"/>
            <w:vAlign w:val="center"/>
          </w:tcPr>
          <w:p w14:paraId="316C154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88 836,3</w:t>
            </w:r>
          </w:p>
        </w:tc>
        <w:tc>
          <w:tcPr>
            <w:tcW w:w="1134" w:type="dxa"/>
            <w:tcBorders>
              <w:top w:val="nil"/>
              <w:left w:val="nil"/>
              <w:bottom w:val="single" w:sz="4" w:space="0" w:color="auto"/>
              <w:right w:val="single" w:sz="4" w:space="0" w:color="auto"/>
            </w:tcBorders>
            <w:shd w:val="clear" w:color="000000" w:fill="FFFFFF"/>
            <w:vAlign w:val="center"/>
          </w:tcPr>
          <w:p w14:paraId="1A78EE4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88 836,3</w:t>
            </w:r>
          </w:p>
        </w:tc>
        <w:tc>
          <w:tcPr>
            <w:tcW w:w="850" w:type="dxa"/>
            <w:tcBorders>
              <w:top w:val="nil"/>
              <w:left w:val="nil"/>
              <w:bottom w:val="single" w:sz="4" w:space="0" w:color="auto"/>
              <w:right w:val="single" w:sz="4" w:space="0" w:color="auto"/>
            </w:tcBorders>
            <w:shd w:val="clear" w:color="000000" w:fill="FFFFFF"/>
            <w:noWrap/>
            <w:vAlign w:val="center"/>
          </w:tcPr>
          <w:p w14:paraId="2C5AF1F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800689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78 505,8</w:t>
            </w:r>
          </w:p>
        </w:tc>
        <w:tc>
          <w:tcPr>
            <w:tcW w:w="993" w:type="dxa"/>
            <w:tcBorders>
              <w:top w:val="nil"/>
              <w:left w:val="nil"/>
              <w:bottom w:val="single" w:sz="4" w:space="0" w:color="auto"/>
              <w:right w:val="single" w:sz="4" w:space="0" w:color="auto"/>
            </w:tcBorders>
            <w:shd w:val="clear" w:color="auto" w:fill="auto"/>
            <w:noWrap/>
            <w:vAlign w:val="center"/>
          </w:tcPr>
          <w:p w14:paraId="02B951F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-10 330,5</w:t>
            </w:r>
          </w:p>
        </w:tc>
      </w:tr>
      <w:tr w:rsidR="00F3645B" w:rsidRPr="00F3645B" w14:paraId="345FD5DD" w14:textId="77777777" w:rsidTr="00545B6E">
        <w:trPr>
          <w:trHeight w:val="388"/>
        </w:trPr>
        <w:tc>
          <w:tcPr>
            <w:tcW w:w="421" w:type="dxa"/>
            <w:tcBorders>
              <w:top w:val="nil"/>
              <w:left w:val="single" w:sz="4" w:space="0" w:color="auto"/>
              <w:bottom w:val="single" w:sz="4" w:space="0" w:color="auto"/>
              <w:right w:val="single" w:sz="4" w:space="0" w:color="auto"/>
            </w:tcBorders>
            <w:shd w:val="clear" w:color="auto" w:fill="auto"/>
            <w:noWrap/>
          </w:tcPr>
          <w:p w14:paraId="5C71B65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16C997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материально-технической базы детских поликлиник и детских поликлинических отделений медицинских организаций»</w:t>
            </w:r>
          </w:p>
        </w:tc>
        <w:tc>
          <w:tcPr>
            <w:tcW w:w="1105" w:type="dxa"/>
            <w:tcBorders>
              <w:top w:val="nil"/>
              <w:left w:val="nil"/>
              <w:bottom w:val="single" w:sz="4" w:space="0" w:color="auto"/>
              <w:right w:val="single" w:sz="4" w:space="0" w:color="auto"/>
            </w:tcBorders>
            <w:shd w:val="clear" w:color="000000" w:fill="FFFFFF"/>
            <w:vAlign w:val="center"/>
          </w:tcPr>
          <w:p w14:paraId="0E47779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vAlign w:val="center"/>
          </w:tcPr>
          <w:p w14:paraId="66C3B9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850" w:type="dxa"/>
            <w:tcBorders>
              <w:top w:val="nil"/>
              <w:left w:val="nil"/>
              <w:bottom w:val="single" w:sz="4" w:space="0" w:color="auto"/>
              <w:right w:val="single" w:sz="4" w:space="0" w:color="auto"/>
            </w:tcBorders>
            <w:shd w:val="clear" w:color="000000" w:fill="FFFFFF"/>
            <w:noWrap/>
            <w:vAlign w:val="center"/>
          </w:tcPr>
          <w:p w14:paraId="7DA2796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D17A69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noWrap/>
            <w:vAlign w:val="center"/>
          </w:tcPr>
          <w:p w14:paraId="6F5F417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7FE0EBCB"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5B9C528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716FDAE"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«Совершенствование системы лекарственного обеспечения, в том числе в амбулаторных условиях»</w:t>
            </w:r>
          </w:p>
        </w:tc>
        <w:tc>
          <w:tcPr>
            <w:tcW w:w="1105" w:type="dxa"/>
            <w:tcBorders>
              <w:top w:val="nil"/>
              <w:left w:val="nil"/>
              <w:bottom w:val="single" w:sz="4" w:space="0" w:color="auto"/>
              <w:right w:val="single" w:sz="4" w:space="0" w:color="auto"/>
            </w:tcBorders>
            <w:shd w:val="clear" w:color="auto" w:fill="auto"/>
            <w:vAlign w:val="center"/>
          </w:tcPr>
          <w:p w14:paraId="680EC09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2 434 875,0</w:t>
            </w:r>
          </w:p>
        </w:tc>
        <w:tc>
          <w:tcPr>
            <w:tcW w:w="1134" w:type="dxa"/>
            <w:tcBorders>
              <w:top w:val="nil"/>
              <w:left w:val="nil"/>
              <w:bottom w:val="single" w:sz="4" w:space="0" w:color="auto"/>
              <w:right w:val="single" w:sz="4" w:space="0" w:color="auto"/>
            </w:tcBorders>
            <w:shd w:val="clear" w:color="000000" w:fill="FFFFFF"/>
            <w:vAlign w:val="center"/>
          </w:tcPr>
          <w:p w14:paraId="1900676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2 434 875,0</w:t>
            </w:r>
          </w:p>
        </w:tc>
        <w:tc>
          <w:tcPr>
            <w:tcW w:w="850" w:type="dxa"/>
            <w:tcBorders>
              <w:top w:val="nil"/>
              <w:left w:val="nil"/>
              <w:bottom w:val="single" w:sz="4" w:space="0" w:color="auto"/>
              <w:right w:val="single" w:sz="4" w:space="0" w:color="auto"/>
            </w:tcBorders>
            <w:shd w:val="clear" w:color="000000" w:fill="FFFFFF"/>
            <w:noWrap/>
            <w:vAlign w:val="center"/>
          </w:tcPr>
          <w:p w14:paraId="3F8AE95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F26F7D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2 381 942,5</w:t>
            </w:r>
          </w:p>
        </w:tc>
        <w:tc>
          <w:tcPr>
            <w:tcW w:w="993" w:type="dxa"/>
            <w:tcBorders>
              <w:top w:val="nil"/>
              <w:left w:val="nil"/>
              <w:bottom w:val="single" w:sz="4" w:space="0" w:color="auto"/>
              <w:right w:val="single" w:sz="4" w:space="0" w:color="auto"/>
            </w:tcBorders>
            <w:shd w:val="clear" w:color="auto" w:fill="auto"/>
            <w:noWrap/>
            <w:vAlign w:val="center"/>
          </w:tcPr>
          <w:p w14:paraId="24FFAEC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-52 932,5</w:t>
            </w:r>
          </w:p>
        </w:tc>
      </w:tr>
      <w:tr w:rsidR="00F3645B" w:rsidRPr="00F3645B" w14:paraId="5F627AC9" w14:textId="77777777" w:rsidTr="00545B6E">
        <w:trPr>
          <w:trHeight w:val="324"/>
        </w:trPr>
        <w:tc>
          <w:tcPr>
            <w:tcW w:w="421" w:type="dxa"/>
            <w:tcBorders>
              <w:top w:val="nil"/>
              <w:left w:val="single" w:sz="4" w:space="0" w:color="auto"/>
              <w:bottom w:val="single" w:sz="4" w:space="0" w:color="auto"/>
              <w:right w:val="single" w:sz="4" w:space="0" w:color="auto"/>
            </w:tcBorders>
            <w:shd w:val="clear" w:color="auto" w:fill="auto"/>
            <w:noWrap/>
          </w:tcPr>
          <w:p w14:paraId="72C2D35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7328F8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«Кадровое обеспечение системы здравоохранения»</w:t>
            </w:r>
          </w:p>
        </w:tc>
        <w:tc>
          <w:tcPr>
            <w:tcW w:w="1105" w:type="dxa"/>
            <w:tcBorders>
              <w:top w:val="nil"/>
              <w:left w:val="nil"/>
              <w:bottom w:val="single" w:sz="4" w:space="0" w:color="auto"/>
              <w:right w:val="single" w:sz="4" w:space="0" w:color="auto"/>
            </w:tcBorders>
            <w:shd w:val="clear" w:color="auto" w:fill="auto"/>
            <w:vAlign w:val="center"/>
          </w:tcPr>
          <w:p w14:paraId="29B9805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969 259,2</w:t>
            </w:r>
          </w:p>
        </w:tc>
        <w:tc>
          <w:tcPr>
            <w:tcW w:w="1134" w:type="dxa"/>
            <w:tcBorders>
              <w:top w:val="nil"/>
              <w:left w:val="nil"/>
              <w:bottom w:val="single" w:sz="4" w:space="0" w:color="auto"/>
              <w:right w:val="single" w:sz="4" w:space="0" w:color="auto"/>
            </w:tcBorders>
            <w:shd w:val="clear" w:color="000000" w:fill="FFFFFF"/>
            <w:vAlign w:val="center"/>
          </w:tcPr>
          <w:p w14:paraId="4C7E6AD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849 259,2</w:t>
            </w:r>
          </w:p>
        </w:tc>
        <w:tc>
          <w:tcPr>
            <w:tcW w:w="850" w:type="dxa"/>
            <w:tcBorders>
              <w:top w:val="nil"/>
              <w:left w:val="nil"/>
              <w:bottom w:val="single" w:sz="4" w:space="0" w:color="auto"/>
              <w:right w:val="single" w:sz="4" w:space="0" w:color="auto"/>
            </w:tcBorders>
            <w:shd w:val="clear" w:color="000000" w:fill="FFFFFF"/>
            <w:noWrap/>
            <w:vAlign w:val="center"/>
          </w:tcPr>
          <w:p w14:paraId="28D4B78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-120 000,0</w:t>
            </w:r>
          </w:p>
        </w:tc>
        <w:tc>
          <w:tcPr>
            <w:tcW w:w="1134" w:type="dxa"/>
            <w:tcBorders>
              <w:top w:val="nil"/>
              <w:left w:val="nil"/>
              <w:bottom w:val="single" w:sz="4" w:space="0" w:color="auto"/>
              <w:right w:val="single" w:sz="4" w:space="0" w:color="auto"/>
            </w:tcBorders>
            <w:shd w:val="clear" w:color="000000" w:fill="FFFFFF"/>
            <w:vAlign w:val="center"/>
          </w:tcPr>
          <w:p w14:paraId="0390B91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828 878,7</w:t>
            </w:r>
          </w:p>
        </w:tc>
        <w:tc>
          <w:tcPr>
            <w:tcW w:w="993" w:type="dxa"/>
            <w:tcBorders>
              <w:top w:val="nil"/>
              <w:left w:val="nil"/>
              <w:bottom w:val="single" w:sz="4" w:space="0" w:color="auto"/>
              <w:right w:val="single" w:sz="4" w:space="0" w:color="auto"/>
            </w:tcBorders>
            <w:shd w:val="clear" w:color="auto" w:fill="auto"/>
            <w:noWrap/>
            <w:vAlign w:val="center"/>
          </w:tcPr>
          <w:p w14:paraId="6218758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-20 380,5</w:t>
            </w:r>
          </w:p>
        </w:tc>
      </w:tr>
      <w:tr w:rsidR="00F3645B" w:rsidRPr="00F3645B" w14:paraId="00FA2F93" w14:textId="77777777" w:rsidTr="00545B6E">
        <w:trPr>
          <w:trHeight w:val="281"/>
        </w:trPr>
        <w:tc>
          <w:tcPr>
            <w:tcW w:w="421" w:type="dxa"/>
            <w:tcBorders>
              <w:top w:val="nil"/>
              <w:left w:val="single" w:sz="4" w:space="0" w:color="auto"/>
              <w:bottom w:val="single" w:sz="4" w:space="0" w:color="auto"/>
              <w:right w:val="single" w:sz="4" w:space="0" w:color="auto"/>
            </w:tcBorders>
            <w:shd w:val="clear" w:color="auto" w:fill="auto"/>
            <w:noWrap/>
          </w:tcPr>
          <w:p w14:paraId="600D65A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D02BD4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«Выполнение территориальной программы обязательного медицинского страхования»</w:t>
            </w:r>
          </w:p>
        </w:tc>
        <w:tc>
          <w:tcPr>
            <w:tcW w:w="1105" w:type="dxa"/>
            <w:tcBorders>
              <w:top w:val="nil"/>
              <w:left w:val="nil"/>
              <w:bottom w:val="single" w:sz="4" w:space="0" w:color="auto"/>
              <w:right w:val="single" w:sz="4" w:space="0" w:color="auto"/>
            </w:tcBorders>
            <w:shd w:val="clear" w:color="auto" w:fill="auto"/>
            <w:vAlign w:val="center"/>
          </w:tcPr>
          <w:p w14:paraId="6D24D47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19 476 450,3</w:t>
            </w:r>
          </w:p>
        </w:tc>
        <w:tc>
          <w:tcPr>
            <w:tcW w:w="1134" w:type="dxa"/>
            <w:tcBorders>
              <w:top w:val="nil"/>
              <w:left w:val="nil"/>
              <w:bottom w:val="single" w:sz="4" w:space="0" w:color="auto"/>
              <w:right w:val="single" w:sz="4" w:space="0" w:color="auto"/>
            </w:tcBorders>
            <w:shd w:val="clear" w:color="000000" w:fill="FFFFFF"/>
            <w:vAlign w:val="center"/>
          </w:tcPr>
          <w:p w14:paraId="38F7BA9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19 476 450,3</w:t>
            </w:r>
          </w:p>
        </w:tc>
        <w:tc>
          <w:tcPr>
            <w:tcW w:w="850" w:type="dxa"/>
            <w:tcBorders>
              <w:top w:val="nil"/>
              <w:left w:val="nil"/>
              <w:bottom w:val="single" w:sz="4" w:space="0" w:color="auto"/>
              <w:right w:val="single" w:sz="4" w:space="0" w:color="auto"/>
            </w:tcBorders>
            <w:shd w:val="clear" w:color="000000" w:fill="FFFFFF"/>
            <w:noWrap/>
            <w:vAlign w:val="center"/>
          </w:tcPr>
          <w:p w14:paraId="12BCFE5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776ACF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19 476 450,3</w:t>
            </w:r>
          </w:p>
        </w:tc>
        <w:tc>
          <w:tcPr>
            <w:tcW w:w="993" w:type="dxa"/>
            <w:tcBorders>
              <w:top w:val="nil"/>
              <w:left w:val="nil"/>
              <w:bottom w:val="single" w:sz="4" w:space="0" w:color="auto"/>
              <w:right w:val="single" w:sz="4" w:space="0" w:color="auto"/>
            </w:tcBorders>
            <w:shd w:val="clear" w:color="auto" w:fill="auto"/>
            <w:noWrap/>
            <w:vAlign w:val="center"/>
          </w:tcPr>
          <w:p w14:paraId="1ED5891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5DD2B24F" w14:textId="77777777" w:rsidTr="00545B6E">
        <w:trPr>
          <w:trHeight w:val="380"/>
        </w:trPr>
        <w:tc>
          <w:tcPr>
            <w:tcW w:w="421" w:type="dxa"/>
            <w:tcBorders>
              <w:top w:val="nil"/>
              <w:left w:val="single" w:sz="4" w:space="0" w:color="auto"/>
              <w:bottom w:val="single" w:sz="4" w:space="0" w:color="auto"/>
              <w:right w:val="single" w:sz="4" w:space="0" w:color="auto"/>
            </w:tcBorders>
            <w:shd w:val="clear" w:color="auto" w:fill="auto"/>
            <w:noWrap/>
          </w:tcPr>
          <w:p w14:paraId="18FFCE8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8A3E140"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информационных технологий в сфере здравоохранения»</w:t>
            </w:r>
          </w:p>
        </w:tc>
        <w:tc>
          <w:tcPr>
            <w:tcW w:w="1105" w:type="dxa"/>
            <w:tcBorders>
              <w:top w:val="nil"/>
              <w:left w:val="nil"/>
              <w:bottom w:val="single" w:sz="4" w:space="0" w:color="auto"/>
              <w:right w:val="single" w:sz="4" w:space="0" w:color="auto"/>
            </w:tcBorders>
            <w:shd w:val="clear" w:color="auto" w:fill="auto"/>
            <w:vAlign w:val="center"/>
          </w:tcPr>
          <w:p w14:paraId="3205140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488 385,4</w:t>
            </w:r>
          </w:p>
        </w:tc>
        <w:tc>
          <w:tcPr>
            <w:tcW w:w="1134" w:type="dxa"/>
            <w:tcBorders>
              <w:top w:val="nil"/>
              <w:left w:val="nil"/>
              <w:bottom w:val="single" w:sz="4" w:space="0" w:color="auto"/>
              <w:right w:val="single" w:sz="4" w:space="0" w:color="auto"/>
            </w:tcBorders>
            <w:shd w:val="clear" w:color="000000" w:fill="FFFFFF"/>
            <w:vAlign w:val="center"/>
          </w:tcPr>
          <w:p w14:paraId="07DF16F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488 385,4</w:t>
            </w:r>
          </w:p>
        </w:tc>
        <w:tc>
          <w:tcPr>
            <w:tcW w:w="850" w:type="dxa"/>
            <w:tcBorders>
              <w:top w:val="nil"/>
              <w:left w:val="nil"/>
              <w:bottom w:val="single" w:sz="4" w:space="0" w:color="auto"/>
              <w:right w:val="single" w:sz="4" w:space="0" w:color="auto"/>
            </w:tcBorders>
            <w:shd w:val="clear" w:color="000000" w:fill="FFFFFF"/>
            <w:noWrap/>
            <w:vAlign w:val="center"/>
          </w:tcPr>
          <w:p w14:paraId="1480FAE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3273B9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363 712,0</w:t>
            </w:r>
          </w:p>
        </w:tc>
        <w:tc>
          <w:tcPr>
            <w:tcW w:w="993" w:type="dxa"/>
            <w:tcBorders>
              <w:top w:val="nil"/>
              <w:left w:val="nil"/>
              <w:bottom w:val="single" w:sz="4" w:space="0" w:color="auto"/>
              <w:right w:val="single" w:sz="4" w:space="0" w:color="auto"/>
            </w:tcBorders>
            <w:shd w:val="clear" w:color="auto" w:fill="auto"/>
            <w:noWrap/>
            <w:vAlign w:val="center"/>
          </w:tcPr>
          <w:p w14:paraId="0325D7C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-124 673,4</w:t>
            </w:r>
          </w:p>
        </w:tc>
      </w:tr>
      <w:tr w:rsidR="00F3645B" w:rsidRPr="00F3645B" w14:paraId="4396A369" w14:textId="77777777" w:rsidTr="00545B6E">
        <w:trPr>
          <w:trHeight w:val="337"/>
        </w:trPr>
        <w:tc>
          <w:tcPr>
            <w:tcW w:w="421" w:type="dxa"/>
            <w:tcBorders>
              <w:top w:val="nil"/>
              <w:left w:val="single" w:sz="4" w:space="0" w:color="auto"/>
              <w:bottom w:val="single" w:sz="4" w:space="0" w:color="auto"/>
              <w:right w:val="single" w:sz="4" w:space="0" w:color="auto"/>
            </w:tcBorders>
            <w:shd w:val="clear" w:color="auto" w:fill="auto"/>
            <w:noWrap/>
          </w:tcPr>
          <w:p w14:paraId="770F62D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44EEA7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реализации государственной программы»</w:t>
            </w:r>
          </w:p>
        </w:tc>
        <w:tc>
          <w:tcPr>
            <w:tcW w:w="1105" w:type="dxa"/>
            <w:tcBorders>
              <w:top w:val="nil"/>
              <w:left w:val="nil"/>
              <w:bottom w:val="single" w:sz="4" w:space="0" w:color="auto"/>
              <w:right w:val="single" w:sz="4" w:space="0" w:color="auto"/>
            </w:tcBorders>
            <w:shd w:val="clear" w:color="auto" w:fill="auto"/>
            <w:vAlign w:val="center"/>
          </w:tcPr>
          <w:p w14:paraId="0286429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77 744,6</w:t>
            </w:r>
          </w:p>
        </w:tc>
        <w:tc>
          <w:tcPr>
            <w:tcW w:w="1134" w:type="dxa"/>
            <w:tcBorders>
              <w:top w:val="nil"/>
              <w:left w:val="nil"/>
              <w:bottom w:val="single" w:sz="4" w:space="0" w:color="auto"/>
              <w:right w:val="single" w:sz="4" w:space="0" w:color="auto"/>
            </w:tcBorders>
            <w:shd w:val="clear" w:color="000000" w:fill="FFFFFF"/>
            <w:vAlign w:val="center"/>
          </w:tcPr>
          <w:p w14:paraId="73B5160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77 744,6</w:t>
            </w:r>
          </w:p>
        </w:tc>
        <w:tc>
          <w:tcPr>
            <w:tcW w:w="850" w:type="dxa"/>
            <w:tcBorders>
              <w:top w:val="nil"/>
              <w:left w:val="nil"/>
              <w:bottom w:val="single" w:sz="4" w:space="0" w:color="auto"/>
              <w:right w:val="single" w:sz="4" w:space="0" w:color="auto"/>
            </w:tcBorders>
            <w:shd w:val="clear" w:color="000000" w:fill="FFFFFF"/>
            <w:noWrap/>
            <w:vAlign w:val="center"/>
          </w:tcPr>
          <w:p w14:paraId="051C25A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3DE41B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77 724,8</w:t>
            </w:r>
          </w:p>
        </w:tc>
        <w:tc>
          <w:tcPr>
            <w:tcW w:w="993" w:type="dxa"/>
            <w:tcBorders>
              <w:top w:val="nil"/>
              <w:left w:val="nil"/>
              <w:bottom w:val="single" w:sz="4" w:space="0" w:color="auto"/>
              <w:right w:val="single" w:sz="4" w:space="0" w:color="auto"/>
            </w:tcBorders>
            <w:shd w:val="clear" w:color="auto" w:fill="auto"/>
            <w:noWrap/>
            <w:vAlign w:val="center"/>
          </w:tcPr>
          <w:p w14:paraId="208C5B4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-19,8</w:t>
            </w:r>
          </w:p>
        </w:tc>
      </w:tr>
      <w:tr w:rsidR="00F3645B" w:rsidRPr="00F3645B" w14:paraId="6704C8D8" w14:textId="77777777" w:rsidTr="00545B6E">
        <w:trPr>
          <w:trHeight w:val="218"/>
        </w:trPr>
        <w:tc>
          <w:tcPr>
            <w:tcW w:w="421" w:type="dxa"/>
            <w:tcBorders>
              <w:top w:val="nil"/>
              <w:left w:val="single" w:sz="4" w:space="0" w:color="auto"/>
              <w:bottom w:val="single" w:sz="4" w:space="0" w:color="auto"/>
              <w:right w:val="single" w:sz="4" w:space="0" w:color="auto"/>
            </w:tcBorders>
            <w:shd w:val="clear" w:color="auto" w:fill="auto"/>
            <w:noWrap/>
          </w:tcPr>
          <w:p w14:paraId="0507CD3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19</w:t>
            </w:r>
          </w:p>
        </w:tc>
        <w:tc>
          <w:tcPr>
            <w:tcW w:w="3827" w:type="dxa"/>
            <w:tcBorders>
              <w:top w:val="nil"/>
              <w:left w:val="nil"/>
              <w:bottom w:val="single" w:sz="4" w:space="0" w:color="auto"/>
              <w:right w:val="single" w:sz="4" w:space="0" w:color="auto"/>
            </w:tcBorders>
            <w:shd w:val="clear" w:color="auto" w:fill="auto"/>
          </w:tcPr>
          <w:p w14:paraId="175850D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«Социальная поддержка граждан»</w:t>
            </w:r>
          </w:p>
        </w:tc>
        <w:tc>
          <w:tcPr>
            <w:tcW w:w="1105" w:type="dxa"/>
            <w:tcBorders>
              <w:top w:val="nil"/>
              <w:left w:val="nil"/>
              <w:bottom w:val="single" w:sz="4" w:space="0" w:color="auto"/>
              <w:right w:val="single" w:sz="4" w:space="0" w:color="auto"/>
            </w:tcBorders>
            <w:shd w:val="clear" w:color="auto" w:fill="auto"/>
            <w:vAlign w:val="center"/>
          </w:tcPr>
          <w:p w14:paraId="3221C86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37 780 516,5</w:t>
            </w:r>
          </w:p>
        </w:tc>
        <w:tc>
          <w:tcPr>
            <w:tcW w:w="1134" w:type="dxa"/>
            <w:tcBorders>
              <w:top w:val="nil"/>
              <w:left w:val="nil"/>
              <w:bottom w:val="single" w:sz="4" w:space="0" w:color="auto"/>
              <w:right w:val="single" w:sz="4" w:space="0" w:color="auto"/>
            </w:tcBorders>
            <w:shd w:val="clear" w:color="000000" w:fill="FFFFFF"/>
            <w:vAlign w:val="center"/>
          </w:tcPr>
          <w:p w14:paraId="55120D2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37 780 516,5</w:t>
            </w:r>
          </w:p>
        </w:tc>
        <w:tc>
          <w:tcPr>
            <w:tcW w:w="850" w:type="dxa"/>
            <w:tcBorders>
              <w:top w:val="nil"/>
              <w:left w:val="nil"/>
              <w:bottom w:val="single" w:sz="4" w:space="0" w:color="auto"/>
              <w:right w:val="single" w:sz="4" w:space="0" w:color="auto"/>
            </w:tcBorders>
            <w:shd w:val="clear" w:color="000000" w:fill="FFFFFF"/>
            <w:noWrap/>
            <w:vAlign w:val="center"/>
          </w:tcPr>
          <w:p w14:paraId="308E928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898930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37 577 692,9</w:t>
            </w:r>
          </w:p>
        </w:tc>
        <w:tc>
          <w:tcPr>
            <w:tcW w:w="993" w:type="dxa"/>
            <w:tcBorders>
              <w:top w:val="nil"/>
              <w:left w:val="nil"/>
              <w:bottom w:val="single" w:sz="4" w:space="0" w:color="auto"/>
              <w:right w:val="single" w:sz="4" w:space="0" w:color="auto"/>
            </w:tcBorders>
            <w:shd w:val="clear" w:color="auto" w:fill="auto"/>
            <w:noWrap/>
            <w:vAlign w:val="center"/>
          </w:tcPr>
          <w:p w14:paraId="404D0D5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-202 823,6</w:t>
            </w:r>
          </w:p>
        </w:tc>
      </w:tr>
      <w:tr w:rsidR="00F3645B" w:rsidRPr="00F3645B" w14:paraId="657042EC" w14:textId="77777777" w:rsidTr="00545B6E">
        <w:trPr>
          <w:trHeight w:val="70"/>
        </w:trPr>
        <w:tc>
          <w:tcPr>
            <w:tcW w:w="421" w:type="dxa"/>
            <w:tcBorders>
              <w:top w:val="nil"/>
              <w:left w:val="single" w:sz="4" w:space="0" w:color="auto"/>
              <w:bottom w:val="single" w:sz="4" w:space="0" w:color="auto"/>
              <w:right w:val="single" w:sz="4" w:space="0" w:color="auto"/>
            </w:tcBorders>
            <w:shd w:val="clear" w:color="auto" w:fill="auto"/>
            <w:noWrap/>
          </w:tcPr>
          <w:p w14:paraId="3D9A004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80A712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мер социальной поддержки отдельных категорий граждан»</w:t>
            </w:r>
          </w:p>
        </w:tc>
        <w:tc>
          <w:tcPr>
            <w:tcW w:w="1105" w:type="dxa"/>
            <w:tcBorders>
              <w:top w:val="nil"/>
              <w:left w:val="nil"/>
              <w:bottom w:val="single" w:sz="4" w:space="0" w:color="auto"/>
              <w:right w:val="single" w:sz="4" w:space="0" w:color="auto"/>
            </w:tcBorders>
            <w:shd w:val="clear" w:color="auto" w:fill="auto"/>
            <w:vAlign w:val="center"/>
          </w:tcPr>
          <w:p w14:paraId="23A39D3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4 467 315,4</w:t>
            </w:r>
          </w:p>
        </w:tc>
        <w:tc>
          <w:tcPr>
            <w:tcW w:w="1134" w:type="dxa"/>
            <w:tcBorders>
              <w:top w:val="nil"/>
              <w:left w:val="nil"/>
              <w:bottom w:val="single" w:sz="4" w:space="0" w:color="auto"/>
              <w:right w:val="single" w:sz="4" w:space="0" w:color="auto"/>
            </w:tcBorders>
            <w:shd w:val="clear" w:color="000000" w:fill="FFFFFF"/>
            <w:vAlign w:val="center"/>
          </w:tcPr>
          <w:p w14:paraId="56D31BB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4 467 315,4</w:t>
            </w:r>
          </w:p>
        </w:tc>
        <w:tc>
          <w:tcPr>
            <w:tcW w:w="850" w:type="dxa"/>
            <w:tcBorders>
              <w:top w:val="nil"/>
              <w:left w:val="nil"/>
              <w:bottom w:val="single" w:sz="4" w:space="0" w:color="auto"/>
              <w:right w:val="single" w:sz="4" w:space="0" w:color="auto"/>
            </w:tcBorders>
            <w:shd w:val="clear" w:color="000000" w:fill="FFFFFF"/>
            <w:noWrap/>
            <w:vAlign w:val="center"/>
          </w:tcPr>
          <w:p w14:paraId="7BDB72C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CCE3B3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4 300 671,0</w:t>
            </w:r>
          </w:p>
        </w:tc>
        <w:tc>
          <w:tcPr>
            <w:tcW w:w="993" w:type="dxa"/>
            <w:tcBorders>
              <w:top w:val="nil"/>
              <w:left w:val="nil"/>
              <w:bottom w:val="single" w:sz="4" w:space="0" w:color="auto"/>
              <w:right w:val="single" w:sz="4" w:space="0" w:color="auto"/>
            </w:tcBorders>
            <w:shd w:val="clear" w:color="auto" w:fill="auto"/>
            <w:noWrap/>
            <w:vAlign w:val="center"/>
          </w:tcPr>
          <w:p w14:paraId="7EC1A1F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-166 644,4</w:t>
            </w:r>
          </w:p>
        </w:tc>
      </w:tr>
      <w:tr w:rsidR="00F3645B" w:rsidRPr="00F3645B" w14:paraId="758B854F" w14:textId="77777777" w:rsidTr="00545B6E">
        <w:trPr>
          <w:trHeight w:val="325"/>
        </w:trPr>
        <w:tc>
          <w:tcPr>
            <w:tcW w:w="421" w:type="dxa"/>
            <w:tcBorders>
              <w:top w:val="nil"/>
              <w:left w:val="single" w:sz="4" w:space="0" w:color="auto"/>
              <w:bottom w:val="single" w:sz="4" w:space="0" w:color="auto"/>
              <w:right w:val="single" w:sz="4" w:space="0" w:color="auto"/>
            </w:tcBorders>
            <w:shd w:val="clear" w:color="auto" w:fill="auto"/>
            <w:noWrap/>
          </w:tcPr>
          <w:p w14:paraId="1EC433A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67FF227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 Подпрограмма "Модернизация и развитие социального обслуживания граждан"</w:t>
            </w:r>
          </w:p>
        </w:tc>
        <w:tc>
          <w:tcPr>
            <w:tcW w:w="1105" w:type="dxa"/>
            <w:tcBorders>
              <w:top w:val="nil"/>
              <w:left w:val="nil"/>
              <w:bottom w:val="single" w:sz="4" w:space="0" w:color="auto"/>
              <w:right w:val="single" w:sz="4" w:space="0" w:color="auto"/>
            </w:tcBorders>
            <w:shd w:val="clear" w:color="auto" w:fill="auto"/>
            <w:vAlign w:val="center"/>
          </w:tcPr>
          <w:p w14:paraId="41D9953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3 420 855,6</w:t>
            </w:r>
          </w:p>
        </w:tc>
        <w:tc>
          <w:tcPr>
            <w:tcW w:w="1134" w:type="dxa"/>
            <w:tcBorders>
              <w:top w:val="nil"/>
              <w:left w:val="nil"/>
              <w:bottom w:val="single" w:sz="4" w:space="0" w:color="auto"/>
              <w:right w:val="single" w:sz="4" w:space="0" w:color="auto"/>
            </w:tcBorders>
            <w:shd w:val="clear" w:color="000000" w:fill="FFFFFF"/>
            <w:vAlign w:val="center"/>
          </w:tcPr>
          <w:p w14:paraId="533ED12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3 420 855,6</w:t>
            </w:r>
          </w:p>
        </w:tc>
        <w:tc>
          <w:tcPr>
            <w:tcW w:w="850" w:type="dxa"/>
            <w:tcBorders>
              <w:top w:val="nil"/>
              <w:left w:val="nil"/>
              <w:bottom w:val="single" w:sz="4" w:space="0" w:color="auto"/>
              <w:right w:val="single" w:sz="4" w:space="0" w:color="auto"/>
            </w:tcBorders>
            <w:shd w:val="clear" w:color="000000" w:fill="FFFFFF"/>
            <w:noWrap/>
            <w:vAlign w:val="center"/>
          </w:tcPr>
          <w:p w14:paraId="2BEA7B0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D7F1F7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3 418 996,2</w:t>
            </w:r>
          </w:p>
        </w:tc>
        <w:tc>
          <w:tcPr>
            <w:tcW w:w="993" w:type="dxa"/>
            <w:tcBorders>
              <w:top w:val="nil"/>
              <w:left w:val="nil"/>
              <w:bottom w:val="single" w:sz="4" w:space="0" w:color="auto"/>
              <w:right w:val="single" w:sz="4" w:space="0" w:color="auto"/>
            </w:tcBorders>
            <w:shd w:val="clear" w:color="auto" w:fill="auto"/>
            <w:noWrap/>
            <w:vAlign w:val="center"/>
          </w:tcPr>
          <w:p w14:paraId="70E753E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-1 859,4</w:t>
            </w:r>
          </w:p>
        </w:tc>
      </w:tr>
      <w:tr w:rsidR="00F3645B" w:rsidRPr="00F3645B" w14:paraId="4F491C81" w14:textId="77777777" w:rsidTr="00545B6E">
        <w:trPr>
          <w:trHeight w:val="374"/>
        </w:trPr>
        <w:tc>
          <w:tcPr>
            <w:tcW w:w="421" w:type="dxa"/>
            <w:tcBorders>
              <w:top w:val="nil"/>
              <w:left w:val="single" w:sz="4" w:space="0" w:color="auto"/>
              <w:bottom w:val="single" w:sz="4" w:space="0" w:color="auto"/>
              <w:right w:val="single" w:sz="4" w:space="0" w:color="auto"/>
            </w:tcBorders>
            <w:shd w:val="clear" w:color="auto" w:fill="auto"/>
            <w:noWrap/>
          </w:tcPr>
          <w:p w14:paraId="04861C3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7F52ED7"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"Совершенствование социальной поддержки семьи и детей"</w:t>
            </w:r>
          </w:p>
        </w:tc>
        <w:tc>
          <w:tcPr>
            <w:tcW w:w="1105" w:type="dxa"/>
            <w:tcBorders>
              <w:top w:val="nil"/>
              <w:left w:val="nil"/>
              <w:bottom w:val="single" w:sz="4" w:space="0" w:color="auto"/>
              <w:right w:val="single" w:sz="4" w:space="0" w:color="auto"/>
            </w:tcBorders>
            <w:shd w:val="clear" w:color="auto" w:fill="auto"/>
            <w:vAlign w:val="center"/>
          </w:tcPr>
          <w:p w14:paraId="0412C52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29 278 177,5</w:t>
            </w:r>
          </w:p>
        </w:tc>
        <w:tc>
          <w:tcPr>
            <w:tcW w:w="1134" w:type="dxa"/>
            <w:tcBorders>
              <w:top w:val="nil"/>
              <w:left w:val="nil"/>
              <w:bottom w:val="single" w:sz="4" w:space="0" w:color="auto"/>
              <w:right w:val="single" w:sz="4" w:space="0" w:color="auto"/>
            </w:tcBorders>
            <w:shd w:val="clear" w:color="000000" w:fill="FFFFFF"/>
            <w:vAlign w:val="center"/>
          </w:tcPr>
          <w:p w14:paraId="5F23055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29 278 177,5</w:t>
            </w:r>
          </w:p>
        </w:tc>
        <w:tc>
          <w:tcPr>
            <w:tcW w:w="850" w:type="dxa"/>
            <w:tcBorders>
              <w:top w:val="nil"/>
              <w:left w:val="nil"/>
              <w:bottom w:val="single" w:sz="4" w:space="0" w:color="auto"/>
              <w:right w:val="single" w:sz="4" w:space="0" w:color="auto"/>
            </w:tcBorders>
            <w:shd w:val="clear" w:color="000000" w:fill="FFFFFF"/>
            <w:noWrap/>
            <w:vAlign w:val="center"/>
          </w:tcPr>
          <w:p w14:paraId="5D91E5E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12E9BD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29 247 026,6</w:t>
            </w:r>
          </w:p>
        </w:tc>
        <w:tc>
          <w:tcPr>
            <w:tcW w:w="993" w:type="dxa"/>
            <w:tcBorders>
              <w:top w:val="nil"/>
              <w:left w:val="nil"/>
              <w:bottom w:val="single" w:sz="4" w:space="0" w:color="auto"/>
              <w:right w:val="single" w:sz="4" w:space="0" w:color="auto"/>
            </w:tcBorders>
            <w:shd w:val="clear" w:color="auto" w:fill="auto"/>
            <w:noWrap/>
            <w:vAlign w:val="center"/>
          </w:tcPr>
          <w:p w14:paraId="341CC89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-31 150,9</w:t>
            </w:r>
          </w:p>
        </w:tc>
      </w:tr>
      <w:tr w:rsidR="00F3645B" w:rsidRPr="00F3645B" w14:paraId="0F698855" w14:textId="77777777" w:rsidTr="00545B6E">
        <w:trPr>
          <w:trHeight w:val="279"/>
        </w:trPr>
        <w:tc>
          <w:tcPr>
            <w:tcW w:w="421" w:type="dxa"/>
            <w:tcBorders>
              <w:top w:val="nil"/>
              <w:left w:val="single" w:sz="4" w:space="0" w:color="auto"/>
              <w:bottom w:val="single" w:sz="4" w:space="0" w:color="auto"/>
              <w:right w:val="single" w:sz="4" w:space="0" w:color="auto"/>
            </w:tcBorders>
            <w:shd w:val="clear" w:color="auto" w:fill="auto"/>
            <w:noWrap/>
          </w:tcPr>
          <w:p w14:paraId="42D7692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CEA441A"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«Повышение эффективности государственной поддержки социально ориентированных некоммерческих организаций»</w:t>
            </w:r>
          </w:p>
        </w:tc>
        <w:tc>
          <w:tcPr>
            <w:tcW w:w="1105" w:type="dxa"/>
            <w:tcBorders>
              <w:top w:val="nil"/>
              <w:left w:val="nil"/>
              <w:bottom w:val="single" w:sz="4" w:space="0" w:color="auto"/>
              <w:right w:val="single" w:sz="4" w:space="0" w:color="auto"/>
            </w:tcBorders>
            <w:shd w:val="clear" w:color="auto" w:fill="auto"/>
            <w:vAlign w:val="center"/>
          </w:tcPr>
          <w:p w14:paraId="22437D1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25 183,6</w:t>
            </w:r>
          </w:p>
        </w:tc>
        <w:tc>
          <w:tcPr>
            <w:tcW w:w="1134" w:type="dxa"/>
            <w:tcBorders>
              <w:top w:val="nil"/>
              <w:left w:val="nil"/>
              <w:bottom w:val="single" w:sz="4" w:space="0" w:color="auto"/>
              <w:right w:val="single" w:sz="4" w:space="0" w:color="auto"/>
            </w:tcBorders>
            <w:shd w:val="clear" w:color="000000" w:fill="FFFFFF"/>
            <w:vAlign w:val="center"/>
          </w:tcPr>
          <w:p w14:paraId="1223184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25 183,6</w:t>
            </w:r>
          </w:p>
        </w:tc>
        <w:tc>
          <w:tcPr>
            <w:tcW w:w="850" w:type="dxa"/>
            <w:tcBorders>
              <w:top w:val="nil"/>
              <w:left w:val="nil"/>
              <w:bottom w:val="single" w:sz="4" w:space="0" w:color="auto"/>
              <w:right w:val="single" w:sz="4" w:space="0" w:color="auto"/>
            </w:tcBorders>
            <w:shd w:val="clear" w:color="000000" w:fill="FFFFFF"/>
            <w:noWrap/>
            <w:vAlign w:val="center"/>
          </w:tcPr>
          <w:p w14:paraId="676625D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4C78E9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25 183,6</w:t>
            </w:r>
          </w:p>
        </w:tc>
        <w:tc>
          <w:tcPr>
            <w:tcW w:w="993" w:type="dxa"/>
            <w:tcBorders>
              <w:top w:val="nil"/>
              <w:left w:val="nil"/>
              <w:bottom w:val="single" w:sz="4" w:space="0" w:color="auto"/>
              <w:right w:val="single" w:sz="4" w:space="0" w:color="auto"/>
            </w:tcBorders>
            <w:shd w:val="clear" w:color="auto" w:fill="auto"/>
            <w:noWrap/>
            <w:vAlign w:val="center"/>
          </w:tcPr>
          <w:p w14:paraId="06B601A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4680A009"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5E9FEE9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891A65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жилыми помещениями детей-сирот, детей, оставшихся без попечения родителей, лиц из числа детей-сирот и детей, оставшихся без попечения родителей»</w:t>
            </w:r>
          </w:p>
        </w:tc>
        <w:tc>
          <w:tcPr>
            <w:tcW w:w="1105" w:type="dxa"/>
            <w:tcBorders>
              <w:top w:val="nil"/>
              <w:left w:val="nil"/>
              <w:bottom w:val="single" w:sz="4" w:space="0" w:color="auto"/>
              <w:right w:val="single" w:sz="4" w:space="0" w:color="auto"/>
            </w:tcBorders>
            <w:shd w:val="clear" w:color="auto" w:fill="auto"/>
            <w:vAlign w:val="center"/>
          </w:tcPr>
          <w:p w14:paraId="46A674D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588 984,4</w:t>
            </w:r>
          </w:p>
        </w:tc>
        <w:tc>
          <w:tcPr>
            <w:tcW w:w="1134" w:type="dxa"/>
            <w:tcBorders>
              <w:top w:val="nil"/>
              <w:left w:val="nil"/>
              <w:bottom w:val="single" w:sz="4" w:space="0" w:color="auto"/>
              <w:right w:val="single" w:sz="4" w:space="0" w:color="auto"/>
            </w:tcBorders>
            <w:shd w:val="clear" w:color="000000" w:fill="FFFFFF"/>
            <w:vAlign w:val="center"/>
          </w:tcPr>
          <w:p w14:paraId="7ADD999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588 984,4</w:t>
            </w:r>
          </w:p>
        </w:tc>
        <w:tc>
          <w:tcPr>
            <w:tcW w:w="850" w:type="dxa"/>
            <w:tcBorders>
              <w:top w:val="nil"/>
              <w:left w:val="nil"/>
              <w:bottom w:val="single" w:sz="4" w:space="0" w:color="auto"/>
              <w:right w:val="single" w:sz="4" w:space="0" w:color="auto"/>
            </w:tcBorders>
            <w:shd w:val="clear" w:color="000000" w:fill="FFFFFF"/>
            <w:noWrap/>
            <w:vAlign w:val="center"/>
          </w:tcPr>
          <w:p w14:paraId="225A6A9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1B7B47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585 815,5</w:t>
            </w:r>
          </w:p>
        </w:tc>
        <w:tc>
          <w:tcPr>
            <w:tcW w:w="993" w:type="dxa"/>
            <w:tcBorders>
              <w:top w:val="nil"/>
              <w:left w:val="nil"/>
              <w:bottom w:val="single" w:sz="4" w:space="0" w:color="auto"/>
              <w:right w:val="single" w:sz="4" w:space="0" w:color="auto"/>
            </w:tcBorders>
            <w:shd w:val="clear" w:color="auto" w:fill="auto"/>
            <w:noWrap/>
            <w:vAlign w:val="center"/>
          </w:tcPr>
          <w:p w14:paraId="7F93070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-3 168,9</w:t>
            </w:r>
          </w:p>
        </w:tc>
      </w:tr>
      <w:tr w:rsidR="00F3645B" w:rsidRPr="00F3645B" w14:paraId="52616514" w14:textId="77777777" w:rsidTr="00545B6E">
        <w:trPr>
          <w:trHeight w:val="138"/>
        </w:trPr>
        <w:tc>
          <w:tcPr>
            <w:tcW w:w="421" w:type="dxa"/>
            <w:tcBorders>
              <w:top w:val="nil"/>
              <w:left w:val="single" w:sz="4" w:space="0" w:color="auto"/>
              <w:bottom w:val="single" w:sz="4" w:space="0" w:color="auto"/>
              <w:right w:val="single" w:sz="4" w:space="0" w:color="auto"/>
            </w:tcBorders>
            <w:shd w:val="clear" w:color="auto" w:fill="auto"/>
            <w:noWrap/>
          </w:tcPr>
          <w:p w14:paraId="4F884E9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20</w:t>
            </w:r>
          </w:p>
        </w:tc>
        <w:tc>
          <w:tcPr>
            <w:tcW w:w="3827" w:type="dxa"/>
            <w:tcBorders>
              <w:top w:val="nil"/>
              <w:left w:val="nil"/>
              <w:bottom w:val="single" w:sz="4" w:space="0" w:color="auto"/>
              <w:right w:val="single" w:sz="4" w:space="0" w:color="auto"/>
            </w:tcBorders>
            <w:shd w:val="clear" w:color="auto" w:fill="auto"/>
          </w:tcPr>
          <w:p w14:paraId="3B3CB29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«Содействие занятости населения»</w:t>
            </w:r>
          </w:p>
        </w:tc>
        <w:tc>
          <w:tcPr>
            <w:tcW w:w="1105" w:type="dxa"/>
            <w:tcBorders>
              <w:top w:val="nil"/>
              <w:left w:val="nil"/>
              <w:bottom w:val="single" w:sz="4" w:space="0" w:color="auto"/>
              <w:right w:val="single" w:sz="4" w:space="0" w:color="auto"/>
            </w:tcBorders>
            <w:shd w:val="clear" w:color="auto" w:fill="auto"/>
            <w:vAlign w:val="center"/>
          </w:tcPr>
          <w:p w14:paraId="229CA86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1 380 679,3</w:t>
            </w:r>
          </w:p>
        </w:tc>
        <w:tc>
          <w:tcPr>
            <w:tcW w:w="1134" w:type="dxa"/>
            <w:tcBorders>
              <w:top w:val="nil"/>
              <w:left w:val="nil"/>
              <w:bottom w:val="single" w:sz="4" w:space="0" w:color="auto"/>
              <w:right w:val="single" w:sz="4" w:space="0" w:color="auto"/>
            </w:tcBorders>
            <w:shd w:val="clear" w:color="000000" w:fill="FFFFFF"/>
            <w:vAlign w:val="center"/>
          </w:tcPr>
          <w:p w14:paraId="6EF5EEF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1 380 679,3</w:t>
            </w:r>
          </w:p>
        </w:tc>
        <w:tc>
          <w:tcPr>
            <w:tcW w:w="850" w:type="dxa"/>
            <w:tcBorders>
              <w:top w:val="nil"/>
              <w:left w:val="nil"/>
              <w:bottom w:val="single" w:sz="4" w:space="0" w:color="auto"/>
              <w:right w:val="single" w:sz="4" w:space="0" w:color="auto"/>
            </w:tcBorders>
            <w:shd w:val="clear" w:color="000000" w:fill="FFFFFF"/>
            <w:noWrap/>
            <w:vAlign w:val="center"/>
          </w:tcPr>
          <w:p w14:paraId="6BDDF26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CA9C79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1 379 888,0</w:t>
            </w:r>
          </w:p>
        </w:tc>
        <w:tc>
          <w:tcPr>
            <w:tcW w:w="993" w:type="dxa"/>
            <w:tcBorders>
              <w:top w:val="nil"/>
              <w:left w:val="nil"/>
              <w:bottom w:val="single" w:sz="4" w:space="0" w:color="auto"/>
              <w:right w:val="single" w:sz="4" w:space="0" w:color="auto"/>
            </w:tcBorders>
            <w:shd w:val="clear" w:color="auto" w:fill="auto"/>
            <w:noWrap/>
            <w:vAlign w:val="center"/>
          </w:tcPr>
          <w:p w14:paraId="585BBCA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-791,3</w:t>
            </w:r>
          </w:p>
        </w:tc>
      </w:tr>
      <w:tr w:rsidR="00F3645B" w:rsidRPr="00F3645B" w14:paraId="4BE12B8B" w14:textId="77777777" w:rsidTr="00545B6E">
        <w:trPr>
          <w:trHeight w:val="135"/>
        </w:trPr>
        <w:tc>
          <w:tcPr>
            <w:tcW w:w="421" w:type="dxa"/>
            <w:tcBorders>
              <w:top w:val="nil"/>
              <w:left w:val="single" w:sz="4" w:space="0" w:color="auto"/>
              <w:bottom w:val="single" w:sz="4" w:space="0" w:color="auto"/>
              <w:right w:val="single" w:sz="4" w:space="0" w:color="auto"/>
            </w:tcBorders>
            <w:shd w:val="clear" w:color="auto" w:fill="auto"/>
            <w:noWrap/>
          </w:tcPr>
          <w:p w14:paraId="7D6F874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AA4C46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Подпрограмма «Активная политика занятости населения и социальная поддержка безработных </w:t>
            </w:r>
            <w:r w:rsidRPr="00F3645B">
              <w:rPr>
                <w:rFonts w:ascii="Times New Roman" w:eastAsia="Times New Roman" w:hAnsi="Times New Roman" w:cs="Times New Roman"/>
                <w:color w:val="000000"/>
                <w:sz w:val="16"/>
                <w:szCs w:val="16"/>
                <w:lang w:eastAsia="ru-RU"/>
              </w:rPr>
              <w:lastRenderedPageBreak/>
              <w:t>граждан»</w:t>
            </w:r>
          </w:p>
        </w:tc>
        <w:tc>
          <w:tcPr>
            <w:tcW w:w="1105" w:type="dxa"/>
            <w:tcBorders>
              <w:top w:val="nil"/>
              <w:left w:val="nil"/>
              <w:bottom w:val="single" w:sz="4" w:space="0" w:color="auto"/>
              <w:right w:val="single" w:sz="4" w:space="0" w:color="auto"/>
            </w:tcBorders>
            <w:shd w:val="clear" w:color="auto" w:fill="auto"/>
            <w:vAlign w:val="center"/>
          </w:tcPr>
          <w:p w14:paraId="5E0F333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lastRenderedPageBreak/>
              <w:t>1 379 929,3</w:t>
            </w:r>
          </w:p>
        </w:tc>
        <w:tc>
          <w:tcPr>
            <w:tcW w:w="1134" w:type="dxa"/>
            <w:tcBorders>
              <w:top w:val="nil"/>
              <w:left w:val="nil"/>
              <w:bottom w:val="single" w:sz="4" w:space="0" w:color="auto"/>
              <w:right w:val="single" w:sz="4" w:space="0" w:color="auto"/>
            </w:tcBorders>
            <w:shd w:val="clear" w:color="000000" w:fill="FFFFFF"/>
            <w:vAlign w:val="center"/>
          </w:tcPr>
          <w:p w14:paraId="082D1E6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1 379 929,3</w:t>
            </w:r>
          </w:p>
        </w:tc>
        <w:tc>
          <w:tcPr>
            <w:tcW w:w="850" w:type="dxa"/>
            <w:tcBorders>
              <w:top w:val="nil"/>
              <w:left w:val="nil"/>
              <w:bottom w:val="single" w:sz="4" w:space="0" w:color="auto"/>
              <w:right w:val="single" w:sz="4" w:space="0" w:color="auto"/>
            </w:tcBorders>
            <w:shd w:val="clear" w:color="000000" w:fill="FFFFFF"/>
            <w:noWrap/>
            <w:vAlign w:val="center"/>
          </w:tcPr>
          <w:p w14:paraId="45F4F3B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136B58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1 379 138,0</w:t>
            </w:r>
          </w:p>
        </w:tc>
        <w:tc>
          <w:tcPr>
            <w:tcW w:w="993" w:type="dxa"/>
            <w:tcBorders>
              <w:top w:val="nil"/>
              <w:left w:val="nil"/>
              <w:bottom w:val="single" w:sz="4" w:space="0" w:color="auto"/>
              <w:right w:val="single" w:sz="4" w:space="0" w:color="auto"/>
            </w:tcBorders>
            <w:shd w:val="clear" w:color="auto" w:fill="auto"/>
            <w:noWrap/>
            <w:vAlign w:val="center"/>
          </w:tcPr>
          <w:p w14:paraId="0ADFEF0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-791,3</w:t>
            </w:r>
          </w:p>
        </w:tc>
      </w:tr>
      <w:tr w:rsidR="00F3645B" w:rsidRPr="00F3645B" w14:paraId="33D435A9"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18504B1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B5D71CB" w14:textId="4F191CBF"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Подпрограмма </w:t>
            </w:r>
            <w:r w:rsidR="00B247CA">
              <w:rPr>
                <w:rFonts w:ascii="Times New Roman" w:eastAsia="Times New Roman" w:hAnsi="Times New Roman" w:cs="Times New Roman"/>
                <w:color w:val="000000"/>
                <w:sz w:val="16"/>
                <w:szCs w:val="16"/>
                <w:lang w:eastAsia="ru-RU"/>
              </w:rPr>
              <w:t>«</w:t>
            </w:r>
            <w:r w:rsidRPr="00F3645B">
              <w:rPr>
                <w:rFonts w:ascii="Times New Roman" w:eastAsia="Times New Roman" w:hAnsi="Times New Roman" w:cs="Times New Roman"/>
                <w:color w:val="000000"/>
                <w:sz w:val="16"/>
                <w:szCs w:val="16"/>
                <w:lang w:eastAsia="ru-RU"/>
              </w:rPr>
              <w:t>Сопровождение инвалидов молодого возраста при получении ими профессионального образования и содействия в последующем трудоустройстве</w:t>
            </w:r>
            <w:r w:rsidR="00B247CA">
              <w:rPr>
                <w:rFonts w:ascii="Times New Roman" w:eastAsia="Times New Roman" w:hAnsi="Times New Roman" w:cs="Times New Roman"/>
                <w:color w:val="000000"/>
                <w:sz w:val="16"/>
                <w:szCs w:val="16"/>
                <w:lang w:eastAsia="ru-RU"/>
              </w:rPr>
              <w:t>»</w:t>
            </w:r>
          </w:p>
        </w:tc>
        <w:tc>
          <w:tcPr>
            <w:tcW w:w="1105" w:type="dxa"/>
            <w:tcBorders>
              <w:top w:val="nil"/>
              <w:left w:val="nil"/>
              <w:bottom w:val="single" w:sz="4" w:space="0" w:color="auto"/>
              <w:right w:val="single" w:sz="4" w:space="0" w:color="auto"/>
            </w:tcBorders>
            <w:shd w:val="clear" w:color="auto" w:fill="auto"/>
            <w:vAlign w:val="center"/>
          </w:tcPr>
          <w:p w14:paraId="2AE35AA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750,0</w:t>
            </w:r>
          </w:p>
        </w:tc>
        <w:tc>
          <w:tcPr>
            <w:tcW w:w="1134" w:type="dxa"/>
            <w:tcBorders>
              <w:top w:val="nil"/>
              <w:left w:val="nil"/>
              <w:bottom w:val="single" w:sz="4" w:space="0" w:color="auto"/>
              <w:right w:val="single" w:sz="4" w:space="0" w:color="auto"/>
            </w:tcBorders>
            <w:shd w:val="clear" w:color="000000" w:fill="FFFFFF"/>
            <w:vAlign w:val="center"/>
          </w:tcPr>
          <w:p w14:paraId="6F1A883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750,0</w:t>
            </w:r>
          </w:p>
        </w:tc>
        <w:tc>
          <w:tcPr>
            <w:tcW w:w="850" w:type="dxa"/>
            <w:tcBorders>
              <w:top w:val="nil"/>
              <w:left w:val="nil"/>
              <w:bottom w:val="single" w:sz="4" w:space="0" w:color="auto"/>
              <w:right w:val="single" w:sz="4" w:space="0" w:color="auto"/>
            </w:tcBorders>
            <w:shd w:val="clear" w:color="000000" w:fill="FFFFFF"/>
            <w:noWrap/>
            <w:vAlign w:val="center"/>
          </w:tcPr>
          <w:p w14:paraId="67E7CED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2F6DE8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750,0</w:t>
            </w:r>
          </w:p>
        </w:tc>
        <w:tc>
          <w:tcPr>
            <w:tcW w:w="993" w:type="dxa"/>
            <w:tcBorders>
              <w:top w:val="nil"/>
              <w:left w:val="nil"/>
              <w:bottom w:val="single" w:sz="4" w:space="0" w:color="auto"/>
              <w:right w:val="single" w:sz="4" w:space="0" w:color="auto"/>
            </w:tcBorders>
            <w:shd w:val="clear" w:color="auto" w:fill="auto"/>
            <w:noWrap/>
            <w:vAlign w:val="center"/>
          </w:tcPr>
          <w:p w14:paraId="13C2D0E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64E3973A" w14:textId="77777777" w:rsidTr="00545B6E">
        <w:trPr>
          <w:trHeight w:val="291"/>
        </w:trPr>
        <w:tc>
          <w:tcPr>
            <w:tcW w:w="421" w:type="dxa"/>
            <w:tcBorders>
              <w:top w:val="nil"/>
              <w:left w:val="single" w:sz="4" w:space="0" w:color="auto"/>
              <w:bottom w:val="single" w:sz="4" w:space="0" w:color="auto"/>
              <w:right w:val="single" w:sz="4" w:space="0" w:color="auto"/>
            </w:tcBorders>
            <w:shd w:val="clear" w:color="auto" w:fill="auto"/>
            <w:noWrap/>
          </w:tcPr>
          <w:p w14:paraId="6F1B59C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21</w:t>
            </w:r>
          </w:p>
        </w:tc>
        <w:tc>
          <w:tcPr>
            <w:tcW w:w="3827" w:type="dxa"/>
            <w:tcBorders>
              <w:top w:val="nil"/>
              <w:left w:val="nil"/>
              <w:bottom w:val="single" w:sz="4" w:space="0" w:color="auto"/>
              <w:right w:val="single" w:sz="4" w:space="0" w:color="auto"/>
            </w:tcBorders>
            <w:shd w:val="clear" w:color="000000" w:fill="FFFFFF"/>
          </w:tcPr>
          <w:p w14:paraId="075008C7"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физической культуры и спорта в Республике Дагестан»</w:t>
            </w:r>
          </w:p>
        </w:tc>
        <w:tc>
          <w:tcPr>
            <w:tcW w:w="1105" w:type="dxa"/>
            <w:tcBorders>
              <w:top w:val="nil"/>
              <w:left w:val="nil"/>
              <w:bottom w:val="single" w:sz="4" w:space="0" w:color="auto"/>
              <w:right w:val="single" w:sz="4" w:space="0" w:color="auto"/>
            </w:tcBorders>
            <w:shd w:val="clear" w:color="000000" w:fill="FFFFFF"/>
            <w:vAlign w:val="center"/>
          </w:tcPr>
          <w:p w14:paraId="246D79E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2 684 187,2</w:t>
            </w:r>
          </w:p>
        </w:tc>
        <w:tc>
          <w:tcPr>
            <w:tcW w:w="1134" w:type="dxa"/>
            <w:tcBorders>
              <w:top w:val="nil"/>
              <w:left w:val="nil"/>
              <w:bottom w:val="single" w:sz="4" w:space="0" w:color="auto"/>
              <w:right w:val="single" w:sz="4" w:space="0" w:color="auto"/>
            </w:tcBorders>
            <w:shd w:val="clear" w:color="000000" w:fill="FFFFFF"/>
            <w:vAlign w:val="center"/>
          </w:tcPr>
          <w:p w14:paraId="16EA9B4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2 684 187,2</w:t>
            </w:r>
          </w:p>
        </w:tc>
        <w:tc>
          <w:tcPr>
            <w:tcW w:w="850" w:type="dxa"/>
            <w:tcBorders>
              <w:top w:val="nil"/>
              <w:left w:val="nil"/>
              <w:bottom w:val="single" w:sz="4" w:space="0" w:color="auto"/>
              <w:right w:val="single" w:sz="4" w:space="0" w:color="auto"/>
            </w:tcBorders>
            <w:shd w:val="clear" w:color="000000" w:fill="FFFFFF"/>
            <w:noWrap/>
            <w:vAlign w:val="center"/>
          </w:tcPr>
          <w:p w14:paraId="41542FD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5BC094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2 461 882,6</w:t>
            </w:r>
          </w:p>
        </w:tc>
        <w:tc>
          <w:tcPr>
            <w:tcW w:w="993" w:type="dxa"/>
            <w:tcBorders>
              <w:top w:val="nil"/>
              <w:left w:val="nil"/>
              <w:bottom w:val="single" w:sz="4" w:space="0" w:color="auto"/>
              <w:right w:val="single" w:sz="4" w:space="0" w:color="auto"/>
            </w:tcBorders>
            <w:shd w:val="clear" w:color="auto" w:fill="auto"/>
            <w:noWrap/>
            <w:vAlign w:val="center"/>
          </w:tcPr>
          <w:p w14:paraId="29BD794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-222 304,6</w:t>
            </w:r>
          </w:p>
        </w:tc>
      </w:tr>
      <w:tr w:rsidR="00F3645B" w:rsidRPr="00F3645B" w14:paraId="0A929C93" w14:textId="77777777" w:rsidTr="00545B6E">
        <w:trPr>
          <w:trHeight w:val="328"/>
        </w:trPr>
        <w:tc>
          <w:tcPr>
            <w:tcW w:w="421" w:type="dxa"/>
            <w:tcBorders>
              <w:top w:val="nil"/>
              <w:left w:val="single" w:sz="4" w:space="0" w:color="auto"/>
              <w:bottom w:val="single" w:sz="4" w:space="0" w:color="auto"/>
              <w:right w:val="single" w:sz="4" w:space="0" w:color="auto"/>
            </w:tcBorders>
            <w:shd w:val="clear" w:color="auto" w:fill="auto"/>
            <w:noWrap/>
          </w:tcPr>
          <w:p w14:paraId="0A2D698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B35671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физической культуры и массового спорта»</w:t>
            </w:r>
          </w:p>
        </w:tc>
        <w:tc>
          <w:tcPr>
            <w:tcW w:w="1105" w:type="dxa"/>
            <w:tcBorders>
              <w:top w:val="nil"/>
              <w:left w:val="nil"/>
              <w:bottom w:val="single" w:sz="4" w:space="0" w:color="auto"/>
              <w:right w:val="single" w:sz="4" w:space="0" w:color="auto"/>
            </w:tcBorders>
            <w:shd w:val="clear" w:color="auto" w:fill="auto"/>
            <w:vAlign w:val="center"/>
          </w:tcPr>
          <w:p w14:paraId="1AC1709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661 035,5</w:t>
            </w:r>
          </w:p>
        </w:tc>
        <w:tc>
          <w:tcPr>
            <w:tcW w:w="1134" w:type="dxa"/>
            <w:tcBorders>
              <w:top w:val="nil"/>
              <w:left w:val="nil"/>
              <w:bottom w:val="single" w:sz="4" w:space="0" w:color="auto"/>
              <w:right w:val="single" w:sz="4" w:space="0" w:color="auto"/>
            </w:tcBorders>
            <w:shd w:val="clear" w:color="000000" w:fill="FFFFFF"/>
            <w:vAlign w:val="center"/>
          </w:tcPr>
          <w:p w14:paraId="0A084AE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661 035,5</w:t>
            </w:r>
          </w:p>
        </w:tc>
        <w:tc>
          <w:tcPr>
            <w:tcW w:w="850" w:type="dxa"/>
            <w:tcBorders>
              <w:top w:val="nil"/>
              <w:left w:val="nil"/>
              <w:bottom w:val="single" w:sz="4" w:space="0" w:color="auto"/>
              <w:right w:val="single" w:sz="4" w:space="0" w:color="auto"/>
            </w:tcBorders>
            <w:shd w:val="clear" w:color="000000" w:fill="FFFFFF"/>
            <w:noWrap/>
            <w:vAlign w:val="center"/>
          </w:tcPr>
          <w:p w14:paraId="7B2DA2A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0C4F53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640 298,9</w:t>
            </w:r>
          </w:p>
        </w:tc>
        <w:tc>
          <w:tcPr>
            <w:tcW w:w="993" w:type="dxa"/>
            <w:tcBorders>
              <w:top w:val="nil"/>
              <w:left w:val="nil"/>
              <w:bottom w:val="single" w:sz="4" w:space="0" w:color="auto"/>
              <w:right w:val="single" w:sz="4" w:space="0" w:color="auto"/>
            </w:tcBorders>
            <w:shd w:val="clear" w:color="auto" w:fill="auto"/>
            <w:noWrap/>
            <w:vAlign w:val="center"/>
          </w:tcPr>
          <w:p w14:paraId="3F00539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-20 736,6</w:t>
            </w:r>
          </w:p>
        </w:tc>
      </w:tr>
      <w:tr w:rsidR="00F3645B" w:rsidRPr="00F3645B" w14:paraId="418F5803" w14:textId="77777777" w:rsidTr="00545B6E">
        <w:trPr>
          <w:trHeight w:val="321"/>
        </w:trPr>
        <w:tc>
          <w:tcPr>
            <w:tcW w:w="421" w:type="dxa"/>
            <w:tcBorders>
              <w:top w:val="nil"/>
              <w:left w:val="single" w:sz="4" w:space="0" w:color="auto"/>
              <w:bottom w:val="single" w:sz="4" w:space="0" w:color="auto"/>
              <w:right w:val="single" w:sz="4" w:space="0" w:color="auto"/>
            </w:tcBorders>
            <w:shd w:val="clear" w:color="auto" w:fill="auto"/>
            <w:noWrap/>
          </w:tcPr>
          <w:p w14:paraId="358D5E0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B5D66A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спорта высших достижений и системы подготовки спортивного резерва»</w:t>
            </w:r>
          </w:p>
        </w:tc>
        <w:tc>
          <w:tcPr>
            <w:tcW w:w="1105" w:type="dxa"/>
            <w:tcBorders>
              <w:top w:val="nil"/>
              <w:left w:val="nil"/>
              <w:bottom w:val="single" w:sz="4" w:space="0" w:color="auto"/>
              <w:right w:val="single" w:sz="4" w:space="0" w:color="auto"/>
            </w:tcBorders>
            <w:shd w:val="clear" w:color="auto" w:fill="auto"/>
            <w:vAlign w:val="center"/>
          </w:tcPr>
          <w:p w14:paraId="1938A17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1 291 913,9</w:t>
            </w:r>
          </w:p>
        </w:tc>
        <w:tc>
          <w:tcPr>
            <w:tcW w:w="1134" w:type="dxa"/>
            <w:tcBorders>
              <w:top w:val="nil"/>
              <w:left w:val="nil"/>
              <w:bottom w:val="single" w:sz="4" w:space="0" w:color="auto"/>
              <w:right w:val="single" w:sz="4" w:space="0" w:color="auto"/>
            </w:tcBorders>
            <w:shd w:val="clear" w:color="000000" w:fill="FFFFFF"/>
            <w:vAlign w:val="center"/>
          </w:tcPr>
          <w:p w14:paraId="2C960E1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1 291 913,9</w:t>
            </w:r>
          </w:p>
        </w:tc>
        <w:tc>
          <w:tcPr>
            <w:tcW w:w="850" w:type="dxa"/>
            <w:tcBorders>
              <w:top w:val="nil"/>
              <w:left w:val="nil"/>
              <w:bottom w:val="single" w:sz="4" w:space="0" w:color="auto"/>
              <w:right w:val="single" w:sz="4" w:space="0" w:color="auto"/>
            </w:tcBorders>
            <w:shd w:val="clear" w:color="000000" w:fill="FFFFFF"/>
            <w:noWrap/>
            <w:vAlign w:val="center"/>
          </w:tcPr>
          <w:p w14:paraId="13A68DD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79C985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1 231 626,0</w:t>
            </w:r>
          </w:p>
        </w:tc>
        <w:tc>
          <w:tcPr>
            <w:tcW w:w="993" w:type="dxa"/>
            <w:tcBorders>
              <w:top w:val="nil"/>
              <w:left w:val="nil"/>
              <w:bottom w:val="single" w:sz="4" w:space="0" w:color="auto"/>
              <w:right w:val="single" w:sz="4" w:space="0" w:color="auto"/>
            </w:tcBorders>
            <w:shd w:val="clear" w:color="auto" w:fill="auto"/>
            <w:noWrap/>
            <w:vAlign w:val="center"/>
          </w:tcPr>
          <w:p w14:paraId="4D8D51F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-60 287,9</w:t>
            </w:r>
          </w:p>
        </w:tc>
      </w:tr>
      <w:tr w:rsidR="00F3645B" w:rsidRPr="00F3645B" w14:paraId="0B20CB3D" w14:textId="77777777" w:rsidTr="00545B6E">
        <w:trPr>
          <w:trHeight w:val="281"/>
        </w:trPr>
        <w:tc>
          <w:tcPr>
            <w:tcW w:w="421" w:type="dxa"/>
            <w:tcBorders>
              <w:top w:val="nil"/>
              <w:left w:val="single" w:sz="4" w:space="0" w:color="auto"/>
              <w:bottom w:val="single" w:sz="4" w:space="0" w:color="auto"/>
              <w:right w:val="single" w:sz="4" w:space="0" w:color="auto"/>
            </w:tcBorders>
            <w:shd w:val="clear" w:color="auto" w:fill="auto"/>
            <w:noWrap/>
          </w:tcPr>
          <w:p w14:paraId="333043A8"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DA0525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«Подготовка дагестанских спортсменов к XXXII летним Олимпийским и летним Паралимпийским играм 2021 года в г. Токио (Япония); летним Сурдлимпийским играм 2021 года»</w:t>
            </w:r>
          </w:p>
        </w:tc>
        <w:tc>
          <w:tcPr>
            <w:tcW w:w="1105" w:type="dxa"/>
            <w:tcBorders>
              <w:top w:val="nil"/>
              <w:left w:val="nil"/>
              <w:bottom w:val="single" w:sz="4" w:space="0" w:color="auto"/>
              <w:right w:val="single" w:sz="4" w:space="0" w:color="auto"/>
            </w:tcBorders>
            <w:shd w:val="clear" w:color="auto" w:fill="auto"/>
            <w:vAlign w:val="center"/>
          </w:tcPr>
          <w:p w14:paraId="6A83599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5 513,6</w:t>
            </w:r>
          </w:p>
        </w:tc>
        <w:tc>
          <w:tcPr>
            <w:tcW w:w="1134" w:type="dxa"/>
            <w:tcBorders>
              <w:top w:val="nil"/>
              <w:left w:val="nil"/>
              <w:bottom w:val="single" w:sz="4" w:space="0" w:color="auto"/>
              <w:right w:val="single" w:sz="4" w:space="0" w:color="auto"/>
            </w:tcBorders>
            <w:shd w:val="clear" w:color="000000" w:fill="FFFFFF"/>
            <w:vAlign w:val="center"/>
          </w:tcPr>
          <w:p w14:paraId="4C1130C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5 513,6</w:t>
            </w:r>
          </w:p>
        </w:tc>
        <w:tc>
          <w:tcPr>
            <w:tcW w:w="850" w:type="dxa"/>
            <w:tcBorders>
              <w:top w:val="nil"/>
              <w:left w:val="nil"/>
              <w:bottom w:val="single" w:sz="4" w:space="0" w:color="auto"/>
              <w:right w:val="single" w:sz="4" w:space="0" w:color="auto"/>
            </w:tcBorders>
            <w:shd w:val="clear" w:color="000000" w:fill="FFFFFF"/>
            <w:noWrap/>
            <w:vAlign w:val="center"/>
          </w:tcPr>
          <w:p w14:paraId="4A8A09B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CA41BE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2 639,1</w:t>
            </w:r>
          </w:p>
        </w:tc>
        <w:tc>
          <w:tcPr>
            <w:tcW w:w="993" w:type="dxa"/>
            <w:tcBorders>
              <w:top w:val="nil"/>
              <w:left w:val="nil"/>
              <w:bottom w:val="single" w:sz="4" w:space="0" w:color="auto"/>
              <w:right w:val="single" w:sz="4" w:space="0" w:color="auto"/>
            </w:tcBorders>
            <w:shd w:val="clear" w:color="auto" w:fill="auto"/>
            <w:noWrap/>
            <w:vAlign w:val="center"/>
          </w:tcPr>
          <w:p w14:paraId="2ED060D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-2 874,5</w:t>
            </w:r>
          </w:p>
        </w:tc>
      </w:tr>
      <w:tr w:rsidR="00F3645B" w:rsidRPr="00F3645B" w14:paraId="48C34B53" w14:textId="77777777" w:rsidTr="00545B6E">
        <w:trPr>
          <w:trHeight w:val="145"/>
        </w:trPr>
        <w:tc>
          <w:tcPr>
            <w:tcW w:w="421" w:type="dxa"/>
            <w:tcBorders>
              <w:top w:val="nil"/>
              <w:left w:val="single" w:sz="4" w:space="0" w:color="auto"/>
              <w:bottom w:val="single" w:sz="4" w:space="0" w:color="auto"/>
              <w:right w:val="single" w:sz="4" w:space="0" w:color="auto"/>
            </w:tcBorders>
            <w:shd w:val="clear" w:color="auto" w:fill="auto"/>
            <w:noWrap/>
          </w:tcPr>
          <w:p w14:paraId="0421AB8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ABEB8C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футбола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21C4915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121 634,0</w:t>
            </w:r>
          </w:p>
        </w:tc>
        <w:tc>
          <w:tcPr>
            <w:tcW w:w="1134" w:type="dxa"/>
            <w:tcBorders>
              <w:top w:val="nil"/>
              <w:left w:val="nil"/>
              <w:bottom w:val="single" w:sz="4" w:space="0" w:color="auto"/>
              <w:right w:val="single" w:sz="4" w:space="0" w:color="auto"/>
            </w:tcBorders>
            <w:shd w:val="clear" w:color="000000" w:fill="FFFFFF"/>
            <w:vAlign w:val="center"/>
          </w:tcPr>
          <w:p w14:paraId="0D08ED5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121 634,0</w:t>
            </w:r>
          </w:p>
        </w:tc>
        <w:tc>
          <w:tcPr>
            <w:tcW w:w="850" w:type="dxa"/>
            <w:tcBorders>
              <w:top w:val="nil"/>
              <w:left w:val="nil"/>
              <w:bottom w:val="single" w:sz="4" w:space="0" w:color="auto"/>
              <w:right w:val="single" w:sz="4" w:space="0" w:color="auto"/>
            </w:tcBorders>
            <w:shd w:val="clear" w:color="000000" w:fill="FFFFFF"/>
            <w:noWrap/>
            <w:vAlign w:val="center"/>
          </w:tcPr>
          <w:p w14:paraId="2A8696B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85108C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106 126,8</w:t>
            </w:r>
          </w:p>
        </w:tc>
        <w:tc>
          <w:tcPr>
            <w:tcW w:w="993" w:type="dxa"/>
            <w:tcBorders>
              <w:top w:val="nil"/>
              <w:left w:val="nil"/>
              <w:bottom w:val="single" w:sz="4" w:space="0" w:color="auto"/>
              <w:right w:val="single" w:sz="4" w:space="0" w:color="auto"/>
            </w:tcBorders>
            <w:shd w:val="clear" w:color="auto" w:fill="auto"/>
            <w:noWrap/>
            <w:vAlign w:val="center"/>
          </w:tcPr>
          <w:p w14:paraId="27CB994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-15 507,2</w:t>
            </w:r>
          </w:p>
        </w:tc>
      </w:tr>
      <w:tr w:rsidR="00F3645B" w:rsidRPr="00F3645B" w14:paraId="14216E16" w14:textId="77777777" w:rsidTr="00545B6E">
        <w:trPr>
          <w:trHeight w:val="287"/>
        </w:trPr>
        <w:tc>
          <w:tcPr>
            <w:tcW w:w="421" w:type="dxa"/>
            <w:tcBorders>
              <w:top w:val="nil"/>
              <w:left w:val="single" w:sz="4" w:space="0" w:color="auto"/>
              <w:bottom w:val="single" w:sz="4" w:space="0" w:color="auto"/>
              <w:right w:val="single" w:sz="4" w:space="0" w:color="auto"/>
            </w:tcBorders>
            <w:shd w:val="clear" w:color="auto" w:fill="auto"/>
            <w:noWrap/>
          </w:tcPr>
          <w:p w14:paraId="072D7A8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6C282E7"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инвалидного спорта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1F24CD6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32 635,9</w:t>
            </w:r>
          </w:p>
        </w:tc>
        <w:tc>
          <w:tcPr>
            <w:tcW w:w="1134" w:type="dxa"/>
            <w:tcBorders>
              <w:top w:val="nil"/>
              <w:left w:val="nil"/>
              <w:bottom w:val="single" w:sz="4" w:space="0" w:color="auto"/>
              <w:right w:val="single" w:sz="4" w:space="0" w:color="auto"/>
            </w:tcBorders>
            <w:shd w:val="clear" w:color="000000" w:fill="FFFFFF"/>
            <w:vAlign w:val="center"/>
          </w:tcPr>
          <w:p w14:paraId="61E8E16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32 635,9</w:t>
            </w:r>
          </w:p>
        </w:tc>
        <w:tc>
          <w:tcPr>
            <w:tcW w:w="850" w:type="dxa"/>
            <w:tcBorders>
              <w:top w:val="nil"/>
              <w:left w:val="nil"/>
              <w:bottom w:val="single" w:sz="4" w:space="0" w:color="auto"/>
              <w:right w:val="single" w:sz="4" w:space="0" w:color="auto"/>
            </w:tcBorders>
            <w:shd w:val="clear" w:color="000000" w:fill="FFFFFF"/>
            <w:noWrap/>
            <w:vAlign w:val="center"/>
          </w:tcPr>
          <w:p w14:paraId="3E1CF9D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8A9DF3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32 635,8</w:t>
            </w:r>
          </w:p>
        </w:tc>
        <w:tc>
          <w:tcPr>
            <w:tcW w:w="993" w:type="dxa"/>
            <w:tcBorders>
              <w:top w:val="nil"/>
              <w:left w:val="nil"/>
              <w:bottom w:val="single" w:sz="4" w:space="0" w:color="auto"/>
              <w:right w:val="single" w:sz="4" w:space="0" w:color="auto"/>
            </w:tcBorders>
            <w:shd w:val="clear" w:color="auto" w:fill="auto"/>
            <w:noWrap/>
            <w:vAlign w:val="center"/>
          </w:tcPr>
          <w:p w14:paraId="27E4EB3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48AD63A0" w14:textId="77777777" w:rsidTr="00545B6E">
        <w:trPr>
          <w:trHeight w:val="336"/>
        </w:trPr>
        <w:tc>
          <w:tcPr>
            <w:tcW w:w="421" w:type="dxa"/>
            <w:tcBorders>
              <w:top w:val="nil"/>
              <w:left w:val="single" w:sz="4" w:space="0" w:color="auto"/>
              <w:bottom w:val="single" w:sz="4" w:space="0" w:color="auto"/>
              <w:right w:val="single" w:sz="4" w:space="0" w:color="auto"/>
            </w:tcBorders>
            <w:shd w:val="clear" w:color="auto" w:fill="auto"/>
            <w:noWrap/>
          </w:tcPr>
          <w:p w14:paraId="6188FD2F"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F65E0F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управления физической культурой и спортом»</w:t>
            </w:r>
          </w:p>
        </w:tc>
        <w:tc>
          <w:tcPr>
            <w:tcW w:w="1105" w:type="dxa"/>
            <w:tcBorders>
              <w:top w:val="nil"/>
              <w:left w:val="nil"/>
              <w:bottom w:val="single" w:sz="4" w:space="0" w:color="auto"/>
              <w:right w:val="single" w:sz="4" w:space="0" w:color="auto"/>
            </w:tcBorders>
            <w:shd w:val="clear" w:color="000000" w:fill="FFFFFF"/>
            <w:vAlign w:val="center"/>
          </w:tcPr>
          <w:p w14:paraId="62737AD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352 697,4</w:t>
            </w:r>
          </w:p>
        </w:tc>
        <w:tc>
          <w:tcPr>
            <w:tcW w:w="1134" w:type="dxa"/>
            <w:tcBorders>
              <w:top w:val="nil"/>
              <w:left w:val="nil"/>
              <w:bottom w:val="single" w:sz="4" w:space="0" w:color="auto"/>
              <w:right w:val="single" w:sz="4" w:space="0" w:color="auto"/>
            </w:tcBorders>
            <w:shd w:val="clear" w:color="000000" w:fill="FFFFFF"/>
            <w:vAlign w:val="center"/>
          </w:tcPr>
          <w:p w14:paraId="033C0BD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352 697,4</w:t>
            </w:r>
          </w:p>
        </w:tc>
        <w:tc>
          <w:tcPr>
            <w:tcW w:w="850" w:type="dxa"/>
            <w:tcBorders>
              <w:top w:val="nil"/>
              <w:left w:val="nil"/>
              <w:bottom w:val="single" w:sz="4" w:space="0" w:color="auto"/>
              <w:right w:val="single" w:sz="4" w:space="0" w:color="auto"/>
            </w:tcBorders>
            <w:shd w:val="clear" w:color="000000" w:fill="FFFFFF"/>
            <w:noWrap/>
            <w:vAlign w:val="center"/>
          </w:tcPr>
          <w:p w14:paraId="319EA4A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E20407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229 799,1</w:t>
            </w:r>
          </w:p>
        </w:tc>
        <w:tc>
          <w:tcPr>
            <w:tcW w:w="993" w:type="dxa"/>
            <w:tcBorders>
              <w:top w:val="nil"/>
              <w:left w:val="nil"/>
              <w:bottom w:val="single" w:sz="4" w:space="0" w:color="auto"/>
              <w:right w:val="single" w:sz="4" w:space="0" w:color="auto"/>
            </w:tcBorders>
            <w:shd w:val="clear" w:color="auto" w:fill="auto"/>
            <w:noWrap/>
            <w:vAlign w:val="center"/>
          </w:tcPr>
          <w:p w14:paraId="2655E7E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-122 898,3</w:t>
            </w:r>
          </w:p>
        </w:tc>
      </w:tr>
      <w:tr w:rsidR="00F3645B" w:rsidRPr="00F3645B" w14:paraId="0EE012D4" w14:textId="77777777" w:rsidTr="00545B6E">
        <w:trPr>
          <w:trHeight w:val="384"/>
        </w:trPr>
        <w:tc>
          <w:tcPr>
            <w:tcW w:w="421" w:type="dxa"/>
            <w:tcBorders>
              <w:top w:val="nil"/>
              <w:left w:val="single" w:sz="4" w:space="0" w:color="auto"/>
              <w:bottom w:val="single" w:sz="4" w:space="0" w:color="auto"/>
              <w:right w:val="single" w:sz="4" w:space="0" w:color="auto"/>
            </w:tcBorders>
            <w:shd w:val="clear" w:color="auto" w:fill="auto"/>
            <w:noWrap/>
          </w:tcPr>
          <w:p w14:paraId="3ED3D68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FD8E37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  Подпрограмма «Развитие образования в сфере физической культуры и спорта»</w:t>
            </w:r>
          </w:p>
        </w:tc>
        <w:tc>
          <w:tcPr>
            <w:tcW w:w="1105" w:type="dxa"/>
            <w:tcBorders>
              <w:top w:val="nil"/>
              <w:left w:val="nil"/>
              <w:bottom w:val="single" w:sz="4" w:space="0" w:color="auto"/>
              <w:right w:val="single" w:sz="4" w:space="0" w:color="auto"/>
            </w:tcBorders>
            <w:shd w:val="clear" w:color="000000" w:fill="FFFFFF"/>
            <w:vAlign w:val="center"/>
          </w:tcPr>
          <w:p w14:paraId="1E9BF6F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218 756,9</w:t>
            </w:r>
          </w:p>
        </w:tc>
        <w:tc>
          <w:tcPr>
            <w:tcW w:w="1134" w:type="dxa"/>
            <w:tcBorders>
              <w:top w:val="nil"/>
              <w:left w:val="nil"/>
              <w:bottom w:val="single" w:sz="4" w:space="0" w:color="auto"/>
              <w:right w:val="single" w:sz="4" w:space="0" w:color="auto"/>
            </w:tcBorders>
            <w:shd w:val="clear" w:color="000000" w:fill="FFFFFF"/>
            <w:vAlign w:val="center"/>
          </w:tcPr>
          <w:p w14:paraId="605E69A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218 756,9</w:t>
            </w:r>
          </w:p>
        </w:tc>
        <w:tc>
          <w:tcPr>
            <w:tcW w:w="850" w:type="dxa"/>
            <w:tcBorders>
              <w:top w:val="nil"/>
              <w:left w:val="nil"/>
              <w:bottom w:val="single" w:sz="4" w:space="0" w:color="auto"/>
              <w:right w:val="single" w:sz="4" w:space="0" w:color="auto"/>
            </w:tcBorders>
            <w:shd w:val="clear" w:color="000000" w:fill="FFFFFF"/>
            <w:noWrap/>
            <w:vAlign w:val="center"/>
          </w:tcPr>
          <w:p w14:paraId="2107F22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8E27F4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218 756,9</w:t>
            </w:r>
          </w:p>
        </w:tc>
        <w:tc>
          <w:tcPr>
            <w:tcW w:w="993" w:type="dxa"/>
            <w:tcBorders>
              <w:top w:val="nil"/>
              <w:left w:val="nil"/>
              <w:bottom w:val="single" w:sz="4" w:space="0" w:color="auto"/>
              <w:right w:val="single" w:sz="4" w:space="0" w:color="auto"/>
            </w:tcBorders>
            <w:shd w:val="clear" w:color="auto" w:fill="auto"/>
            <w:noWrap/>
            <w:vAlign w:val="center"/>
          </w:tcPr>
          <w:p w14:paraId="3439222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55121B2D" w14:textId="77777777" w:rsidTr="00545B6E">
        <w:trPr>
          <w:trHeight w:val="275"/>
        </w:trPr>
        <w:tc>
          <w:tcPr>
            <w:tcW w:w="421" w:type="dxa"/>
            <w:tcBorders>
              <w:top w:val="nil"/>
              <w:left w:val="single" w:sz="4" w:space="0" w:color="auto"/>
              <w:bottom w:val="single" w:sz="4" w:space="0" w:color="auto"/>
              <w:right w:val="single" w:sz="4" w:space="0" w:color="auto"/>
            </w:tcBorders>
            <w:shd w:val="clear" w:color="auto" w:fill="auto"/>
            <w:noWrap/>
          </w:tcPr>
          <w:p w14:paraId="453F0EA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22</w:t>
            </w:r>
          </w:p>
        </w:tc>
        <w:tc>
          <w:tcPr>
            <w:tcW w:w="3827" w:type="dxa"/>
            <w:tcBorders>
              <w:top w:val="nil"/>
              <w:left w:val="nil"/>
              <w:bottom w:val="single" w:sz="4" w:space="0" w:color="auto"/>
              <w:right w:val="single" w:sz="4" w:space="0" w:color="auto"/>
            </w:tcBorders>
            <w:shd w:val="clear" w:color="auto" w:fill="auto"/>
          </w:tcPr>
          <w:p w14:paraId="1F21187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средств массовой информации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53B58A1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466 861,5</w:t>
            </w:r>
          </w:p>
        </w:tc>
        <w:tc>
          <w:tcPr>
            <w:tcW w:w="1134" w:type="dxa"/>
            <w:tcBorders>
              <w:top w:val="nil"/>
              <w:left w:val="nil"/>
              <w:bottom w:val="single" w:sz="4" w:space="0" w:color="auto"/>
              <w:right w:val="single" w:sz="4" w:space="0" w:color="auto"/>
            </w:tcBorders>
            <w:shd w:val="clear" w:color="000000" w:fill="FFFFFF"/>
            <w:vAlign w:val="center"/>
          </w:tcPr>
          <w:p w14:paraId="767F78E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466 861,5</w:t>
            </w:r>
          </w:p>
        </w:tc>
        <w:tc>
          <w:tcPr>
            <w:tcW w:w="850" w:type="dxa"/>
            <w:tcBorders>
              <w:top w:val="nil"/>
              <w:left w:val="nil"/>
              <w:bottom w:val="single" w:sz="4" w:space="0" w:color="auto"/>
              <w:right w:val="single" w:sz="4" w:space="0" w:color="auto"/>
            </w:tcBorders>
            <w:shd w:val="clear" w:color="000000" w:fill="FFFFFF"/>
            <w:noWrap/>
            <w:vAlign w:val="center"/>
          </w:tcPr>
          <w:p w14:paraId="134E535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EE0229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456 953,7</w:t>
            </w:r>
          </w:p>
        </w:tc>
        <w:tc>
          <w:tcPr>
            <w:tcW w:w="993" w:type="dxa"/>
            <w:tcBorders>
              <w:top w:val="nil"/>
              <w:left w:val="nil"/>
              <w:bottom w:val="single" w:sz="4" w:space="0" w:color="auto"/>
              <w:right w:val="single" w:sz="4" w:space="0" w:color="auto"/>
            </w:tcBorders>
            <w:shd w:val="clear" w:color="auto" w:fill="auto"/>
            <w:noWrap/>
            <w:vAlign w:val="center"/>
          </w:tcPr>
          <w:p w14:paraId="379B1F7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-9 907,8</w:t>
            </w:r>
          </w:p>
        </w:tc>
      </w:tr>
      <w:tr w:rsidR="00F3645B" w:rsidRPr="00F3645B" w14:paraId="2D44915B" w14:textId="77777777" w:rsidTr="00545B6E">
        <w:trPr>
          <w:trHeight w:val="319"/>
        </w:trPr>
        <w:tc>
          <w:tcPr>
            <w:tcW w:w="421" w:type="dxa"/>
            <w:tcBorders>
              <w:top w:val="nil"/>
              <w:left w:val="single" w:sz="4" w:space="0" w:color="auto"/>
              <w:bottom w:val="single" w:sz="4" w:space="0" w:color="auto"/>
              <w:right w:val="single" w:sz="4" w:space="0" w:color="auto"/>
            </w:tcBorders>
            <w:shd w:val="clear" w:color="auto" w:fill="auto"/>
            <w:noWrap/>
          </w:tcPr>
          <w:p w14:paraId="32A9611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6FF989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телерадиовещания в Республике Дагестан»</w:t>
            </w:r>
          </w:p>
        </w:tc>
        <w:tc>
          <w:tcPr>
            <w:tcW w:w="1105" w:type="dxa"/>
            <w:tcBorders>
              <w:top w:val="nil"/>
              <w:left w:val="nil"/>
              <w:bottom w:val="single" w:sz="4" w:space="0" w:color="auto"/>
              <w:right w:val="single" w:sz="4" w:space="0" w:color="auto"/>
            </w:tcBorders>
            <w:shd w:val="clear" w:color="000000" w:fill="FFFFFF"/>
            <w:vAlign w:val="center"/>
          </w:tcPr>
          <w:p w14:paraId="368D806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89 483,2</w:t>
            </w:r>
          </w:p>
        </w:tc>
        <w:tc>
          <w:tcPr>
            <w:tcW w:w="1134" w:type="dxa"/>
            <w:tcBorders>
              <w:top w:val="nil"/>
              <w:left w:val="nil"/>
              <w:bottom w:val="single" w:sz="4" w:space="0" w:color="auto"/>
              <w:right w:val="single" w:sz="4" w:space="0" w:color="auto"/>
            </w:tcBorders>
            <w:shd w:val="clear" w:color="000000" w:fill="FFFFFF"/>
            <w:vAlign w:val="center"/>
          </w:tcPr>
          <w:p w14:paraId="6D845F1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89 483,2</w:t>
            </w:r>
          </w:p>
        </w:tc>
        <w:tc>
          <w:tcPr>
            <w:tcW w:w="850" w:type="dxa"/>
            <w:tcBorders>
              <w:top w:val="nil"/>
              <w:left w:val="nil"/>
              <w:bottom w:val="single" w:sz="4" w:space="0" w:color="auto"/>
              <w:right w:val="single" w:sz="4" w:space="0" w:color="auto"/>
            </w:tcBorders>
            <w:shd w:val="clear" w:color="000000" w:fill="FFFFFF"/>
            <w:noWrap/>
            <w:vAlign w:val="center"/>
          </w:tcPr>
          <w:p w14:paraId="0A41B80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163C912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89 483,2</w:t>
            </w:r>
          </w:p>
        </w:tc>
        <w:tc>
          <w:tcPr>
            <w:tcW w:w="993" w:type="dxa"/>
            <w:tcBorders>
              <w:top w:val="nil"/>
              <w:left w:val="nil"/>
              <w:bottom w:val="single" w:sz="4" w:space="0" w:color="auto"/>
              <w:right w:val="single" w:sz="4" w:space="0" w:color="auto"/>
            </w:tcBorders>
            <w:shd w:val="clear" w:color="auto" w:fill="auto"/>
            <w:noWrap/>
            <w:vAlign w:val="center"/>
          </w:tcPr>
          <w:p w14:paraId="2C9A0F2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1D8E9A4A" w14:textId="77777777" w:rsidTr="00545B6E">
        <w:trPr>
          <w:trHeight w:val="331"/>
        </w:trPr>
        <w:tc>
          <w:tcPr>
            <w:tcW w:w="421" w:type="dxa"/>
            <w:tcBorders>
              <w:top w:val="nil"/>
              <w:left w:val="single" w:sz="4" w:space="0" w:color="auto"/>
              <w:bottom w:val="single" w:sz="4" w:space="0" w:color="auto"/>
              <w:right w:val="single" w:sz="4" w:space="0" w:color="auto"/>
            </w:tcBorders>
            <w:shd w:val="clear" w:color="auto" w:fill="auto"/>
            <w:noWrap/>
          </w:tcPr>
          <w:p w14:paraId="3A891465"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7E03358"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«Обеспечение населения информацией о деятельности органов государственной власти РД, а также информацией по социально значимым темам»</w:t>
            </w:r>
          </w:p>
        </w:tc>
        <w:tc>
          <w:tcPr>
            <w:tcW w:w="1105" w:type="dxa"/>
            <w:tcBorders>
              <w:top w:val="nil"/>
              <w:left w:val="nil"/>
              <w:bottom w:val="single" w:sz="4" w:space="0" w:color="auto"/>
              <w:right w:val="single" w:sz="4" w:space="0" w:color="auto"/>
            </w:tcBorders>
            <w:shd w:val="clear" w:color="000000" w:fill="FFFFFF"/>
            <w:vAlign w:val="center"/>
          </w:tcPr>
          <w:p w14:paraId="2F1E89D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377 378,3</w:t>
            </w:r>
          </w:p>
        </w:tc>
        <w:tc>
          <w:tcPr>
            <w:tcW w:w="1134" w:type="dxa"/>
            <w:tcBorders>
              <w:top w:val="nil"/>
              <w:left w:val="nil"/>
              <w:bottom w:val="single" w:sz="4" w:space="0" w:color="auto"/>
              <w:right w:val="single" w:sz="4" w:space="0" w:color="auto"/>
            </w:tcBorders>
            <w:shd w:val="clear" w:color="000000" w:fill="FFFFFF"/>
            <w:vAlign w:val="center"/>
          </w:tcPr>
          <w:p w14:paraId="419AD2E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377 378,3</w:t>
            </w:r>
          </w:p>
        </w:tc>
        <w:tc>
          <w:tcPr>
            <w:tcW w:w="850" w:type="dxa"/>
            <w:tcBorders>
              <w:top w:val="nil"/>
              <w:left w:val="nil"/>
              <w:bottom w:val="single" w:sz="4" w:space="0" w:color="auto"/>
              <w:right w:val="single" w:sz="4" w:space="0" w:color="auto"/>
            </w:tcBorders>
            <w:shd w:val="clear" w:color="000000" w:fill="FFFFFF"/>
            <w:noWrap/>
            <w:vAlign w:val="center"/>
          </w:tcPr>
          <w:p w14:paraId="6B999A9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ECBA4C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367 470,5</w:t>
            </w:r>
          </w:p>
        </w:tc>
        <w:tc>
          <w:tcPr>
            <w:tcW w:w="993" w:type="dxa"/>
            <w:tcBorders>
              <w:top w:val="nil"/>
              <w:left w:val="nil"/>
              <w:bottom w:val="single" w:sz="4" w:space="0" w:color="auto"/>
              <w:right w:val="single" w:sz="4" w:space="0" w:color="auto"/>
            </w:tcBorders>
            <w:shd w:val="clear" w:color="auto" w:fill="auto"/>
            <w:noWrap/>
            <w:vAlign w:val="center"/>
          </w:tcPr>
          <w:p w14:paraId="657D937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-9 907,8</w:t>
            </w:r>
          </w:p>
        </w:tc>
      </w:tr>
      <w:tr w:rsidR="00F3645B" w:rsidRPr="00F3645B" w14:paraId="5BE8D26B" w14:textId="77777777" w:rsidTr="00545B6E">
        <w:trPr>
          <w:trHeight w:val="319"/>
        </w:trPr>
        <w:tc>
          <w:tcPr>
            <w:tcW w:w="421" w:type="dxa"/>
            <w:tcBorders>
              <w:top w:val="nil"/>
              <w:left w:val="single" w:sz="4" w:space="0" w:color="auto"/>
              <w:bottom w:val="single" w:sz="4" w:space="0" w:color="auto"/>
              <w:right w:val="single" w:sz="4" w:space="0" w:color="auto"/>
            </w:tcBorders>
            <w:shd w:val="clear" w:color="auto" w:fill="auto"/>
            <w:noWrap/>
          </w:tcPr>
          <w:p w14:paraId="02C1D7D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23</w:t>
            </w:r>
          </w:p>
        </w:tc>
        <w:tc>
          <w:tcPr>
            <w:tcW w:w="3827" w:type="dxa"/>
            <w:tcBorders>
              <w:top w:val="nil"/>
              <w:left w:val="nil"/>
              <w:bottom w:val="single" w:sz="4" w:space="0" w:color="auto"/>
              <w:right w:val="single" w:sz="4" w:space="0" w:color="auto"/>
            </w:tcBorders>
            <w:shd w:val="clear" w:color="auto" w:fill="auto"/>
          </w:tcPr>
          <w:p w14:paraId="6182D7A1"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«Управление региональными и муниципальными финансами РД на 2015-2020 годы»</w:t>
            </w:r>
          </w:p>
        </w:tc>
        <w:tc>
          <w:tcPr>
            <w:tcW w:w="1105" w:type="dxa"/>
            <w:tcBorders>
              <w:top w:val="nil"/>
              <w:left w:val="nil"/>
              <w:bottom w:val="single" w:sz="4" w:space="0" w:color="auto"/>
              <w:right w:val="single" w:sz="4" w:space="0" w:color="auto"/>
            </w:tcBorders>
            <w:shd w:val="clear" w:color="auto" w:fill="auto"/>
            <w:vAlign w:val="center"/>
          </w:tcPr>
          <w:p w14:paraId="73972AF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9 705 842,3</w:t>
            </w:r>
          </w:p>
        </w:tc>
        <w:tc>
          <w:tcPr>
            <w:tcW w:w="1134" w:type="dxa"/>
            <w:tcBorders>
              <w:top w:val="nil"/>
              <w:left w:val="nil"/>
              <w:bottom w:val="single" w:sz="4" w:space="0" w:color="auto"/>
              <w:right w:val="single" w:sz="4" w:space="0" w:color="auto"/>
            </w:tcBorders>
            <w:shd w:val="clear" w:color="000000" w:fill="FFFFFF"/>
            <w:vAlign w:val="center"/>
          </w:tcPr>
          <w:p w14:paraId="0958DAD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9 705 842,3</w:t>
            </w:r>
          </w:p>
        </w:tc>
        <w:tc>
          <w:tcPr>
            <w:tcW w:w="850" w:type="dxa"/>
            <w:tcBorders>
              <w:top w:val="nil"/>
              <w:left w:val="nil"/>
              <w:bottom w:val="single" w:sz="4" w:space="0" w:color="auto"/>
              <w:right w:val="single" w:sz="4" w:space="0" w:color="auto"/>
            </w:tcBorders>
            <w:shd w:val="clear" w:color="000000" w:fill="FFFFFF"/>
            <w:noWrap/>
            <w:vAlign w:val="center"/>
          </w:tcPr>
          <w:p w14:paraId="30CF52A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1CA38D0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9 705 842,3</w:t>
            </w:r>
          </w:p>
        </w:tc>
        <w:tc>
          <w:tcPr>
            <w:tcW w:w="993" w:type="dxa"/>
            <w:tcBorders>
              <w:top w:val="nil"/>
              <w:left w:val="nil"/>
              <w:bottom w:val="single" w:sz="4" w:space="0" w:color="auto"/>
              <w:right w:val="single" w:sz="4" w:space="0" w:color="auto"/>
            </w:tcBorders>
            <w:shd w:val="clear" w:color="auto" w:fill="auto"/>
            <w:noWrap/>
            <w:vAlign w:val="center"/>
          </w:tcPr>
          <w:p w14:paraId="4965A7F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1C5D8118"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0DDD351B"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A4B054D"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«Создание условий для эффективного управления государственными и муниципальными финансами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2B17598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9 705 842,3</w:t>
            </w:r>
          </w:p>
        </w:tc>
        <w:tc>
          <w:tcPr>
            <w:tcW w:w="1134" w:type="dxa"/>
            <w:tcBorders>
              <w:top w:val="nil"/>
              <w:left w:val="nil"/>
              <w:bottom w:val="single" w:sz="4" w:space="0" w:color="auto"/>
              <w:right w:val="single" w:sz="4" w:space="0" w:color="auto"/>
            </w:tcBorders>
            <w:shd w:val="clear" w:color="000000" w:fill="FFFFFF"/>
            <w:vAlign w:val="center"/>
          </w:tcPr>
          <w:p w14:paraId="39D261F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9 705 842,3</w:t>
            </w:r>
          </w:p>
        </w:tc>
        <w:tc>
          <w:tcPr>
            <w:tcW w:w="850" w:type="dxa"/>
            <w:tcBorders>
              <w:top w:val="nil"/>
              <w:left w:val="nil"/>
              <w:bottom w:val="single" w:sz="4" w:space="0" w:color="auto"/>
              <w:right w:val="single" w:sz="4" w:space="0" w:color="auto"/>
            </w:tcBorders>
            <w:shd w:val="clear" w:color="000000" w:fill="FFFFFF"/>
            <w:noWrap/>
            <w:vAlign w:val="center"/>
          </w:tcPr>
          <w:p w14:paraId="5704227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4ABB0E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9 705 842,3</w:t>
            </w:r>
          </w:p>
        </w:tc>
        <w:tc>
          <w:tcPr>
            <w:tcW w:w="993" w:type="dxa"/>
            <w:tcBorders>
              <w:top w:val="nil"/>
              <w:left w:val="nil"/>
              <w:bottom w:val="single" w:sz="4" w:space="0" w:color="auto"/>
              <w:right w:val="single" w:sz="4" w:space="0" w:color="auto"/>
            </w:tcBorders>
            <w:shd w:val="clear" w:color="auto" w:fill="auto"/>
            <w:noWrap/>
            <w:vAlign w:val="center"/>
          </w:tcPr>
          <w:p w14:paraId="59AEA78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1C2F6980" w14:textId="77777777" w:rsidTr="00545B6E">
        <w:trPr>
          <w:trHeight w:val="172"/>
        </w:trPr>
        <w:tc>
          <w:tcPr>
            <w:tcW w:w="421" w:type="dxa"/>
            <w:tcBorders>
              <w:top w:val="nil"/>
              <w:left w:val="single" w:sz="4" w:space="0" w:color="auto"/>
              <w:bottom w:val="single" w:sz="4" w:space="0" w:color="auto"/>
              <w:right w:val="single" w:sz="4" w:space="0" w:color="auto"/>
            </w:tcBorders>
            <w:shd w:val="clear" w:color="auto" w:fill="auto"/>
            <w:noWrap/>
          </w:tcPr>
          <w:p w14:paraId="4A2E3F2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24</w:t>
            </w:r>
          </w:p>
        </w:tc>
        <w:tc>
          <w:tcPr>
            <w:tcW w:w="3827" w:type="dxa"/>
            <w:tcBorders>
              <w:top w:val="nil"/>
              <w:left w:val="nil"/>
              <w:bottom w:val="single" w:sz="4" w:space="0" w:color="auto"/>
              <w:right w:val="single" w:sz="4" w:space="0" w:color="auto"/>
            </w:tcBorders>
            <w:shd w:val="clear" w:color="auto" w:fill="auto"/>
          </w:tcPr>
          <w:p w14:paraId="6B396EF1"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«Доступная среда»</w:t>
            </w:r>
          </w:p>
        </w:tc>
        <w:tc>
          <w:tcPr>
            <w:tcW w:w="1105" w:type="dxa"/>
            <w:tcBorders>
              <w:top w:val="nil"/>
              <w:left w:val="nil"/>
              <w:bottom w:val="single" w:sz="4" w:space="0" w:color="auto"/>
              <w:right w:val="single" w:sz="4" w:space="0" w:color="auto"/>
            </w:tcBorders>
            <w:shd w:val="clear" w:color="auto" w:fill="auto"/>
            <w:vAlign w:val="center"/>
          </w:tcPr>
          <w:p w14:paraId="1562011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82 094,0</w:t>
            </w:r>
          </w:p>
        </w:tc>
        <w:tc>
          <w:tcPr>
            <w:tcW w:w="1134" w:type="dxa"/>
            <w:tcBorders>
              <w:top w:val="nil"/>
              <w:left w:val="nil"/>
              <w:bottom w:val="single" w:sz="4" w:space="0" w:color="auto"/>
              <w:right w:val="single" w:sz="4" w:space="0" w:color="auto"/>
            </w:tcBorders>
            <w:shd w:val="clear" w:color="000000" w:fill="FFFFFF"/>
            <w:vAlign w:val="center"/>
          </w:tcPr>
          <w:p w14:paraId="6BD0E52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82 094,0</w:t>
            </w:r>
          </w:p>
        </w:tc>
        <w:tc>
          <w:tcPr>
            <w:tcW w:w="850" w:type="dxa"/>
            <w:tcBorders>
              <w:top w:val="nil"/>
              <w:left w:val="nil"/>
              <w:bottom w:val="single" w:sz="4" w:space="0" w:color="auto"/>
              <w:right w:val="single" w:sz="4" w:space="0" w:color="auto"/>
            </w:tcBorders>
            <w:shd w:val="clear" w:color="000000" w:fill="FFFFFF"/>
            <w:noWrap/>
            <w:vAlign w:val="center"/>
          </w:tcPr>
          <w:p w14:paraId="47F34D6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BEC37D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82 045,7</w:t>
            </w:r>
          </w:p>
        </w:tc>
        <w:tc>
          <w:tcPr>
            <w:tcW w:w="993" w:type="dxa"/>
            <w:tcBorders>
              <w:top w:val="nil"/>
              <w:left w:val="nil"/>
              <w:bottom w:val="single" w:sz="4" w:space="0" w:color="auto"/>
              <w:right w:val="single" w:sz="4" w:space="0" w:color="auto"/>
            </w:tcBorders>
            <w:shd w:val="clear" w:color="auto" w:fill="auto"/>
            <w:noWrap/>
            <w:vAlign w:val="center"/>
          </w:tcPr>
          <w:p w14:paraId="1025FB8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-48,3</w:t>
            </w:r>
          </w:p>
        </w:tc>
      </w:tr>
      <w:tr w:rsidR="00F3645B" w:rsidRPr="00F3645B" w14:paraId="46C7C411" w14:textId="77777777" w:rsidTr="00545B6E">
        <w:trPr>
          <w:trHeight w:val="100"/>
        </w:trPr>
        <w:tc>
          <w:tcPr>
            <w:tcW w:w="421" w:type="dxa"/>
            <w:tcBorders>
              <w:top w:val="nil"/>
              <w:left w:val="single" w:sz="4" w:space="0" w:color="auto"/>
              <w:bottom w:val="single" w:sz="4" w:space="0" w:color="auto"/>
              <w:right w:val="single" w:sz="4" w:space="0" w:color="auto"/>
            </w:tcBorders>
            <w:shd w:val="clear" w:color="auto" w:fill="auto"/>
            <w:noWrap/>
          </w:tcPr>
          <w:p w14:paraId="61EF05D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25</w:t>
            </w:r>
          </w:p>
        </w:tc>
        <w:tc>
          <w:tcPr>
            <w:tcW w:w="3827" w:type="dxa"/>
            <w:tcBorders>
              <w:top w:val="nil"/>
              <w:left w:val="nil"/>
              <w:bottom w:val="single" w:sz="4" w:space="0" w:color="auto"/>
              <w:right w:val="single" w:sz="4" w:space="0" w:color="auto"/>
            </w:tcBorders>
            <w:shd w:val="clear" w:color="auto" w:fill="auto"/>
          </w:tcPr>
          <w:p w14:paraId="29C0586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«Реализация государственной национальной политики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530D64C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16 461,6</w:t>
            </w:r>
          </w:p>
        </w:tc>
        <w:tc>
          <w:tcPr>
            <w:tcW w:w="1134" w:type="dxa"/>
            <w:tcBorders>
              <w:top w:val="nil"/>
              <w:left w:val="nil"/>
              <w:bottom w:val="single" w:sz="4" w:space="0" w:color="auto"/>
              <w:right w:val="single" w:sz="4" w:space="0" w:color="auto"/>
            </w:tcBorders>
            <w:shd w:val="clear" w:color="000000" w:fill="FFFFFF"/>
            <w:vAlign w:val="center"/>
          </w:tcPr>
          <w:p w14:paraId="43E0FB7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16 461,6</w:t>
            </w:r>
          </w:p>
        </w:tc>
        <w:tc>
          <w:tcPr>
            <w:tcW w:w="850" w:type="dxa"/>
            <w:tcBorders>
              <w:top w:val="nil"/>
              <w:left w:val="nil"/>
              <w:bottom w:val="single" w:sz="4" w:space="0" w:color="auto"/>
              <w:right w:val="single" w:sz="4" w:space="0" w:color="auto"/>
            </w:tcBorders>
            <w:shd w:val="clear" w:color="000000" w:fill="FFFFFF"/>
            <w:noWrap/>
            <w:vAlign w:val="center"/>
          </w:tcPr>
          <w:p w14:paraId="291AF84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AB316D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15 937,7</w:t>
            </w:r>
          </w:p>
        </w:tc>
        <w:tc>
          <w:tcPr>
            <w:tcW w:w="993" w:type="dxa"/>
            <w:tcBorders>
              <w:top w:val="nil"/>
              <w:left w:val="nil"/>
              <w:bottom w:val="single" w:sz="4" w:space="0" w:color="auto"/>
              <w:right w:val="single" w:sz="4" w:space="0" w:color="auto"/>
            </w:tcBorders>
            <w:shd w:val="clear" w:color="auto" w:fill="auto"/>
            <w:noWrap/>
            <w:vAlign w:val="center"/>
          </w:tcPr>
          <w:p w14:paraId="1380945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-523,9</w:t>
            </w:r>
          </w:p>
        </w:tc>
      </w:tr>
      <w:tr w:rsidR="00F3645B" w:rsidRPr="00F3645B" w14:paraId="03697719" w14:textId="77777777" w:rsidTr="00545B6E">
        <w:trPr>
          <w:trHeight w:val="330"/>
        </w:trPr>
        <w:tc>
          <w:tcPr>
            <w:tcW w:w="421" w:type="dxa"/>
            <w:tcBorders>
              <w:top w:val="nil"/>
              <w:left w:val="single" w:sz="4" w:space="0" w:color="auto"/>
              <w:bottom w:val="single" w:sz="4" w:space="0" w:color="auto"/>
              <w:right w:val="single" w:sz="4" w:space="0" w:color="auto"/>
            </w:tcBorders>
            <w:shd w:val="clear" w:color="auto" w:fill="auto"/>
            <w:noWrap/>
          </w:tcPr>
          <w:p w14:paraId="78B9A0A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0456319E"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«Формирование общероссийской гражданской идентичности и развитие национальных отношений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79BA3E5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7 311,7</w:t>
            </w:r>
          </w:p>
        </w:tc>
        <w:tc>
          <w:tcPr>
            <w:tcW w:w="1134" w:type="dxa"/>
            <w:tcBorders>
              <w:top w:val="nil"/>
              <w:left w:val="nil"/>
              <w:bottom w:val="single" w:sz="4" w:space="0" w:color="auto"/>
              <w:right w:val="single" w:sz="4" w:space="0" w:color="auto"/>
            </w:tcBorders>
            <w:shd w:val="clear" w:color="000000" w:fill="FFFFFF"/>
            <w:vAlign w:val="center"/>
          </w:tcPr>
          <w:p w14:paraId="78F71F9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7 311,7</w:t>
            </w:r>
          </w:p>
        </w:tc>
        <w:tc>
          <w:tcPr>
            <w:tcW w:w="850" w:type="dxa"/>
            <w:tcBorders>
              <w:top w:val="nil"/>
              <w:left w:val="nil"/>
              <w:bottom w:val="single" w:sz="4" w:space="0" w:color="auto"/>
              <w:right w:val="single" w:sz="4" w:space="0" w:color="auto"/>
            </w:tcBorders>
            <w:shd w:val="clear" w:color="000000" w:fill="FFFFFF"/>
            <w:noWrap/>
            <w:vAlign w:val="center"/>
          </w:tcPr>
          <w:p w14:paraId="3B83F1D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FE1CD6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7 010,6</w:t>
            </w:r>
          </w:p>
        </w:tc>
        <w:tc>
          <w:tcPr>
            <w:tcW w:w="993" w:type="dxa"/>
            <w:tcBorders>
              <w:top w:val="nil"/>
              <w:left w:val="nil"/>
              <w:bottom w:val="single" w:sz="4" w:space="0" w:color="auto"/>
              <w:right w:val="single" w:sz="4" w:space="0" w:color="auto"/>
            </w:tcBorders>
            <w:shd w:val="clear" w:color="auto" w:fill="auto"/>
            <w:noWrap/>
            <w:vAlign w:val="center"/>
          </w:tcPr>
          <w:p w14:paraId="2491AB6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-301,1</w:t>
            </w:r>
          </w:p>
        </w:tc>
      </w:tr>
      <w:tr w:rsidR="00F3645B" w:rsidRPr="00F3645B" w14:paraId="4E71DF0F" w14:textId="77777777" w:rsidTr="00545B6E">
        <w:trPr>
          <w:trHeight w:val="331"/>
        </w:trPr>
        <w:tc>
          <w:tcPr>
            <w:tcW w:w="421" w:type="dxa"/>
            <w:tcBorders>
              <w:top w:val="nil"/>
              <w:left w:val="single" w:sz="4" w:space="0" w:color="auto"/>
              <w:bottom w:val="single" w:sz="4" w:space="0" w:color="auto"/>
              <w:right w:val="single" w:sz="4" w:space="0" w:color="auto"/>
            </w:tcBorders>
            <w:shd w:val="clear" w:color="auto" w:fill="auto"/>
            <w:noWrap/>
          </w:tcPr>
          <w:p w14:paraId="000AA40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344090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институтов гражданского общества в Республике Дагестан»</w:t>
            </w:r>
          </w:p>
        </w:tc>
        <w:tc>
          <w:tcPr>
            <w:tcW w:w="1105" w:type="dxa"/>
            <w:tcBorders>
              <w:top w:val="nil"/>
              <w:left w:val="nil"/>
              <w:bottom w:val="single" w:sz="4" w:space="0" w:color="auto"/>
              <w:right w:val="single" w:sz="4" w:space="0" w:color="auto"/>
            </w:tcBorders>
            <w:shd w:val="clear" w:color="000000" w:fill="FFFFFF"/>
            <w:vAlign w:val="center"/>
          </w:tcPr>
          <w:p w14:paraId="541BDD0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5 982,9</w:t>
            </w:r>
          </w:p>
        </w:tc>
        <w:tc>
          <w:tcPr>
            <w:tcW w:w="1134" w:type="dxa"/>
            <w:tcBorders>
              <w:top w:val="nil"/>
              <w:left w:val="nil"/>
              <w:bottom w:val="single" w:sz="4" w:space="0" w:color="auto"/>
              <w:right w:val="single" w:sz="4" w:space="0" w:color="auto"/>
            </w:tcBorders>
            <w:shd w:val="clear" w:color="000000" w:fill="FFFFFF"/>
            <w:vAlign w:val="center"/>
          </w:tcPr>
          <w:p w14:paraId="4BFB9B4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5 982,9</w:t>
            </w:r>
          </w:p>
        </w:tc>
        <w:tc>
          <w:tcPr>
            <w:tcW w:w="850" w:type="dxa"/>
            <w:tcBorders>
              <w:top w:val="nil"/>
              <w:left w:val="nil"/>
              <w:bottom w:val="single" w:sz="4" w:space="0" w:color="auto"/>
              <w:right w:val="single" w:sz="4" w:space="0" w:color="auto"/>
            </w:tcBorders>
            <w:shd w:val="clear" w:color="000000" w:fill="FFFFFF"/>
            <w:noWrap/>
            <w:vAlign w:val="center"/>
          </w:tcPr>
          <w:p w14:paraId="0E80DA0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039BD6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5 799,4</w:t>
            </w:r>
          </w:p>
        </w:tc>
        <w:tc>
          <w:tcPr>
            <w:tcW w:w="993" w:type="dxa"/>
            <w:tcBorders>
              <w:top w:val="nil"/>
              <w:left w:val="nil"/>
              <w:bottom w:val="single" w:sz="4" w:space="0" w:color="auto"/>
              <w:right w:val="single" w:sz="4" w:space="0" w:color="auto"/>
            </w:tcBorders>
            <w:shd w:val="clear" w:color="auto" w:fill="auto"/>
            <w:noWrap/>
            <w:vAlign w:val="center"/>
          </w:tcPr>
          <w:p w14:paraId="4222DC7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-183,5</w:t>
            </w:r>
          </w:p>
        </w:tc>
      </w:tr>
      <w:tr w:rsidR="00F3645B" w:rsidRPr="00F3645B" w14:paraId="2366A96B" w14:textId="77777777" w:rsidTr="00545B6E">
        <w:trPr>
          <w:trHeight w:val="361"/>
        </w:trPr>
        <w:tc>
          <w:tcPr>
            <w:tcW w:w="421" w:type="dxa"/>
            <w:tcBorders>
              <w:top w:val="nil"/>
              <w:left w:val="single" w:sz="4" w:space="0" w:color="auto"/>
              <w:bottom w:val="single" w:sz="4" w:space="0" w:color="auto"/>
              <w:right w:val="single" w:sz="4" w:space="0" w:color="auto"/>
            </w:tcBorders>
            <w:shd w:val="clear" w:color="auto" w:fill="auto"/>
            <w:noWrap/>
          </w:tcPr>
          <w:p w14:paraId="01873265"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3AA50E67"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«Государственная поддержка казачьих обществ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69266AB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1 067,0</w:t>
            </w:r>
          </w:p>
        </w:tc>
        <w:tc>
          <w:tcPr>
            <w:tcW w:w="1134" w:type="dxa"/>
            <w:tcBorders>
              <w:top w:val="nil"/>
              <w:left w:val="nil"/>
              <w:bottom w:val="single" w:sz="4" w:space="0" w:color="auto"/>
              <w:right w:val="single" w:sz="4" w:space="0" w:color="auto"/>
            </w:tcBorders>
            <w:shd w:val="clear" w:color="000000" w:fill="FFFFFF"/>
            <w:vAlign w:val="center"/>
          </w:tcPr>
          <w:p w14:paraId="01D9105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1 067,0</w:t>
            </w:r>
          </w:p>
        </w:tc>
        <w:tc>
          <w:tcPr>
            <w:tcW w:w="850" w:type="dxa"/>
            <w:tcBorders>
              <w:top w:val="nil"/>
              <w:left w:val="nil"/>
              <w:bottom w:val="single" w:sz="4" w:space="0" w:color="auto"/>
              <w:right w:val="single" w:sz="4" w:space="0" w:color="auto"/>
            </w:tcBorders>
            <w:shd w:val="clear" w:color="000000" w:fill="FFFFFF"/>
            <w:noWrap/>
            <w:vAlign w:val="center"/>
          </w:tcPr>
          <w:p w14:paraId="7F54272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A6FE02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1 067,0</w:t>
            </w:r>
          </w:p>
        </w:tc>
        <w:tc>
          <w:tcPr>
            <w:tcW w:w="993" w:type="dxa"/>
            <w:tcBorders>
              <w:top w:val="nil"/>
              <w:left w:val="nil"/>
              <w:bottom w:val="single" w:sz="4" w:space="0" w:color="auto"/>
              <w:right w:val="single" w:sz="4" w:space="0" w:color="auto"/>
            </w:tcBorders>
            <w:shd w:val="clear" w:color="auto" w:fill="auto"/>
            <w:noWrap/>
            <w:vAlign w:val="center"/>
          </w:tcPr>
          <w:p w14:paraId="10F85F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26527954" w14:textId="77777777" w:rsidTr="00545B6E">
        <w:trPr>
          <w:trHeight w:val="396"/>
        </w:trPr>
        <w:tc>
          <w:tcPr>
            <w:tcW w:w="421" w:type="dxa"/>
            <w:tcBorders>
              <w:top w:val="nil"/>
              <w:left w:val="single" w:sz="4" w:space="0" w:color="auto"/>
              <w:bottom w:val="single" w:sz="4" w:space="0" w:color="auto"/>
              <w:right w:val="single" w:sz="4" w:space="0" w:color="auto"/>
            </w:tcBorders>
            <w:shd w:val="clear" w:color="auto" w:fill="auto"/>
            <w:noWrap/>
          </w:tcPr>
          <w:p w14:paraId="347E3055"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68110B2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«Социальная и культурная адаптация и интеграция иностранных граждан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70E52AE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2 100,0</w:t>
            </w:r>
          </w:p>
        </w:tc>
        <w:tc>
          <w:tcPr>
            <w:tcW w:w="1134" w:type="dxa"/>
            <w:tcBorders>
              <w:top w:val="nil"/>
              <w:left w:val="nil"/>
              <w:bottom w:val="single" w:sz="4" w:space="0" w:color="auto"/>
              <w:right w:val="single" w:sz="4" w:space="0" w:color="auto"/>
            </w:tcBorders>
            <w:shd w:val="clear" w:color="000000" w:fill="FFFFFF"/>
            <w:vAlign w:val="center"/>
          </w:tcPr>
          <w:p w14:paraId="22AB12E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2 100,0</w:t>
            </w:r>
          </w:p>
        </w:tc>
        <w:tc>
          <w:tcPr>
            <w:tcW w:w="850" w:type="dxa"/>
            <w:tcBorders>
              <w:top w:val="nil"/>
              <w:left w:val="nil"/>
              <w:bottom w:val="single" w:sz="4" w:space="0" w:color="auto"/>
              <w:right w:val="single" w:sz="4" w:space="0" w:color="auto"/>
            </w:tcBorders>
            <w:shd w:val="clear" w:color="000000" w:fill="FFFFFF"/>
            <w:noWrap/>
            <w:vAlign w:val="center"/>
          </w:tcPr>
          <w:p w14:paraId="1800992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A0075A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2 060,7</w:t>
            </w:r>
          </w:p>
        </w:tc>
        <w:tc>
          <w:tcPr>
            <w:tcW w:w="993" w:type="dxa"/>
            <w:tcBorders>
              <w:top w:val="nil"/>
              <w:left w:val="nil"/>
              <w:bottom w:val="single" w:sz="4" w:space="0" w:color="auto"/>
              <w:right w:val="single" w:sz="4" w:space="0" w:color="auto"/>
            </w:tcBorders>
            <w:shd w:val="clear" w:color="auto" w:fill="auto"/>
            <w:noWrap/>
            <w:vAlign w:val="center"/>
          </w:tcPr>
          <w:p w14:paraId="2EAFB8D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-39,3</w:t>
            </w:r>
          </w:p>
        </w:tc>
      </w:tr>
      <w:tr w:rsidR="00F3645B" w:rsidRPr="00F3645B" w14:paraId="1DEDC301" w14:textId="77777777" w:rsidTr="00545B6E">
        <w:trPr>
          <w:trHeight w:val="305"/>
        </w:trPr>
        <w:tc>
          <w:tcPr>
            <w:tcW w:w="421" w:type="dxa"/>
            <w:tcBorders>
              <w:top w:val="nil"/>
              <w:left w:val="single" w:sz="4" w:space="0" w:color="auto"/>
              <w:bottom w:val="single" w:sz="4" w:space="0" w:color="auto"/>
              <w:right w:val="single" w:sz="4" w:space="0" w:color="auto"/>
            </w:tcBorders>
            <w:shd w:val="clear" w:color="auto" w:fill="auto"/>
            <w:noWrap/>
          </w:tcPr>
          <w:p w14:paraId="45055CF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26</w:t>
            </w:r>
          </w:p>
        </w:tc>
        <w:tc>
          <w:tcPr>
            <w:tcW w:w="3827" w:type="dxa"/>
            <w:tcBorders>
              <w:top w:val="nil"/>
              <w:left w:val="nil"/>
              <w:bottom w:val="single" w:sz="4" w:space="0" w:color="auto"/>
              <w:right w:val="single" w:sz="4" w:space="0" w:color="auto"/>
            </w:tcBorders>
            <w:shd w:val="clear" w:color="auto" w:fill="auto"/>
          </w:tcPr>
          <w:p w14:paraId="79CC343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«Реализация молодежной политики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29FBFC9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71 549,1</w:t>
            </w:r>
          </w:p>
        </w:tc>
        <w:tc>
          <w:tcPr>
            <w:tcW w:w="1134" w:type="dxa"/>
            <w:tcBorders>
              <w:top w:val="nil"/>
              <w:left w:val="nil"/>
              <w:bottom w:val="single" w:sz="4" w:space="0" w:color="auto"/>
              <w:right w:val="single" w:sz="4" w:space="0" w:color="auto"/>
            </w:tcBorders>
            <w:shd w:val="clear" w:color="000000" w:fill="FFFFFF"/>
            <w:vAlign w:val="center"/>
          </w:tcPr>
          <w:p w14:paraId="431537B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71 549,1</w:t>
            </w:r>
          </w:p>
        </w:tc>
        <w:tc>
          <w:tcPr>
            <w:tcW w:w="850" w:type="dxa"/>
            <w:tcBorders>
              <w:top w:val="nil"/>
              <w:left w:val="nil"/>
              <w:bottom w:val="single" w:sz="4" w:space="0" w:color="auto"/>
              <w:right w:val="single" w:sz="4" w:space="0" w:color="auto"/>
            </w:tcBorders>
            <w:shd w:val="clear" w:color="000000" w:fill="FFFFFF"/>
            <w:noWrap/>
            <w:vAlign w:val="center"/>
          </w:tcPr>
          <w:p w14:paraId="2008518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A2CC29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71 527,0</w:t>
            </w:r>
          </w:p>
        </w:tc>
        <w:tc>
          <w:tcPr>
            <w:tcW w:w="993" w:type="dxa"/>
            <w:tcBorders>
              <w:top w:val="nil"/>
              <w:left w:val="nil"/>
              <w:bottom w:val="single" w:sz="4" w:space="0" w:color="auto"/>
              <w:right w:val="single" w:sz="4" w:space="0" w:color="auto"/>
            </w:tcBorders>
            <w:shd w:val="clear" w:color="auto" w:fill="auto"/>
            <w:noWrap/>
            <w:vAlign w:val="center"/>
          </w:tcPr>
          <w:p w14:paraId="22331D0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-22,1</w:t>
            </w:r>
          </w:p>
        </w:tc>
      </w:tr>
      <w:tr w:rsidR="00F3645B" w:rsidRPr="00F3645B" w14:paraId="6264476F" w14:textId="77777777" w:rsidTr="00545B6E">
        <w:trPr>
          <w:trHeight w:val="299"/>
        </w:trPr>
        <w:tc>
          <w:tcPr>
            <w:tcW w:w="421" w:type="dxa"/>
            <w:tcBorders>
              <w:top w:val="nil"/>
              <w:left w:val="single" w:sz="4" w:space="0" w:color="auto"/>
              <w:bottom w:val="single" w:sz="4" w:space="0" w:color="auto"/>
              <w:right w:val="single" w:sz="4" w:space="0" w:color="auto"/>
            </w:tcBorders>
            <w:shd w:val="clear" w:color="auto" w:fill="auto"/>
            <w:noWrap/>
          </w:tcPr>
          <w:p w14:paraId="455EC3F2"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F8FF8C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«Реализация молодежной политики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31489AC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22 536,0</w:t>
            </w:r>
          </w:p>
        </w:tc>
        <w:tc>
          <w:tcPr>
            <w:tcW w:w="1134" w:type="dxa"/>
            <w:tcBorders>
              <w:top w:val="nil"/>
              <w:left w:val="nil"/>
              <w:bottom w:val="single" w:sz="4" w:space="0" w:color="auto"/>
              <w:right w:val="single" w:sz="4" w:space="0" w:color="auto"/>
            </w:tcBorders>
            <w:shd w:val="clear" w:color="000000" w:fill="FFFFFF"/>
            <w:vAlign w:val="center"/>
          </w:tcPr>
          <w:p w14:paraId="49678B8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22 536,0</w:t>
            </w:r>
          </w:p>
        </w:tc>
        <w:tc>
          <w:tcPr>
            <w:tcW w:w="850" w:type="dxa"/>
            <w:tcBorders>
              <w:top w:val="nil"/>
              <w:left w:val="nil"/>
              <w:bottom w:val="single" w:sz="4" w:space="0" w:color="auto"/>
              <w:right w:val="single" w:sz="4" w:space="0" w:color="auto"/>
            </w:tcBorders>
            <w:shd w:val="clear" w:color="000000" w:fill="FFFFFF"/>
            <w:noWrap/>
            <w:vAlign w:val="center"/>
          </w:tcPr>
          <w:p w14:paraId="245FB65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6E2353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22 514,6</w:t>
            </w:r>
          </w:p>
        </w:tc>
        <w:tc>
          <w:tcPr>
            <w:tcW w:w="993" w:type="dxa"/>
            <w:tcBorders>
              <w:top w:val="nil"/>
              <w:left w:val="nil"/>
              <w:bottom w:val="single" w:sz="4" w:space="0" w:color="auto"/>
              <w:right w:val="single" w:sz="4" w:space="0" w:color="auto"/>
            </w:tcBorders>
            <w:shd w:val="clear" w:color="auto" w:fill="auto"/>
            <w:noWrap/>
            <w:vAlign w:val="center"/>
          </w:tcPr>
          <w:p w14:paraId="2F1F64A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-21,4</w:t>
            </w:r>
          </w:p>
        </w:tc>
      </w:tr>
      <w:tr w:rsidR="00F3645B" w:rsidRPr="00F3645B" w14:paraId="1A54A20F" w14:textId="77777777" w:rsidTr="00545B6E">
        <w:trPr>
          <w:trHeight w:val="118"/>
        </w:trPr>
        <w:tc>
          <w:tcPr>
            <w:tcW w:w="421" w:type="dxa"/>
            <w:tcBorders>
              <w:top w:val="nil"/>
              <w:left w:val="single" w:sz="4" w:space="0" w:color="auto"/>
              <w:bottom w:val="single" w:sz="4" w:space="0" w:color="auto"/>
              <w:right w:val="single" w:sz="4" w:space="0" w:color="auto"/>
            </w:tcBorders>
            <w:shd w:val="clear" w:color="auto" w:fill="auto"/>
            <w:noWrap/>
          </w:tcPr>
          <w:p w14:paraId="3C154A1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7C802E4"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«Поддержка молодежных инициатив»</w:t>
            </w:r>
          </w:p>
        </w:tc>
        <w:tc>
          <w:tcPr>
            <w:tcW w:w="1105" w:type="dxa"/>
            <w:tcBorders>
              <w:top w:val="nil"/>
              <w:left w:val="nil"/>
              <w:bottom w:val="single" w:sz="4" w:space="0" w:color="auto"/>
              <w:right w:val="single" w:sz="4" w:space="0" w:color="auto"/>
            </w:tcBorders>
            <w:shd w:val="clear" w:color="auto" w:fill="auto"/>
            <w:vAlign w:val="center"/>
          </w:tcPr>
          <w:p w14:paraId="6F23909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49 013,1</w:t>
            </w:r>
          </w:p>
        </w:tc>
        <w:tc>
          <w:tcPr>
            <w:tcW w:w="1134" w:type="dxa"/>
            <w:tcBorders>
              <w:top w:val="nil"/>
              <w:left w:val="nil"/>
              <w:bottom w:val="single" w:sz="4" w:space="0" w:color="auto"/>
              <w:right w:val="single" w:sz="4" w:space="0" w:color="auto"/>
            </w:tcBorders>
            <w:shd w:val="clear" w:color="000000" w:fill="FFFFFF"/>
            <w:vAlign w:val="center"/>
          </w:tcPr>
          <w:p w14:paraId="426EA75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49 013,1</w:t>
            </w:r>
          </w:p>
        </w:tc>
        <w:tc>
          <w:tcPr>
            <w:tcW w:w="850" w:type="dxa"/>
            <w:tcBorders>
              <w:top w:val="nil"/>
              <w:left w:val="nil"/>
              <w:bottom w:val="single" w:sz="4" w:space="0" w:color="auto"/>
              <w:right w:val="single" w:sz="4" w:space="0" w:color="auto"/>
            </w:tcBorders>
            <w:shd w:val="clear" w:color="000000" w:fill="FFFFFF"/>
            <w:noWrap/>
            <w:vAlign w:val="center"/>
          </w:tcPr>
          <w:p w14:paraId="2A161D7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D74C01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49 012,4</w:t>
            </w:r>
          </w:p>
        </w:tc>
        <w:tc>
          <w:tcPr>
            <w:tcW w:w="993" w:type="dxa"/>
            <w:tcBorders>
              <w:top w:val="nil"/>
              <w:left w:val="nil"/>
              <w:bottom w:val="single" w:sz="4" w:space="0" w:color="auto"/>
              <w:right w:val="single" w:sz="4" w:space="0" w:color="auto"/>
            </w:tcBorders>
            <w:shd w:val="clear" w:color="auto" w:fill="auto"/>
            <w:noWrap/>
            <w:vAlign w:val="center"/>
          </w:tcPr>
          <w:p w14:paraId="72FACB4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-0,7</w:t>
            </w:r>
          </w:p>
        </w:tc>
      </w:tr>
      <w:tr w:rsidR="00F3645B" w:rsidRPr="00F3645B" w14:paraId="4680BD63" w14:textId="77777777" w:rsidTr="00545B6E">
        <w:trPr>
          <w:trHeight w:val="337"/>
        </w:trPr>
        <w:tc>
          <w:tcPr>
            <w:tcW w:w="421" w:type="dxa"/>
            <w:tcBorders>
              <w:top w:val="nil"/>
              <w:left w:val="single" w:sz="4" w:space="0" w:color="auto"/>
              <w:bottom w:val="single" w:sz="4" w:space="0" w:color="auto"/>
              <w:right w:val="single" w:sz="4" w:space="0" w:color="auto"/>
            </w:tcBorders>
            <w:shd w:val="clear" w:color="auto" w:fill="auto"/>
            <w:noWrap/>
          </w:tcPr>
          <w:p w14:paraId="3BD9CF5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27</w:t>
            </w:r>
          </w:p>
        </w:tc>
        <w:tc>
          <w:tcPr>
            <w:tcW w:w="3827" w:type="dxa"/>
            <w:tcBorders>
              <w:top w:val="nil"/>
              <w:left w:val="nil"/>
              <w:bottom w:val="single" w:sz="4" w:space="0" w:color="auto"/>
              <w:right w:val="single" w:sz="4" w:space="0" w:color="auto"/>
            </w:tcBorders>
            <w:shd w:val="clear" w:color="auto" w:fill="auto"/>
          </w:tcPr>
          <w:p w14:paraId="2DF36DA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туристско-рекреационного комплекса и народных художественных промыслов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6EC1A87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161 592,3</w:t>
            </w:r>
          </w:p>
        </w:tc>
        <w:tc>
          <w:tcPr>
            <w:tcW w:w="1134" w:type="dxa"/>
            <w:tcBorders>
              <w:top w:val="nil"/>
              <w:left w:val="nil"/>
              <w:bottom w:val="single" w:sz="4" w:space="0" w:color="auto"/>
              <w:right w:val="single" w:sz="4" w:space="0" w:color="auto"/>
            </w:tcBorders>
            <w:shd w:val="clear" w:color="000000" w:fill="FFFFFF"/>
            <w:vAlign w:val="center"/>
          </w:tcPr>
          <w:p w14:paraId="16686AB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161 592,3</w:t>
            </w:r>
          </w:p>
        </w:tc>
        <w:tc>
          <w:tcPr>
            <w:tcW w:w="850" w:type="dxa"/>
            <w:tcBorders>
              <w:top w:val="nil"/>
              <w:left w:val="nil"/>
              <w:bottom w:val="single" w:sz="4" w:space="0" w:color="auto"/>
              <w:right w:val="single" w:sz="4" w:space="0" w:color="auto"/>
            </w:tcBorders>
            <w:shd w:val="clear" w:color="000000" w:fill="FFFFFF"/>
            <w:noWrap/>
            <w:vAlign w:val="center"/>
          </w:tcPr>
          <w:p w14:paraId="3ED2E2F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B5B156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161 591,9</w:t>
            </w:r>
          </w:p>
        </w:tc>
        <w:tc>
          <w:tcPr>
            <w:tcW w:w="993" w:type="dxa"/>
            <w:tcBorders>
              <w:top w:val="nil"/>
              <w:left w:val="nil"/>
              <w:bottom w:val="single" w:sz="4" w:space="0" w:color="auto"/>
              <w:right w:val="single" w:sz="4" w:space="0" w:color="auto"/>
            </w:tcBorders>
            <w:shd w:val="clear" w:color="auto" w:fill="auto"/>
            <w:noWrap/>
            <w:vAlign w:val="center"/>
          </w:tcPr>
          <w:p w14:paraId="3051A05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-0,4</w:t>
            </w:r>
          </w:p>
        </w:tc>
      </w:tr>
      <w:tr w:rsidR="00F3645B" w:rsidRPr="00F3645B" w14:paraId="2C0DA985" w14:textId="77777777" w:rsidTr="00545B6E">
        <w:trPr>
          <w:trHeight w:val="340"/>
        </w:trPr>
        <w:tc>
          <w:tcPr>
            <w:tcW w:w="421" w:type="dxa"/>
            <w:tcBorders>
              <w:top w:val="nil"/>
              <w:left w:val="single" w:sz="4" w:space="0" w:color="auto"/>
              <w:bottom w:val="single" w:sz="4" w:space="0" w:color="auto"/>
              <w:right w:val="single" w:sz="4" w:space="0" w:color="auto"/>
            </w:tcBorders>
            <w:shd w:val="clear" w:color="auto" w:fill="auto"/>
            <w:noWrap/>
          </w:tcPr>
          <w:p w14:paraId="53EE570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98CAB9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туристско-рекреационного комплекса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24A06F3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133 913,9</w:t>
            </w:r>
          </w:p>
        </w:tc>
        <w:tc>
          <w:tcPr>
            <w:tcW w:w="1134" w:type="dxa"/>
            <w:tcBorders>
              <w:top w:val="nil"/>
              <w:left w:val="nil"/>
              <w:bottom w:val="single" w:sz="4" w:space="0" w:color="auto"/>
              <w:right w:val="single" w:sz="4" w:space="0" w:color="auto"/>
            </w:tcBorders>
            <w:shd w:val="clear" w:color="000000" w:fill="FFFFFF"/>
            <w:vAlign w:val="center"/>
          </w:tcPr>
          <w:p w14:paraId="39D862D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133 913,9</w:t>
            </w:r>
          </w:p>
        </w:tc>
        <w:tc>
          <w:tcPr>
            <w:tcW w:w="850" w:type="dxa"/>
            <w:tcBorders>
              <w:top w:val="nil"/>
              <w:left w:val="nil"/>
              <w:bottom w:val="single" w:sz="4" w:space="0" w:color="auto"/>
              <w:right w:val="single" w:sz="4" w:space="0" w:color="auto"/>
            </w:tcBorders>
            <w:shd w:val="clear" w:color="000000" w:fill="FFFFFF"/>
            <w:noWrap/>
            <w:vAlign w:val="center"/>
          </w:tcPr>
          <w:p w14:paraId="3D545FE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8EF97D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133 913,9</w:t>
            </w:r>
          </w:p>
        </w:tc>
        <w:tc>
          <w:tcPr>
            <w:tcW w:w="993" w:type="dxa"/>
            <w:tcBorders>
              <w:top w:val="nil"/>
              <w:left w:val="nil"/>
              <w:bottom w:val="single" w:sz="4" w:space="0" w:color="auto"/>
              <w:right w:val="single" w:sz="4" w:space="0" w:color="auto"/>
            </w:tcBorders>
            <w:shd w:val="clear" w:color="auto" w:fill="auto"/>
            <w:noWrap/>
            <w:vAlign w:val="center"/>
          </w:tcPr>
          <w:p w14:paraId="4AA160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22873A3F" w14:textId="77777777" w:rsidTr="00545B6E">
        <w:trPr>
          <w:trHeight w:val="248"/>
        </w:trPr>
        <w:tc>
          <w:tcPr>
            <w:tcW w:w="421" w:type="dxa"/>
            <w:tcBorders>
              <w:top w:val="nil"/>
              <w:left w:val="single" w:sz="4" w:space="0" w:color="auto"/>
              <w:bottom w:val="single" w:sz="4" w:space="0" w:color="auto"/>
              <w:right w:val="single" w:sz="4" w:space="0" w:color="auto"/>
            </w:tcBorders>
            <w:shd w:val="clear" w:color="auto" w:fill="auto"/>
            <w:noWrap/>
          </w:tcPr>
          <w:p w14:paraId="232D25BD"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160D960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«Развитие народных художественных промыслов и ремесел»</w:t>
            </w:r>
          </w:p>
        </w:tc>
        <w:tc>
          <w:tcPr>
            <w:tcW w:w="1105" w:type="dxa"/>
            <w:tcBorders>
              <w:top w:val="nil"/>
              <w:left w:val="nil"/>
              <w:bottom w:val="single" w:sz="4" w:space="0" w:color="auto"/>
              <w:right w:val="single" w:sz="4" w:space="0" w:color="auto"/>
            </w:tcBorders>
            <w:shd w:val="clear" w:color="auto" w:fill="auto"/>
            <w:vAlign w:val="center"/>
          </w:tcPr>
          <w:p w14:paraId="2240961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17 678,4</w:t>
            </w:r>
          </w:p>
        </w:tc>
        <w:tc>
          <w:tcPr>
            <w:tcW w:w="1134" w:type="dxa"/>
            <w:tcBorders>
              <w:top w:val="nil"/>
              <w:left w:val="nil"/>
              <w:bottom w:val="single" w:sz="4" w:space="0" w:color="auto"/>
              <w:right w:val="single" w:sz="4" w:space="0" w:color="auto"/>
            </w:tcBorders>
            <w:shd w:val="clear" w:color="000000" w:fill="FFFFFF"/>
            <w:vAlign w:val="center"/>
          </w:tcPr>
          <w:p w14:paraId="22CB594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17 678,4</w:t>
            </w:r>
          </w:p>
        </w:tc>
        <w:tc>
          <w:tcPr>
            <w:tcW w:w="850" w:type="dxa"/>
            <w:tcBorders>
              <w:top w:val="nil"/>
              <w:left w:val="nil"/>
              <w:bottom w:val="single" w:sz="4" w:space="0" w:color="auto"/>
              <w:right w:val="single" w:sz="4" w:space="0" w:color="auto"/>
            </w:tcBorders>
            <w:shd w:val="clear" w:color="000000" w:fill="FFFFFF"/>
            <w:noWrap/>
            <w:vAlign w:val="center"/>
          </w:tcPr>
          <w:p w14:paraId="6E2DFAD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4FC434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17 678,0</w:t>
            </w:r>
          </w:p>
        </w:tc>
        <w:tc>
          <w:tcPr>
            <w:tcW w:w="993" w:type="dxa"/>
            <w:tcBorders>
              <w:top w:val="nil"/>
              <w:left w:val="nil"/>
              <w:bottom w:val="single" w:sz="4" w:space="0" w:color="auto"/>
              <w:right w:val="single" w:sz="4" w:space="0" w:color="auto"/>
            </w:tcBorders>
            <w:shd w:val="clear" w:color="auto" w:fill="auto"/>
            <w:noWrap/>
            <w:vAlign w:val="center"/>
          </w:tcPr>
          <w:p w14:paraId="0CAEA1F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-0,4</w:t>
            </w:r>
          </w:p>
        </w:tc>
      </w:tr>
      <w:tr w:rsidR="00F3645B" w:rsidRPr="00F3645B" w14:paraId="2BE71467" w14:textId="77777777" w:rsidTr="00545B6E">
        <w:trPr>
          <w:trHeight w:val="321"/>
        </w:trPr>
        <w:tc>
          <w:tcPr>
            <w:tcW w:w="421" w:type="dxa"/>
            <w:tcBorders>
              <w:top w:val="nil"/>
              <w:left w:val="single" w:sz="4" w:space="0" w:color="auto"/>
              <w:bottom w:val="single" w:sz="4" w:space="0" w:color="auto"/>
              <w:right w:val="single" w:sz="4" w:space="0" w:color="auto"/>
            </w:tcBorders>
            <w:shd w:val="clear" w:color="auto" w:fill="auto"/>
            <w:noWrap/>
          </w:tcPr>
          <w:p w14:paraId="38D2565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847C83B" w14:textId="38ACA11E"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xml:space="preserve">Подпрограмма </w:t>
            </w:r>
            <w:r w:rsidR="00B247CA">
              <w:rPr>
                <w:rFonts w:ascii="Times New Roman" w:eastAsia="Times New Roman" w:hAnsi="Times New Roman" w:cs="Times New Roman"/>
                <w:color w:val="000000"/>
                <w:sz w:val="16"/>
                <w:szCs w:val="16"/>
                <w:lang w:eastAsia="ru-RU"/>
              </w:rPr>
              <w:t>«</w:t>
            </w:r>
            <w:r w:rsidRPr="00F3645B">
              <w:rPr>
                <w:rFonts w:ascii="Times New Roman" w:eastAsia="Times New Roman" w:hAnsi="Times New Roman" w:cs="Times New Roman"/>
                <w:color w:val="000000"/>
                <w:sz w:val="16"/>
                <w:szCs w:val="16"/>
                <w:lang w:eastAsia="ru-RU"/>
              </w:rPr>
              <w:t>Развитие сельского (аграрного) туризма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74D9843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10 000,0</w:t>
            </w:r>
          </w:p>
        </w:tc>
        <w:tc>
          <w:tcPr>
            <w:tcW w:w="1134" w:type="dxa"/>
            <w:tcBorders>
              <w:top w:val="nil"/>
              <w:left w:val="nil"/>
              <w:bottom w:val="single" w:sz="4" w:space="0" w:color="auto"/>
              <w:right w:val="single" w:sz="4" w:space="0" w:color="auto"/>
            </w:tcBorders>
            <w:shd w:val="clear" w:color="000000" w:fill="FFFFFF"/>
            <w:vAlign w:val="center"/>
          </w:tcPr>
          <w:p w14:paraId="57B1B9F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10 000,0</w:t>
            </w:r>
          </w:p>
        </w:tc>
        <w:tc>
          <w:tcPr>
            <w:tcW w:w="850" w:type="dxa"/>
            <w:tcBorders>
              <w:top w:val="nil"/>
              <w:left w:val="nil"/>
              <w:bottom w:val="single" w:sz="4" w:space="0" w:color="auto"/>
              <w:right w:val="single" w:sz="4" w:space="0" w:color="auto"/>
            </w:tcBorders>
            <w:shd w:val="clear" w:color="000000" w:fill="FFFFFF"/>
            <w:noWrap/>
            <w:vAlign w:val="center"/>
          </w:tcPr>
          <w:p w14:paraId="5839564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AAF0E0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10 000,0</w:t>
            </w:r>
          </w:p>
        </w:tc>
        <w:tc>
          <w:tcPr>
            <w:tcW w:w="993" w:type="dxa"/>
            <w:tcBorders>
              <w:top w:val="nil"/>
              <w:left w:val="nil"/>
              <w:bottom w:val="single" w:sz="4" w:space="0" w:color="auto"/>
              <w:right w:val="single" w:sz="4" w:space="0" w:color="auto"/>
            </w:tcBorders>
            <w:shd w:val="clear" w:color="auto" w:fill="auto"/>
            <w:noWrap/>
            <w:vAlign w:val="center"/>
          </w:tcPr>
          <w:p w14:paraId="18B9D32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184B32CC" w14:textId="77777777" w:rsidTr="00545B6E">
        <w:trPr>
          <w:trHeight w:val="327"/>
        </w:trPr>
        <w:tc>
          <w:tcPr>
            <w:tcW w:w="421" w:type="dxa"/>
            <w:tcBorders>
              <w:top w:val="nil"/>
              <w:left w:val="single" w:sz="4" w:space="0" w:color="auto"/>
              <w:bottom w:val="single" w:sz="4" w:space="0" w:color="auto"/>
              <w:right w:val="single" w:sz="4" w:space="0" w:color="auto"/>
            </w:tcBorders>
            <w:shd w:val="clear" w:color="auto" w:fill="auto"/>
            <w:noWrap/>
          </w:tcPr>
          <w:p w14:paraId="5B068FF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28</w:t>
            </w:r>
          </w:p>
        </w:tc>
        <w:tc>
          <w:tcPr>
            <w:tcW w:w="3827" w:type="dxa"/>
            <w:tcBorders>
              <w:top w:val="nil"/>
              <w:left w:val="nil"/>
              <w:bottom w:val="single" w:sz="4" w:space="0" w:color="auto"/>
              <w:right w:val="single" w:sz="4" w:space="0" w:color="auto"/>
            </w:tcBorders>
            <w:shd w:val="clear" w:color="auto" w:fill="auto"/>
          </w:tcPr>
          <w:p w14:paraId="25CD69FF"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рыбохозяйственного комплекса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546813C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52 560,0</w:t>
            </w:r>
          </w:p>
        </w:tc>
        <w:tc>
          <w:tcPr>
            <w:tcW w:w="1134" w:type="dxa"/>
            <w:tcBorders>
              <w:top w:val="nil"/>
              <w:left w:val="nil"/>
              <w:bottom w:val="single" w:sz="4" w:space="0" w:color="auto"/>
              <w:right w:val="single" w:sz="4" w:space="0" w:color="auto"/>
            </w:tcBorders>
            <w:shd w:val="clear" w:color="000000" w:fill="FFFFFF"/>
            <w:vAlign w:val="center"/>
          </w:tcPr>
          <w:p w14:paraId="37CAD53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52 560,0</w:t>
            </w:r>
          </w:p>
        </w:tc>
        <w:tc>
          <w:tcPr>
            <w:tcW w:w="850" w:type="dxa"/>
            <w:tcBorders>
              <w:top w:val="nil"/>
              <w:left w:val="nil"/>
              <w:bottom w:val="single" w:sz="4" w:space="0" w:color="auto"/>
              <w:right w:val="single" w:sz="4" w:space="0" w:color="auto"/>
            </w:tcBorders>
            <w:shd w:val="clear" w:color="000000" w:fill="FFFFFF"/>
            <w:noWrap/>
            <w:vAlign w:val="center"/>
          </w:tcPr>
          <w:p w14:paraId="7B6178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5669BB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52 560,0</w:t>
            </w:r>
          </w:p>
        </w:tc>
        <w:tc>
          <w:tcPr>
            <w:tcW w:w="993" w:type="dxa"/>
            <w:tcBorders>
              <w:top w:val="nil"/>
              <w:left w:val="nil"/>
              <w:bottom w:val="single" w:sz="4" w:space="0" w:color="auto"/>
              <w:right w:val="single" w:sz="4" w:space="0" w:color="auto"/>
            </w:tcBorders>
            <w:shd w:val="clear" w:color="auto" w:fill="auto"/>
            <w:noWrap/>
            <w:vAlign w:val="center"/>
          </w:tcPr>
          <w:p w14:paraId="2C71796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455144DD" w14:textId="77777777" w:rsidTr="00545B6E">
        <w:trPr>
          <w:trHeight w:val="163"/>
        </w:trPr>
        <w:tc>
          <w:tcPr>
            <w:tcW w:w="421" w:type="dxa"/>
            <w:tcBorders>
              <w:top w:val="nil"/>
              <w:left w:val="single" w:sz="4" w:space="0" w:color="auto"/>
              <w:bottom w:val="single" w:sz="4" w:space="0" w:color="auto"/>
              <w:right w:val="single" w:sz="4" w:space="0" w:color="auto"/>
            </w:tcBorders>
            <w:shd w:val="clear" w:color="auto" w:fill="auto"/>
            <w:noWrap/>
          </w:tcPr>
          <w:p w14:paraId="17E86F70"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29</w:t>
            </w:r>
          </w:p>
        </w:tc>
        <w:tc>
          <w:tcPr>
            <w:tcW w:w="3827" w:type="dxa"/>
            <w:tcBorders>
              <w:top w:val="nil"/>
              <w:left w:val="nil"/>
              <w:bottom w:val="single" w:sz="4" w:space="0" w:color="auto"/>
              <w:right w:val="single" w:sz="4" w:space="0" w:color="auto"/>
            </w:tcBorders>
            <w:shd w:val="clear" w:color="auto" w:fill="auto"/>
          </w:tcPr>
          <w:p w14:paraId="4B07DF6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 xml:space="preserve">ГП РД «О противодействии коррупции в </w:t>
            </w:r>
            <w:r w:rsidRPr="00F3645B">
              <w:rPr>
                <w:rFonts w:ascii="Times New Roman" w:eastAsia="Times New Roman" w:hAnsi="Times New Roman" w:cs="Times New Roman"/>
                <w:b/>
                <w:bCs/>
                <w:color w:val="000000"/>
                <w:sz w:val="16"/>
                <w:szCs w:val="16"/>
                <w:lang w:eastAsia="ru-RU"/>
              </w:rPr>
              <w:lastRenderedPageBreak/>
              <w:t>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081313D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lastRenderedPageBreak/>
              <w:t>3 825,0</w:t>
            </w:r>
          </w:p>
        </w:tc>
        <w:tc>
          <w:tcPr>
            <w:tcW w:w="1134" w:type="dxa"/>
            <w:tcBorders>
              <w:top w:val="nil"/>
              <w:left w:val="nil"/>
              <w:bottom w:val="single" w:sz="4" w:space="0" w:color="auto"/>
              <w:right w:val="single" w:sz="4" w:space="0" w:color="auto"/>
            </w:tcBorders>
            <w:shd w:val="clear" w:color="000000" w:fill="FFFFFF"/>
            <w:vAlign w:val="center"/>
          </w:tcPr>
          <w:p w14:paraId="5EEDF91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3 825,0</w:t>
            </w:r>
          </w:p>
        </w:tc>
        <w:tc>
          <w:tcPr>
            <w:tcW w:w="850" w:type="dxa"/>
            <w:tcBorders>
              <w:top w:val="nil"/>
              <w:left w:val="nil"/>
              <w:bottom w:val="single" w:sz="4" w:space="0" w:color="auto"/>
              <w:right w:val="single" w:sz="4" w:space="0" w:color="auto"/>
            </w:tcBorders>
            <w:shd w:val="clear" w:color="000000" w:fill="FFFFFF"/>
            <w:noWrap/>
            <w:vAlign w:val="center"/>
          </w:tcPr>
          <w:p w14:paraId="6A7B136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EA4E51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3 387,1</w:t>
            </w:r>
          </w:p>
        </w:tc>
        <w:tc>
          <w:tcPr>
            <w:tcW w:w="993" w:type="dxa"/>
            <w:tcBorders>
              <w:top w:val="nil"/>
              <w:left w:val="nil"/>
              <w:bottom w:val="single" w:sz="4" w:space="0" w:color="auto"/>
              <w:right w:val="single" w:sz="4" w:space="0" w:color="auto"/>
            </w:tcBorders>
            <w:shd w:val="clear" w:color="auto" w:fill="auto"/>
            <w:noWrap/>
            <w:vAlign w:val="center"/>
          </w:tcPr>
          <w:p w14:paraId="66F44D9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-437,9</w:t>
            </w:r>
          </w:p>
        </w:tc>
      </w:tr>
      <w:tr w:rsidR="00F3645B" w:rsidRPr="00F3645B" w14:paraId="15EA970C" w14:textId="77777777" w:rsidTr="00545B6E">
        <w:trPr>
          <w:trHeight w:val="287"/>
        </w:trPr>
        <w:tc>
          <w:tcPr>
            <w:tcW w:w="421" w:type="dxa"/>
            <w:tcBorders>
              <w:top w:val="nil"/>
              <w:left w:val="single" w:sz="4" w:space="0" w:color="auto"/>
              <w:bottom w:val="single" w:sz="4" w:space="0" w:color="auto"/>
              <w:right w:val="single" w:sz="4" w:space="0" w:color="auto"/>
            </w:tcBorders>
            <w:shd w:val="clear" w:color="auto" w:fill="auto"/>
            <w:noWrap/>
          </w:tcPr>
          <w:p w14:paraId="59CBB62A"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30</w:t>
            </w:r>
          </w:p>
        </w:tc>
        <w:tc>
          <w:tcPr>
            <w:tcW w:w="3827" w:type="dxa"/>
            <w:tcBorders>
              <w:top w:val="nil"/>
              <w:left w:val="nil"/>
              <w:bottom w:val="single" w:sz="4" w:space="0" w:color="auto"/>
              <w:right w:val="single" w:sz="4" w:space="0" w:color="auto"/>
            </w:tcBorders>
            <w:shd w:val="clear" w:color="auto" w:fill="auto"/>
          </w:tcPr>
          <w:p w14:paraId="771847F7"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«Переселение лакского населения Новолакского района на новое место жительства и восстановление Ауховского района»</w:t>
            </w:r>
          </w:p>
        </w:tc>
        <w:tc>
          <w:tcPr>
            <w:tcW w:w="1105" w:type="dxa"/>
            <w:tcBorders>
              <w:top w:val="nil"/>
              <w:left w:val="nil"/>
              <w:bottom w:val="single" w:sz="4" w:space="0" w:color="auto"/>
              <w:right w:val="single" w:sz="4" w:space="0" w:color="auto"/>
            </w:tcBorders>
            <w:shd w:val="clear" w:color="auto" w:fill="auto"/>
            <w:vAlign w:val="center"/>
          </w:tcPr>
          <w:p w14:paraId="798DBF5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565 647,8</w:t>
            </w:r>
          </w:p>
        </w:tc>
        <w:tc>
          <w:tcPr>
            <w:tcW w:w="1134" w:type="dxa"/>
            <w:tcBorders>
              <w:top w:val="nil"/>
              <w:left w:val="nil"/>
              <w:bottom w:val="single" w:sz="4" w:space="0" w:color="auto"/>
              <w:right w:val="single" w:sz="4" w:space="0" w:color="auto"/>
            </w:tcBorders>
            <w:shd w:val="clear" w:color="000000" w:fill="FFFFFF"/>
            <w:vAlign w:val="center"/>
          </w:tcPr>
          <w:p w14:paraId="4DF2937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565 647,8</w:t>
            </w:r>
          </w:p>
        </w:tc>
        <w:tc>
          <w:tcPr>
            <w:tcW w:w="850" w:type="dxa"/>
            <w:tcBorders>
              <w:top w:val="nil"/>
              <w:left w:val="nil"/>
              <w:bottom w:val="single" w:sz="4" w:space="0" w:color="auto"/>
              <w:right w:val="single" w:sz="4" w:space="0" w:color="auto"/>
            </w:tcBorders>
            <w:shd w:val="clear" w:color="000000" w:fill="FFFFFF"/>
            <w:noWrap/>
            <w:vAlign w:val="center"/>
          </w:tcPr>
          <w:p w14:paraId="6E10503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2E21DD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539 934,2</w:t>
            </w:r>
          </w:p>
        </w:tc>
        <w:tc>
          <w:tcPr>
            <w:tcW w:w="993" w:type="dxa"/>
            <w:tcBorders>
              <w:top w:val="nil"/>
              <w:left w:val="nil"/>
              <w:bottom w:val="single" w:sz="4" w:space="0" w:color="auto"/>
              <w:right w:val="single" w:sz="4" w:space="0" w:color="auto"/>
            </w:tcBorders>
            <w:shd w:val="clear" w:color="auto" w:fill="auto"/>
            <w:noWrap/>
            <w:vAlign w:val="center"/>
          </w:tcPr>
          <w:p w14:paraId="37A0265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-25 713,6</w:t>
            </w:r>
          </w:p>
        </w:tc>
      </w:tr>
      <w:tr w:rsidR="00F3645B" w:rsidRPr="00F3645B" w14:paraId="67B8B07E" w14:textId="77777777" w:rsidTr="00545B6E">
        <w:trPr>
          <w:trHeight w:val="187"/>
        </w:trPr>
        <w:tc>
          <w:tcPr>
            <w:tcW w:w="421" w:type="dxa"/>
            <w:tcBorders>
              <w:top w:val="nil"/>
              <w:left w:val="single" w:sz="4" w:space="0" w:color="auto"/>
              <w:bottom w:val="single" w:sz="4" w:space="0" w:color="auto"/>
              <w:right w:val="single" w:sz="4" w:space="0" w:color="auto"/>
            </w:tcBorders>
            <w:shd w:val="clear" w:color="auto" w:fill="auto"/>
            <w:noWrap/>
          </w:tcPr>
          <w:p w14:paraId="63B1528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31</w:t>
            </w:r>
          </w:p>
        </w:tc>
        <w:tc>
          <w:tcPr>
            <w:tcW w:w="3827" w:type="dxa"/>
            <w:tcBorders>
              <w:top w:val="nil"/>
              <w:left w:val="nil"/>
              <w:bottom w:val="single" w:sz="4" w:space="0" w:color="auto"/>
              <w:right w:val="single" w:sz="4" w:space="0" w:color="auto"/>
            </w:tcBorders>
            <w:shd w:val="clear" w:color="auto" w:fill="auto"/>
          </w:tcPr>
          <w:p w14:paraId="24B783C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«Государственная охрана, сохранение, использование, популяризация объектов культурного наследия РД»</w:t>
            </w:r>
          </w:p>
        </w:tc>
        <w:tc>
          <w:tcPr>
            <w:tcW w:w="1105" w:type="dxa"/>
            <w:tcBorders>
              <w:top w:val="nil"/>
              <w:left w:val="nil"/>
              <w:bottom w:val="single" w:sz="4" w:space="0" w:color="auto"/>
              <w:right w:val="single" w:sz="4" w:space="0" w:color="auto"/>
            </w:tcBorders>
            <w:shd w:val="clear" w:color="auto" w:fill="auto"/>
            <w:vAlign w:val="center"/>
          </w:tcPr>
          <w:p w14:paraId="2F46F30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17 167,9</w:t>
            </w:r>
          </w:p>
        </w:tc>
        <w:tc>
          <w:tcPr>
            <w:tcW w:w="1134" w:type="dxa"/>
            <w:tcBorders>
              <w:top w:val="nil"/>
              <w:left w:val="nil"/>
              <w:bottom w:val="single" w:sz="4" w:space="0" w:color="auto"/>
              <w:right w:val="single" w:sz="4" w:space="0" w:color="auto"/>
            </w:tcBorders>
            <w:shd w:val="clear" w:color="000000" w:fill="FFFFFF"/>
            <w:vAlign w:val="center"/>
          </w:tcPr>
          <w:p w14:paraId="4FE66B4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17 167,9</w:t>
            </w:r>
          </w:p>
        </w:tc>
        <w:tc>
          <w:tcPr>
            <w:tcW w:w="850" w:type="dxa"/>
            <w:tcBorders>
              <w:top w:val="nil"/>
              <w:left w:val="nil"/>
              <w:bottom w:val="single" w:sz="4" w:space="0" w:color="auto"/>
              <w:right w:val="single" w:sz="4" w:space="0" w:color="auto"/>
            </w:tcBorders>
            <w:shd w:val="clear" w:color="000000" w:fill="FFFFFF"/>
            <w:noWrap/>
            <w:vAlign w:val="center"/>
          </w:tcPr>
          <w:p w14:paraId="55AE2F7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165F328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17 167,9</w:t>
            </w:r>
          </w:p>
        </w:tc>
        <w:tc>
          <w:tcPr>
            <w:tcW w:w="993" w:type="dxa"/>
            <w:tcBorders>
              <w:top w:val="nil"/>
              <w:left w:val="nil"/>
              <w:bottom w:val="single" w:sz="4" w:space="0" w:color="auto"/>
              <w:right w:val="single" w:sz="4" w:space="0" w:color="auto"/>
            </w:tcBorders>
            <w:shd w:val="clear" w:color="auto" w:fill="auto"/>
            <w:noWrap/>
            <w:vAlign w:val="center"/>
          </w:tcPr>
          <w:p w14:paraId="5D2175F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2382D274" w14:textId="77777777" w:rsidTr="00545B6E">
        <w:trPr>
          <w:trHeight w:val="254"/>
        </w:trPr>
        <w:tc>
          <w:tcPr>
            <w:tcW w:w="421" w:type="dxa"/>
            <w:tcBorders>
              <w:top w:val="nil"/>
              <w:left w:val="single" w:sz="4" w:space="0" w:color="auto"/>
              <w:bottom w:val="single" w:sz="4" w:space="0" w:color="auto"/>
              <w:right w:val="single" w:sz="4" w:space="0" w:color="auto"/>
            </w:tcBorders>
            <w:shd w:val="clear" w:color="auto" w:fill="auto"/>
            <w:noWrap/>
          </w:tcPr>
          <w:p w14:paraId="3357D17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32</w:t>
            </w:r>
          </w:p>
        </w:tc>
        <w:tc>
          <w:tcPr>
            <w:tcW w:w="3827" w:type="dxa"/>
            <w:tcBorders>
              <w:top w:val="nil"/>
              <w:left w:val="nil"/>
              <w:bottom w:val="single" w:sz="4" w:space="0" w:color="auto"/>
              <w:right w:val="single" w:sz="4" w:space="0" w:color="auto"/>
            </w:tcBorders>
            <w:shd w:val="clear" w:color="auto" w:fill="auto"/>
          </w:tcPr>
          <w:p w14:paraId="4B0B1666"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«Формирование современной городской среды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036716E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908 214,0</w:t>
            </w:r>
          </w:p>
        </w:tc>
        <w:tc>
          <w:tcPr>
            <w:tcW w:w="1134" w:type="dxa"/>
            <w:tcBorders>
              <w:top w:val="nil"/>
              <w:left w:val="nil"/>
              <w:bottom w:val="single" w:sz="4" w:space="0" w:color="auto"/>
              <w:right w:val="single" w:sz="4" w:space="0" w:color="auto"/>
            </w:tcBorders>
            <w:shd w:val="clear" w:color="000000" w:fill="FFFFFF"/>
            <w:vAlign w:val="center"/>
          </w:tcPr>
          <w:p w14:paraId="24E7741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908 214,0</w:t>
            </w:r>
          </w:p>
        </w:tc>
        <w:tc>
          <w:tcPr>
            <w:tcW w:w="850" w:type="dxa"/>
            <w:tcBorders>
              <w:top w:val="nil"/>
              <w:left w:val="nil"/>
              <w:bottom w:val="single" w:sz="4" w:space="0" w:color="auto"/>
              <w:right w:val="single" w:sz="4" w:space="0" w:color="auto"/>
            </w:tcBorders>
            <w:shd w:val="clear" w:color="000000" w:fill="FFFFFF"/>
            <w:noWrap/>
            <w:vAlign w:val="center"/>
          </w:tcPr>
          <w:p w14:paraId="5E5C6E3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1AFD1D1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908 214,0</w:t>
            </w:r>
          </w:p>
        </w:tc>
        <w:tc>
          <w:tcPr>
            <w:tcW w:w="993" w:type="dxa"/>
            <w:tcBorders>
              <w:top w:val="nil"/>
              <w:left w:val="nil"/>
              <w:bottom w:val="single" w:sz="4" w:space="0" w:color="auto"/>
              <w:right w:val="single" w:sz="4" w:space="0" w:color="auto"/>
            </w:tcBorders>
            <w:shd w:val="clear" w:color="auto" w:fill="auto"/>
            <w:noWrap/>
            <w:vAlign w:val="center"/>
          </w:tcPr>
          <w:p w14:paraId="7B52689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7D36E624"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6CD07A2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33</w:t>
            </w:r>
          </w:p>
        </w:tc>
        <w:tc>
          <w:tcPr>
            <w:tcW w:w="3827" w:type="dxa"/>
            <w:tcBorders>
              <w:top w:val="nil"/>
              <w:left w:val="nil"/>
              <w:bottom w:val="single" w:sz="4" w:space="0" w:color="auto"/>
              <w:right w:val="single" w:sz="4" w:space="0" w:color="auto"/>
            </w:tcBorders>
            <w:shd w:val="clear" w:color="auto" w:fill="auto"/>
          </w:tcPr>
          <w:p w14:paraId="14EA944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«Оказание содействия добровольному переселению в Республику Дагестан соотечественников, проживающих за рубежом»</w:t>
            </w:r>
          </w:p>
        </w:tc>
        <w:tc>
          <w:tcPr>
            <w:tcW w:w="1105" w:type="dxa"/>
            <w:tcBorders>
              <w:top w:val="nil"/>
              <w:left w:val="nil"/>
              <w:bottom w:val="single" w:sz="4" w:space="0" w:color="auto"/>
              <w:right w:val="single" w:sz="4" w:space="0" w:color="auto"/>
            </w:tcBorders>
            <w:shd w:val="clear" w:color="auto" w:fill="auto"/>
            <w:vAlign w:val="center"/>
          </w:tcPr>
          <w:p w14:paraId="0647B33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624,0</w:t>
            </w:r>
          </w:p>
        </w:tc>
        <w:tc>
          <w:tcPr>
            <w:tcW w:w="1134" w:type="dxa"/>
            <w:tcBorders>
              <w:top w:val="nil"/>
              <w:left w:val="nil"/>
              <w:bottom w:val="single" w:sz="4" w:space="0" w:color="auto"/>
              <w:right w:val="single" w:sz="4" w:space="0" w:color="auto"/>
            </w:tcBorders>
            <w:shd w:val="clear" w:color="000000" w:fill="FFFFFF"/>
            <w:vAlign w:val="center"/>
          </w:tcPr>
          <w:p w14:paraId="07B3717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624,0</w:t>
            </w:r>
          </w:p>
        </w:tc>
        <w:tc>
          <w:tcPr>
            <w:tcW w:w="850" w:type="dxa"/>
            <w:tcBorders>
              <w:top w:val="nil"/>
              <w:left w:val="nil"/>
              <w:bottom w:val="single" w:sz="4" w:space="0" w:color="auto"/>
              <w:right w:val="single" w:sz="4" w:space="0" w:color="auto"/>
            </w:tcBorders>
            <w:shd w:val="clear" w:color="000000" w:fill="FFFFFF"/>
            <w:noWrap/>
            <w:vAlign w:val="center"/>
          </w:tcPr>
          <w:p w14:paraId="0A14C15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949072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616,6</w:t>
            </w:r>
          </w:p>
        </w:tc>
        <w:tc>
          <w:tcPr>
            <w:tcW w:w="993" w:type="dxa"/>
            <w:tcBorders>
              <w:top w:val="nil"/>
              <w:left w:val="nil"/>
              <w:bottom w:val="single" w:sz="4" w:space="0" w:color="auto"/>
              <w:right w:val="single" w:sz="4" w:space="0" w:color="auto"/>
            </w:tcBorders>
            <w:shd w:val="clear" w:color="auto" w:fill="auto"/>
            <w:noWrap/>
            <w:vAlign w:val="center"/>
          </w:tcPr>
          <w:p w14:paraId="61A4755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-7,4</w:t>
            </w:r>
          </w:p>
        </w:tc>
      </w:tr>
      <w:tr w:rsidR="00F3645B" w:rsidRPr="00F3645B" w14:paraId="5F69938F" w14:textId="77777777" w:rsidTr="00545B6E">
        <w:trPr>
          <w:trHeight w:val="187"/>
        </w:trPr>
        <w:tc>
          <w:tcPr>
            <w:tcW w:w="421" w:type="dxa"/>
            <w:tcBorders>
              <w:top w:val="nil"/>
              <w:left w:val="single" w:sz="4" w:space="0" w:color="auto"/>
              <w:bottom w:val="single" w:sz="4" w:space="0" w:color="auto"/>
              <w:right w:val="single" w:sz="4" w:space="0" w:color="auto"/>
            </w:tcBorders>
            <w:shd w:val="clear" w:color="auto" w:fill="auto"/>
            <w:noWrap/>
          </w:tcPr>
          <w:p w14:paraId="3E27FB3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34</w:t>
            </w:r>
          </w:p>
        </w:tc>
        <w:tc>
          <w:tcPr>
            <w:tcW w:w="3827" w:type="dxa"/>
            <w:tcBorders>
              <w:top w:val="nil"/>
              <w:left w:val="nil"/>
              <w:bottom w:val="single" w:sz="4" w:space="0" w:color="auto"/>
              <w:right w:val="single" w:sz="4" w:space="0" w:color="auto"/>
            </w:tcBorders>
            <w:shd w:val="clear" w:color="auto" w:fill="auto"/>
          </w:tcPr>
          <w:p w14:paraId="1EDD953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«Социально-экономическое развитие горных территорий»</w:t>
            </w:r>
          </w:p>
        </w:tc>
        <w:tc>
          <w:tcPr>
            <w:tcW w:w="1105" w:type="dxa"/>
            <w:tcBorders>
              <w:top w:val="nil"/>
              <w:left w:val="nil"/>
              <w:bottom w:val="single" w:sz="4" w:space="0" w:color="auto"/>
              <w:right w:val="single" w:sz="4" w:space="0" w:color="auto"/>
            </w:tcBorders>
            <w:shd w:val="clear" w:color="auto" w:fill="auto"/>
            <w:vAlign w:val="center"/>
          </w:tcPr>
          <w:p w14:paraId="35B170B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90 000,0</w:t>
            </w:r>
          </w:p>
        </w:tc>
        <w:tc>
          <w:tcPr>
            <w:tcW w:w="1134" w:type="dxa"/>
            <w:tcBorders>
              <w:top w:val="nil"/>
              <w:left w:val="nil"/>
              <w:bottom w:val="single" w:sz="4" w:space="0" w:color="auto"/>
              <w:right w:val="single" w:sz="4" w:space="0" w:color="auto"/>
            </w:tcBorders>
            <w:shd w:val="clear" w:color="000000" w:fill="FFFFFF"/>
            <w:vAlign w:val="center"/>
          </w:tcPr>
          <w:p w14:paraId="733CDB6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90 000,0</w:t>
            </w:r>
          </w:p>
        </w:tc>
        <w:tc>
          <w:tcPr>
            <w:tcW w:w="850" w:type="dxa"/>
            <w:tcBorders>
              <w:top w:val="nil"/>
              <w:left w:val="nil"/>
              <w:bottom w:val="single" w:sz="4" w:space="0" w:color="auto"/>
              <w:right w:val="single" w:sz="4" w:space="0" w:color="auto"/>
            </w:tcBorders>
            <w:shd w:val="clear" w:color="000000" w:fill="FFFFFF"/>
            <w:noWrap/>
            <w:vAlign w:val="center"/>
          </w:tcPr>
          <w:p w14:paraId="00B961C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2E99A4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48 169,9</w:t>
            </w:r>
          </w:p>
        </w:tc>
        <w:tc>
          <w:tcPr>
            <w:tcW w:w="993" w:type="dxa"/>
            <w:tcBorders>
              <w:top w:val="nil"/>
              <w:left w:val="nil"/>
              <w:bottom w:val="single" w:sz="4" w:space="0" w:color="auto"/>
              <w:right w:val="single" w:sz="4" w:space="0" w:color="auto"/>
            </w:tcBorders>
            <w:shd w:val="clear" w:color="auto" w:fill="auto"/>
            <w:noWrap/>
            <w:vAlign w:val="center"/>
          </w:tcPr>
          <w:p w14:paraId="36CFDD4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-41 830,1</w:t>
            </w:r>
          </w:p>
        </w:tc>
      </w:tr>
      <w:tr w:rsidR="00F3645B" w:rsidRPr="00F3645B" w14:paraId="4B55715E"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704EC4D1"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35</w:t>
            </w:r>
          </w:p>
        </w:tc>
        <w:tc>
          <w:tcPr>
            <w:tcW w:w="3827" w:type="dxa"/>
            <w:tcBorders>
              <w:top w:val="nil"/>
              <w:left w:val="nil"/>
              <w:bottom w:val="single" w:sz="4" w:space="0" w:color="auto"/>
              <w:right w:val="single" w:sz="4" w:space="0" w:color="auto"/>
            </w:tcBorders>
            <w:shd w:val="clear" w:color="auto" w:fill="auto"/>
          </w:tcPr>
          <w:p w14:paraId="18E16709"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«Комплексное территориальное развитие муниципального образования городской округ "город Дербент»</w:t>
            </w:r>
          </w:p>
        </w:tc>
        <w:tc>
          <w:tcPr>
            <w:tcW w:w="1105" w:type="dxa"/>
            <w:tcBorders>
              <w:top w:val="nil"/>
              <w:left w:val="nil"/>
              <w:bottom w:val="single" w:sz="4" w:space="0" w:color="auto"/>
              <w:right w:val="single" w:sz="4" w:space="0" w:color="auto"/>
            </w:tcBorders>
            <w:shd w:val="clear" w:color="auto" w:fill="auto"/>
            <w:vAlign w:val="center"/>
          </w:tcPr>
          <w:p w14:paraId="1A3A875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5 142 421,7</w:t>
            </w:r>
          </w:p>
        </w:tc>
        <w:tc>
          <w:tcPr>
            <w:tcW w:w="1134" w:type="dxa"/>
            <w:tcBorders>
              <w:top w:val="nil"/>
              <w:left w:val="nil"/>
              <w:bottom w:val="single" w:sz="4" w:space="0" w:color="auto"/>
              <w:right w:val="single" w:sz="4" w:space="0" w:color="auto"/>
            </w:tcBorders>
            <w:shd w:val="clear" w:color="000000" w:fill="FFFFFF"/>
            <w:vAlign w:val="center"/>
          </w:tcPr>
          <w:p w14:paraId="5266912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5 096 451,2</w:t>
            </w:r>
          </w:p>
        </w:tc>
        <w:tc>
          <w:tcPr>
            <w:tcW w:w="850" w:type="dxa"/>
            <w:tcBorders>
              <w:top w:val="nil"/>
              <w:left w:val="nil"/>
              <w:bottom w:val="single" w:sz="4" w:space="0" w:color="auto"/>
              <w:right w:val="single" w:sz="4" w:space="0" w:color="auto"/>
            </w:tcBorders>
            <w:shd w:val="clear" w:color="000000" w:fill="FFFFFF"/>
            <w:noWrap/>
            <w:vAlign w:val="center"/>
          </w:tcPr>
          <w:p w14:paraId="43DB9E1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-45 970,5</w:t>
            </w:r>
          </w:p>
        </w:tc>
        <w:tc>
          <w:tcPr>
            <w:tcW w:w="1134" w:type="dxa"/>
            <w:tcBorders>
              <w:top w:val="nil"/>
              <w:left w:val="nil"/>
              <w:bottom w:val="single" w:sz="4" w:space="0" w:color="auto"/>
              <w:right w:val="single" w:sz="4" w:space="0" w:color="auto"/>
            </w:tcBorders>
            <w:shd w:val="clear" w:color="000000" w:fill="FFFFFF"/>
            <w:vAlign w:val="center"/>
          </w:tcPr>
          <w:p w14:paraId="5B4CF48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4 521 963,0</w:t>
            </w:r>
          </w:p>
        </w:tc>
        <w:tc>
          <w:tcPr>
            <w:tcW w:w="993" w:type="dxa"/>
            <w:tcBorders>
              <w:top w:val="nil"/>
              <w:left w:val="nil"/>
              <w:bottom w:val="single" w:sz="4" w:space="0" w:color="auto"/>
              <w:right w:val="single" w:sz="4" w:space="0" w:color="auto"/>
            </w:tcBorders>
            <w:shd w:val="clear" w:color="auto" w:fill="auto"/>
            <w:noWrap/>
            <w:vAlign w:val="center"/>
          </w:tcPr>
          <w:p w14:paraId="324CE76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-574 488,2</w:t>
            </w:r>
          </w:p>
        </w:tc>
      </w:tr>
      <w:tr w:rsidR="00F3645B" w:rsidRPr="00F3645B" w14:paraId="33116126" w14:textId="77777777" w:rsidTr="00545B6E">
        <w:trPr>
          <w:trHeight w:val="302"/>
        </w:trPr>
        <w:tc>
          <w:tcPr>
            <w:tcW w:w="421" w:type="dxa"/>
            <w:tcBorders>
              <w:top w:val="nil"/>
              <w:left w:val="single" w:sz="4" w:space="0" w:color="auto"/>
              <w:bottom w:val="single" w:sz="4" w:space="0" w:color="auto"/>
              <w:right w:val="single" w:sz="4" w:space="0" w:color="auto"/>
            </w:tcBorders>
            <w:shd w:val="clear" w:color="auto" w:fill="auto"/>
            <w:noWrap/>
          </w:tcPr>
          <w:p w14:paraId="27EB0A07"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36</w:t>
            </w:r>
          </w:p>
        </w:tc>
        <w:tc>
          <w:tcPr>
            <w:tcW w:w="3827" w:type="dxa"/>
            <w:tcBorders>
              <w:top w:val="nil"/>
              <w:left w:val="nil"/>
              <w:bottom w:val="single" w:sz="4" w:space="0" w:color="auto"/>
              <w:right w:val="single" w:sz="4" w:space="0" w:color="auto"/>
            </w:tcBorders>
            <w:shd w:val="clear" w:color="auto" w:fill="auto"/>
          </w:tcPr>
          <w:p w14:paraId="7EEC711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«Комплексное развитие сельских территорий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4FBAF17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1 232 693,6</w:t>
            </w:r>
          </w:p>
        </w:tc>
        <w:tc>
          <w:tcPr>
            <w:tcW w:w="1134" w:type="dxa"/>
            <w:tcBorders>
              <w:top w:val="nil"/>
              <w:left w:val="nil"/>
              <w:bottom w:val="single" w:sz="4" w:space="0" w:color="auto"/>
              <w:right w:val="single" w:sz="4" w:space="0" w:color="auto"/>
            </w:tcBorders>
            <w:shd w:val="clear" w:color="000000" w:fill="FFFFFF"/>
            <w:vAlign w:val="center"/>
          </w:tcPr>
          <w:p w14:paraId="51CF57E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1 232 693,6</w:t>
            </w:r>
          </w:p>
        </w:tc>
        <w:tc>
          <w:tcPr>
            <w:tcW w:w="850" w:type="dxa"/>
            <w:tcBorders>
              <w:top w:val="nil"/>
              <w:left w:val="nil"/>
              <w:bottom w:val="single" w:sz="4" w:space="0" w:color="auto"/>
              <w:right w:val="single" w:sz="4" w:space="0" w:color="auto"/>
            </w:tcBorders>
            <w:shd w:val="clear" w:color="000000" w:fill="FFFFFF"/>
            <w:noWrap/>
            <w:vAlign w:val="center"/>
          </w:tcPr>
          <w:p w14:paraId="1A6BE65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386FDAD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1 159 541,2</w:t>
            </w:r>
          </w:p>
        </w:tc>
        <w:tc>
          <w:tcPr>
            <w:tcW w:w="993" w:type="dxa"/>
            <w:tcBorders>
              <w:top w:val="nil"/>
              <w:left w:val="nil"/>
              <w:bottom w:val="single" w:sz="4" w:space="0" w:color="auto"/>
              <w:right w:val="single" w:sz="4" w:space="0" w:color="auto"/>
            </w:tcBorders>
            <w:shd w:val="clear" w:color="auto" w:fill="auto"/>
            <w:noWrap/>
            <w:vAlign w:val="center"/>
          </w:tcPr>
          <w:p w14:paraId="362B380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-73 152,4</w:t>
            </w:r>
          </w:p>
        </w:tc>
      </w:tr>
      <w:tr w:rsidR="00F3645B" w:rsidRPr="00F3645B" w14:paraId="2B850608"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3CC8CB44"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7E2ACF1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«Создание условий для обеспечения доступным и комфортным жильем сельского населения»</w:t>
            </w:r>
          </w:p>
        </w:tc>
        <w:tc>
          <w:tcPr>
            <w:tcW w:w="1105" w:type="dxa"/>
            <w:tcBorders>
              <w:top w:val="nil"/>
              <w:left w:val="nil"/>
              <w:bottom w:val="single" w:sz="4" w:space="0" w:color="auto"/>
              <w:right w:val="single" w:sz="4" w:space="0" w:color="auto"/>
            </w:tcBorders>
            <w:shd w:val="clear" w:color="auto" w:fill="auto"/>
            <w:vAlign w:val="center"/>
          </w:tcPr>
          <w:p w14:paraId="4B57619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14 286,1</w:t>
            </w:r>
          </w:p>
        </w:tc>
        <w:tc>
          <w:tcPr>
            <w:tcW w:w="1134" w:type="dxa"/>
            <w:tcBorders>
              <w:top w:val="nil"/>
              <w:left w:val="nil"/>
              <w:bottom w:val="single" w:sz="4" w:space="0" w:color="auto"/>
              <w:right w:val="single" w:sz="4" w:space="0" w:color="auto"/>
            </w:tcBorders>
            <w:shd w:val="clear" w:color="000000" w:fill="FFFFFF"/>
            <w:vAlign w:val="center"/>
          </w:tcPr>
          <w:p w14:paraId="724805E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14 286,1</w:t>
            </w:r>
          </w:p>
        </w:tc>
        <w:tc>
          <w:tcPr>
            <w:tcW w:w="850" w:type="dxa"/>
            <w:tcBorders>
              <w:top w:val="nil"/>
              <w:left w:val="nil"/>
              <w:bottom w:val="single" w:sz="4" w:space="0" w:color="auto"/>
              <w:right w:val="single" w:sz="4" w:space="0" w:color="auto"/>
            </w:tcBorders>
            <w:shd w:val="clear" w:color="000000" w:fill="FFFFFF"/>
            <w:noWrap/>
            <w:vAlign w:val="center"/>
          </w:tcPr>
          <w:p w14:paraId="5017F25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1B807A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14 286,1</w:t>
            </w:r>
          </w:p>
        </w:tc>
        <w:tc>
          <w:tcPr>
            <w:tcW w:w="993" w:type="dxa"/>
            <w:tcBorders>
              <w:top w:val="nil"/>
              <w:left w:val="nil"/>
              <w:bottom w:val="single" w:sz="4" w:space="0" w:color="auto"/>
              <w:right w:val="single" w:sz="4" w:space="0" w:color="auto"/>
            </w:tcBorders>
            <w:shd w:val="clear" w:color="auto" w:fill="auto"/>
            <w:noWrap/>
            <w:vAlign w:val="center"/>
          </w:tcPr>
          <w:p w14:paraId="4C09B58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749CE461" w14:textId="77777777" w:rsidTr="00545B6E">
        <w:trPr>
          <w:trHeight w:val="357"/>
        </w:trPr>
        <w:tc>
          <w:tcPr>
            <w:tcW w:w="421" w:type="dxa"/>
            <w:tcBorders>
              <w:top w:val="nil"/>
              <w:left w:val="single" w:sz="4" w:space="0" w:color="auto"/>
              <w:bottom w:val="single" w:sz="4" w:space="0" w:color="auto"/>
              <w:right w:val="single" w:sz="4" w:space="0" w:color="auto"/>
            </w:tcBorders>
            <w:shd w:val="clear" w:color="auto" w:fill="auto"/>
            <w:noWrap/>
          </w:tcPr>
          <w:p w14:paraId="29453786"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5F6FE89E"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«Создание и развитие инфраструктуры на сельских территориях»</w:t>
            </w:r>
          </w:p>
        </w:tc>
        <w:tc>
          <w:tcPr>
            <w:tcW w:w="1105" w:type="dxa"/>
            <w:tcBorders>
              <w:top w:val="nil"/>
              <w:left w:val="nil"/>
              <w:bottom w:val="single" w:sz="4" w:space="0" w:color="auto"/>
              <w:right w:val="single" w:sz="4" w:space="0" w:color="auto"/>
            </w:tcBorders>
            <w:shd w:val="clear" w:color="auto" w:fill="auto"/>
            <w:vAlign w:val="center"/>
          </w:tcPr>
          <w:p w14:paraId="633BE68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1 218 407,6</w:t>
            </w:r>
          </w:p>
        </w:tc>
        <w:tc>
          <w:tcPr>
            <w:tcW w:w="1134" w:type="dxa"/>
            <w:tcBorders>
              <w:top w:val="nil"/>
              <w:left w:val="nil"/>
              <w:bottom w:val="single" w:sz="4" w:space="0" w:color="auto"/>
              <w:right w:val="single" w:sz="4" w:space="0" w:color="auto"/>
            </w:tcBorders>
            <w:shd w:val="clear" w:color="000000" w:fill="FFFFFF"/>
            <w:vAlign w:val="center"/>
          </w:tcPr>
          <w:p w14:paraId="0C08209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1 218 407,6</w:t>
            </w:r>
          </w:p>
        </w:tc>
        <w:tc>
          <w:tcPr>
            <w:tcW w:w="850" w:type="dxa"/>
            <w:tcBorders>
              <w:top w:val="nil"/>
              <w:left w:val="nil"/>
              <w:bottom w:val="single" w:sz="4" w:space="0" w:color="auto"/>
              <w:right w:val="single" w:sz="4" w:space="0" w:color="auto"/>
            </w:tcBorders>
            <w:shd w:val="clear" w:color="000000" w:fill="FFFFFF"/>
            <w:noWrap/>
            <w:vAlign w:val="center"/>
          </w:tcPr>
          <w:p w14:paraId="2ED7F0C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2D3C5ED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1 145 255,1</w:t>
            </w:r>
          </w:p>
        </w:tc>
        <w:tc>
          <w:tcPr>
            <w:tcW w:w="993" w:type="dxa"/>
            <w:tcBorders>
              <w:top w:val="nil"/>
              <w:left w:val="nil"/>
              <w:bottom w:val="single" w:sz="4" w:space="0" w:color="auto"/>
              <w:right w:val="single" w:sz="4" w:space="0" w:color="auto"/>
            </w:tcBorders>
            <w:shd w:val="clear" w:color="auto" w:fill="auto"/>
            <w:noWrap/>
            <w:vAlign w:val="center"/>
          </w:tcPr>
          <w:p w14:paraId="000FAE4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-73 152,5</w:t>
            </w:r>
          </w:p>
        </w:tc>
      </w:tr>
      <w:tr w:rsidR="00F3645B" w:rsidRPr="00F3645B" w14:paraId="214D84CE"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41F2453E"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37</w:t>
            </w:r>
          </w:p>
        </w:tc>
        <w:tc>
          <w:tcPr>
            <w:tcW w:w="3827" w:type="dxa"/>
            <w:tcBorders>
              <w:top w:val="nil"/>
              <w:left w:val="nil"/>
              <w:bottom w:val="single" w:sz="4" w:space="0" w:color="auto"/>
              <w:right w:val="single" w:sz="4" w:space="0" w:color="auto"/>
            </w:tcBorders>
            <w:shd w:val="clear" w:color="auto" w:fill="auto"/>
          </w:tcPr>
          <w:p w14:paraId="06572149"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«Укрепление здоровья, увеличение периода активного долголетия и продолжительности здоровой жизни граждан старшего поколения»</w:t>
            </w:r>
          </w:p>
        </w:tc>
        <w:tc>
          <w:tcPr>
            <w:tcW w:w="1105" w:type="dxa"/>
            <w:tcBorders>
              <w:top w:val="nil"/>
              <w:left w:val="nil"/>
              <w:bottom w:val="single" w:sz="4" w:space="0" w:color="auto"/>
              <w:right w:val="single" w:sz="4" w:space="0" w:color="auto"/>
            </w:tcBorders>
            <w:shd w:val="clear" w:color="auto" w:fill="auto"/>
            <w:vAlign w:val="center"/>
          </w:tcPr>
          <w:p w14:paraId="57A4A51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48,3</w:t>
            </w:r>
          </w:p>
        </w:tc>
        <w:tc>
          <w:tcPr>
            <w:tcW w:w="1134" w:type="dxa"/>
            <w:tcBorders>
              <w:top w:val="nil"/>
              <w:left w:val="nil"/>
              <w:bottom w:val="single" w:sz="4" w:space="0" w:color="auto"/>
              <w:right w:val="single" w:sz="4" w:space="0" w:color="auto"/>
            </w:tcBorders>
            <w:shd w:val="clear" w:color="000000" w:fill="FFFFFF"/>
            <w:vAlign w:val="center"/>
          </w:tcPr>
          <w:p w14:paraId="625F413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48,3</w:t>
            </w:r>
          </w:p>
        </w:tc>
        <w:tc>
          <w:tcPr>
            <w:tcW w:w="850" w:type="dxa"/>
            <w:tcBorders>
              <w:top w:val="nil"/>
              <w:left w:val="nil"/>
              <w:bottom w:val="single" w:sz="4" w:space="0" w:color="auto"/>
              <w:right w:val="single" w:sz="4" w:space="0" w:color="auto"/>
            </w:tcBorders>
            <w:shd w:val="clear" w:color="000000" w:fill="FFFFFF"/>
            <w:noWrap/>
            <w:vAlign w:val="center"/>
          </w:tcPr>
          <w:p w14:paraId="7B54F81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05BDD3B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48,3</w:t>
            </w:r>
          </w:p>
        </w:tc>
        <w:tc>
          <w:tcPr>
            <w:tcW w:w="993" w:type="dxa"/>
            <w:tcBorders>
              <w:top w:val="nil"/>
              <w:left w:val="nil"/>
              <w:bottom w:val="single" w:sz="4" w:space="0" w:color="auto"/>
              <w:right w:val="single" w:sz="4" w:space="0" w:color="auto"/>
            </w:tcBorders>
            <w:shd w:val="clear" w:color="auto" w:fill="auto"/>
            <w:noWrap/>
            <w:vAlign w:val="center"/>
          </w:tcPr>
          <w:p w14:paraId="5E709D4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15AB51FB" w14:textId="77777777" w:rsidTr="00545B6E">
        <w:trPr>
          <w:trHeight w:val="319"/>
        </w:trPr>
        <w:tc>
          <w:tcPr>
            <w:tcW w:w="421" w:type="dxa"/>
            <w:tcBorders>
              <w:top w:val="nil"/>
              <w:left w:val="single" w:sz="4" w:space="0" w:color="auto"/>
              <w:bottom w:val="single" w:sz="4" w:space="0" w:color="auto"/>
              <w:right w:val="single" w:sz="4" w:space="0" w:color="auto"/>
            </w:tcBorders>
            <w:shd w:val="clear" w:color="auto" w:fill="auto"/>
            <w:noWrap/>
          </w:tcPr>
          <w:p w14:paraId="35ECA389"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38</w:t>
            </w:r>
          </w:p>
        </w:tc>
        <w:tc>
          <w:tcPr>
            <w:tcW w:w="3827" w:type="dxa"/>
            <w:tcBorders>
              <w:top w:val="nil"/>
              <w:left w:val="nil"/>
              <w:bottom w:val="single" w:sz="4" w:space="0" w:color="auto"/>
              <w:right w:val="single" w:sz="4" w:space="0" w:color="auto"/>
            </w:tcBorders>
            <w:shd w:val="clear" w:color="auto" w:fill="auto"/>
          </w:tcPr>
          <w:p w14:paraId="524A8A4C"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«Борьба с сердечно-сосудистыми заболеваниями»</w:t>
            </w:r>
          </w:p>
        </w:tc>
        <w:tc>
          <w:tcPr>
            <w:tcW w:w="1105" w:type="dxa"/>
            <w:tcBorders>
              <w:top w:val="nil"/>
              <w:left w:val="nil"/>
              <w:bottom w:val="single" w:sz="4" w:space="0" w:color="auto"/>
              <w:right w:val="single" w:sz="4" w:space="0" w:color="auto"/>
            </w:tcBorders>
            <w:shd w:val="clear" w:color="auto" w:fill="auto"/>
            <w:vAlign w:val="center"/>
          </w:tcPr>
          <w:p w14:paraId="10A8630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195 468,2</w:t>
            </w:r>
          </w:p>
        </w:tc>
        <w:tc>
          <w:tcPr>
            <w:tcW w:w="1134" w:type="dxa"/>
            <w:tcBorders>
              <w:top w:val="nil"/>
              <w:left w:val="nil"/>
              <w:bottom w:val="single" w:sz="4" w:space="0" w:color="auto"/>
              <w:right w:val="single" w:sz="4" w:space="0" w:color="auto"/>
            </w:tcBorders>
            <w:shd w:val="clear" w:color="000000" w:fill="FFFFFF"/>
            <w:vAlign w:val="center"/>
          </w:tcPr>
          <w:p w14:paraId="26EC8A3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195 468,2</w:t>
            </w:r>
          </w:p>
        </w:tc>
        <w:tc>
          <w:tcPr>
            <w:tcW w:w="850" w:type="dxa"/>
            <w:tcBorders>
              <w:top w:val="nil"/>
              <w:left w:val="nil"/>
              <w:bottom w:val="single" w:sz="4" w:space="0" w:color="auto"/>
              <w:right w:val="single" w:sz="4" w:space="0" w:color="auto"/>
            </w:tcBorders>
            <w:shd w:val="clear" w:color="000000" w:fill="FFFFFF"/>
            <w:noWrap/>
            <w:vAlign w:val="center"/>
          </w:tcPr>
          <w:p w14:paraId="5B803FE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220FA9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195 468,2</w:t>
            </w:r>
          </w:p>
        </w:tc>
        <w:tc>
          <w:tcPr>
            <w:tcW w:w="993" w:type="dxa"/>
            <w:tcBorders>
              <w:top w:val="nil"/>
              <w:left w:val="nil"/>
              <w:bottom w:val="single" w:sz="4" w:space="0" w:color="auto"/>
              <w:right w:val="single" w:sz="4" w:space="0" w:color="auto"/>
            </w:tcBorders>
            <w:shd w:val="clear" w:color="auto" w:fill="auto"/>
            <w:noWrap/>
            <w:vAlign w:val="center"/>
          </w:tcPr>
          <w:p w14:paraId="2639E24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02134496" w14:textId="77777777" w:rsidTr="00545B6E">
        <w:trPr>
          <w:trHeight w:val="190"/>
        </w:trPr>
        <w:tc>
          <w:tcPr>
            <w:tcW w:w="421" w:type="dxa"/>
            <w:tcBorders>
              <w:top w:val="nil"/>
              <w:left w:val="single" w:sz="4" w:space="0" w:color="auto"/>
              <w:bottom w:val="single" w:sz="4" w:space="0" w:color="auto"/>
              <w:right w:val="single" w:sz="4" w:space="0" w:color="auto"/>
            </w:tcBorders>
            <w:shd w:val="clear" w:color="auto" w:fill="auto"/>
            <w:noWrap/>
          </w:tcPr>
          <w:p w14:paraId="6874D1E3"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39</w:t>
            </w:r>
          </w:p>
        </w:tc>
        <w:tc>
          <w:tcPr>
            <w:tcW w:w="3827" w:type="dxa"/>
            <w:tcBorders>
              <w:top w:val="nil"/>
              <w:left w:val="nil"/>
              <w:bottom w:val="single" w:sz="4" w:space="0" w:color="auto"/>
              <w:right w:val="single" w:sz="4" w:space="0" w:color="auto"/>
            </w:tcBorders>
            <w:shd w:val="clear" w:color="auto" w:fill="auto"/>
          </w:tcPr>
          <w:p w14:paraId="64A4EB2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«Борьба с онкологическими заболеваниями»</w:t>
            </w:r>
          </w:p>
        </w:tc>
        <w:tc>
          <w:tcPr>
            <w:tcW w:w="1105" w:type="dxa"/>
            <w:tcBorders>
              <w:top w:val="nil"/>
              <w:left w:val="nil"/>
              <w:bottom w:val="single" w:sz="4" w:space="0" w:color="auto"/>
              <w:right w:val="single" w:sz="4" w:space="0" w:color="auto"/>
            </w:tcBorders>
            <w:shd w:val="clear" w:color="auto" w:fill="auto"/>
            <w:vAlign w:val="center"/>
          </w:tcPr>
          <w:p w14:paraId="25DDEA0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305 070,5</w:t>
            </w:r>
          </w:p>
        </w:tc>
        <w:tc>
          <w:tcPr>
            <w:tcW w:w="1134" w:type="dxa"/>
            <w:tcBorders>
              <w:top w:val="nil"/>
              <w:left w:val="nil"/>
              <w:bottom w:val="single" w:sz="4" w:space="0" w:color="auto"/>
              <w:right w:val="single" w:sz="4" w:space="0" w:color="auto"/>
            </w:tcBorders>
            <w:shd w:val="clear" w:color="000000" w:fill="FFFFFF"/>
            <w:vAlign w:val="center"/>
          </w:tcPr>
          <w:p w14:paraId="4D688EA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305 070,5</w:t>
            </w:r>
          </w:p>
        </w:tc>
        <w:tc>
          <w:tcPr>
            <w:tcW w:w="850" w:type="dxa"/>
            <w:tcBorders>
              <w:top w:val="nil"/>
              <w:left w:val="nil"/>
              <w:bottom w:val="single" w:sz="4" w:space="0" w:color="auto"/>
              <w:right w:val="single" w:sz="4" w:space="0" w:color="auto"/>
            </w:tcBorders>
            <w:shd w:val="clear" w:color="000000" w:fill="FFFFFF"/>
            <w:noWrap/>
            <w:vAlign w:val="center"/>
          </w:tcPr>
          <w:p w14:paraId="3F354A4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A70373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302 070,5</w:t>
            </w:r>
          </w:p>
        </w:tc>
        <w:tc>
          <w:tcPr>
            <w:tcW w:w="993" w:type="dxa"/>
            <w:tcBorders>
              <w:top w:val="nil"/>
              <w:left w:val="nil"/>
              <w:bottom w:val="single" w:sz="4" w:space="0" w:color="auto"/>
              <w:right w:val="single" w:sz="4" w:space="0" w:color="auto"/>
            </w:tcBorders>
            <w:shd w:val="clear" w:color="auto" w:fill="auto"/>
            <w:noWrap/>
            <w:vAlign w:val="center"/>
          </w:tcPr>
          <w:p w14:paraId="3E02877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-3 000,0</w:t>
            </w:r>
          </w:p>
        </w:tc>
      </w:tr>
      <w:tr w:rsidR="00F3645B" w:rsidRPr="00F3645B" w14:paraId="5956B31A" w14:textId="77777777" w:rsidTr="00545B6E">
        <w:trPr>
          <w:trHeight w:val="381"/>
        </w:trPr>
        <w:tc>
          <w:tcPr>
            <w:tcW w:w="421" w:type="dxa"/>
            <w:tcBorders>
              <w:top w:val="nil"/>
              <w:left w:val="single" w:sz="4" w:space="0" w:color="auto"/>
              <w:bottom w:val="single" w:sz="4" w:space="0" w:color="auto"/>
              <w:right w:val="single" w:sz="4" w:space="0" w:color="auto"/>
            </w:tcBorders>
            <w:shd w:val="clear" w:color="auto" w:fill="auto"/>
            <w:noWrap/>
          </w:tcPr>
          <w:p w14:paraId="383AE0FF"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45D65A73"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«Переоснащение медицинских организаций, оказывающих медицинскую помощь больным с онкологическими заболеваниями»</w:t>
            </w:r>
          </w:p>
        </w:tc>
        <w:tc>
          <w:tcPr>
            <w:tcW w:w="1105" w:type="dxa"/>
            <w:tcBorders>
              <w:top w:val="nil"/>
              <w:left w:val="nil"/>
              <w:bottom w:val="single" w:sz="4" w:space="0" w:color="auto"/>
              <w:right w:val="single" w:sz="4" w:space="0" w:color="auto"/>
            </w:tcBorders>
            <w:shd w:val="clear" w:color="auto" w:fill="auto"/>
            <w:vAlign w:val="center"/>
          </w:tcPr>
          <w:p w14:paraId="4B58C70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252 150,5</w:t>
            </w:r>
          </w:p>
        </w:tc>
        <w:tc>
          <w:tcPr>
            <w:tcW w:w="1134" w:type="dxa"/>
            <w:tcBorders>
              <w:top w:val="nil"/>
              <w:left w:val="nil"/>
              <w:bottom w:val="single" w:sz="4" w:space="0" w:color="auto"/>
              <w:right w:val="single" w:sz="4" w:space="0" w:color="auto"/>
            </w:tcBorders>
            <w:shd w:val="clear" w:color="000000" w:fill="FFFFFF"/>
            <w:vAlign w:val="center"/>
          </w:tcPr>
          <w:p w14:paraId="27D7CB1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252 150,5</w:t>
            </w:r>
          </w:p>
        </w:tc>
        <w:tc>
          <w:tcPr>
            <w:tcW w:w="850" w:type="dxa"/>
            <w:tcBorders>
              <w:top w:val="nil"/>
              <w:left w:val="nil"/>
              <w:bottom w:val="single" w:sz="4" w:space="0" w:color="auto"/>
              <w:right w:val="single" w:sz="4" w:space="0" w:color="auto"/>
            </w:tcBorders>
            <w:shd w:val="clear" w:color="000000" w:fill="FFFFFF"/>
            <w:noWrap/>
            <w:vAlign w:val="center"/>
          </w:tcPr>
          <w:p w14:paraId="1C979ECE"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FB4100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249 150,5</w:t>
            </w:r>
          </w:p>
        </w:tc>
        <w:tc>
          <w:tcPr>
            <w:tcW w:w="993" w:type="dxa"/>
            <w:tcBorders>
              <w:top w:val="nil"/>
              <w:left w:val="nil"/>
              <w:bottom w:val="single" w:sz="4" w:space="0" w:color="auto"/>
              <w:right w:val="single" w:sz="4" w:space="0" w:color="auto"/>
            </w:tcBorders>
            <w:shd w:val="clear" w:color="auto" w:fill="auto"/>
            <w:noWrap/>
            <w:vAlign w:val="center"/>
          </w:tcPr>
          <w:p w14:paraId="39D91DB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-3 000,0</w:t>
            </w:r>
          </w:p>
        </w:tc>
      </w:tr>
      <w:tr w:rsidR="00F3645B" w:rsidRPr="00F3645B" w14:paraId="3C3A6174" w14:textId="77777777" w:rsidTr="00545B6E">
        <w:trPr>
          <w:trHeight w:val="274"/>
        </w:trPr>
        <w:tc>
          <w:tcPr>
            <w:tcW w:w="421" w:type="dxa"/>
            <w:tcBorders>
              <w:top w:val="nil"/>
              <w:left w:val="single" w:sz="4" w:space="0" w:color="auto"/>
              <w:bottom w:val="single" w:sz="4" w:space="0" w:color="auto"/>
              <w:right w:val="single" w:sz="4" w:space="0" w:color="auto"/>
            </w:tcBorders>
            <w:shd w:val="clear" w:color="auto" w:fill="auto"/>
            <w:noWrap/>
          </w:tcPr>
          <w:p w14:paraId="6E21C54F"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tcPr>
          <w:p w14:paraId="209B51E0"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Подпрограмма «Организация сети центров амбулаторной онкологической помощи в медицинских организациях Республики Дагестан»</w:t>
            </w:r>
          </w:p>
        </w:tc>
        <w:tc>
          <w:tcPr>
            <w:tcW w:w="1105" w:type="dxa"/>
            <w:tcBorders>
              <w:top w:val="nil"/>
              <w:left w:val="nil"/>
              <w:bottom w:val="single" w:sz="4" w:space="0" w:color="auto"/>
              <w:right w:val="single" w:sz="4" w:space="0" w:color="auto"/>
            </w:tcBorders>
            <w:shd w:val="clear" w:color="000000" w:fill="FFFFFF"/>
            <w:vAlign w:val="center"/>
          </w:tcPr>
          <w:p w14:paraId="01A0C0B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52 920,0</w:t>
            </w:r>
          </w:p>
        </w:tc>
        <w:tc>
          <w:tcPr>
            <w:tcW w:w="1134" w:type="dxa"/>
            <w:tcBorders>
              <w:top w:val="nil"/>
              <w:left w:val="nil"/>
              <w:bottom w:val="single" w:sz="4" w:space="0" w:color="auto"/>
              <w:right w:val="single" w:sz="4" w:space="0" w:color="auto"/>
            </w:tcBorders>
            <w:shd w:val="clear" w:color="000000" w:fill="FFFFFF"/>
            <w:vAlign w:val="center"/>
          </w:tcPr>
          <w:p w14:paraId="0F0CF04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52 920,0</w:t>
            </w:r>
          </w:p>
        </w:tc>
        <w:tc>
          <w:tcPr>
            <w:tcW w:w="850" w:type="dxa"/>
            <w:tcBorders>
              <w:top w:val="nil"/>
              <w:left w:val="nil"/>
              <w:bottom w:val="single" w:sz="4" w:space="0" w:color="auto"/>
              <w:right w:val="single" w:sz="4" w:space="0" w:color="auto"/>
            </w:tcBorders>
            <w:shd w:val="clear" w:color="000000" w:fill="FFFFFF"/>
            <w:noWrap/>
            <w:vAlign w:val="center"/>
          </w:tcPr>
          <w:p w14:paraId="7E6A096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4F71882"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52 920,0</w:t>
            </w:r>
          </w:p>
        </w:tc>
        <w:tc>
          <w:tcPr>
            <w:tcW w:w="993" w:type="dxa"/>
            <w:tcBorders>
              <w:top w:val="nil"/>
              <w:left w:val="nil"/>
              <w:bottom w:val="single" w:sz="4" w:space="0" w:color="auto"/>
              <w:right w:val="single" w:sz="4" w:space="0" w:color="auto"/>
            </w:tcBorders>
            <w:shd w:val="clear" w:color="auto" w:fill="auto"/>
            <w:noWrap/>
            <w:vAlign w:val="center"/>
          </w:tcPr>
          <w:p w14:paraId="567406E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color w:val="000000"/>
                <w:sz w:val="16"/>
                <w:szCs w:val="16"/>
                <w:lang w:eastAsia="ru-RU"/>
              </w:rPr>
            </w:pPr>
            <w:r w:rsidRPr="00F3645B">
              <w:rPr>
                <w:rFonts w:ascii="Times New Roman" w:eastAsia="Times New Roman" w:hAnsi="Times New Roman" w:cs="Times New Roman"/>
                <w:color w:val="000000"/>
                <w:sz w:val="16"/>
                <w:szCs w:val="16"/>
                <w:lang w:eastAsia="ru-RU"/>
              </w:rPr>
              <w:t>0,0</w:t>
            </w:r>
          </w:p>
        </w:tc>
      </w:tr>
      <w:tr w:rsidR="00F3645B" w:rsidRPr="00F3645B" w14:paraId="65792133" w14:textId="77777777" w:rsidTr="00545B6E">
        <w:trPr>
          <w:trHeight w:val="260"/>
        </w:trPr>
        <w:tc>
          <w:tcPr>
            <w:tcW w:w="421" w:type="dxa"/>
            <w:tcBorders>
              <w:top w:val="nil"/>
              <w:left w:val="single" w:sz="4" w:space="0" w:color="auto"/>
              <w:bottom w:val="single" w:sz="4" w:space="0" w:color="auto"/>
              <w:right w:val="single" w:sz="4" w:space="0" w:color="auto"/>
            </w:tcBorders>
            <w:shd w:val="clear" w:color="auto" w:fill="auto"/>
            <w:noWrap/>
          </w:tcPr>
          <w:p w14:paraId="554C272D" w14:textId="132D1983"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w:t>
            </w:r>
            <w:r w:rsidR="00B247CA">
              <w:rPr>
                <w:rFonts w:ascii="Times New Roman" w:eastAsia="Times New Roman" w:hAnsi="Times New Roman" w:cs="Times New Roman"/>
                <w:b/>
                <w:bCs/>
                <w:color w:val="000000"/>
                <w:sz w:val="16"/>
                <w:szCs w:val="16"/>
                <w:lang w:eastAsia="ru-RU"/>
              </w:rPr>
              <w:t>0</w:t>
            </w:r>
          </w:p>
        </w:tc>
        <w:tc>
          <w:tcPr>
            <w:tcW w:w="3827" w:type="dxa"/>
            <w:tcBorders>
              <w:top w:val="nil"/>
              <w:left w:val="nil"/>
              <w:bottom w:val="single" w:sz="4" w:space="0" w:color="auto"/>
              <w:right w:val="single" w:sz="4" w:space="0" w:color="auto"/>
            </w:tcBorders>
            <w:shd w:val="clear" w:color="auto" w:fill="auto"/>
          </w:tcPr>
          <w:p w14:paraId="6587C7AE"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системы оказания паллиативной медицинской помощи»</w:t>
            </w:r>
          </w:p>
        </w:tc>
        <w:tc>
          <w:tcPr>
            <w:tcW w:w="1105" w:type="dxa"/>
            <w:tcBorders>
              <w:top w:val="nil"/>
              <w:left w:val="nil"/>
              <w:bottom w:val="single" w:sz="4" w:space="0" w:color="auto"/>
              <w:right w:val="single" w:sz="4" w:space="0" w:color="auto"/>
            </w:tcBorders>
            <w:shd w:val="clear" w:color="auto" w:fill="auto"/>
            <w:vAlign w:val="center"/>
          </w:tcPr>
          <w:p w14:paraId="2504525A"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123 356,1</w:t>
            </w:r>
          </w:p>
        </w:tc>
        <w:tc>
          <w:tcPr>
            <w:tcW w:w="1134" w:type="dxa"/>
            <w:tcBorders>
              <w:top w:val="nil"/>
              <w:left w:val="nil"/>
              <w:bottom w:val="single" w:sz="4" w:space="0" w:color="auto"/>
              <w:right w:val="single" w:sz="4" w:space="0" w:color="auto"/>
            </w:tcBorders>
            <w:shd w:val="clear" w:color="000000" w:fill="FFFFFF"/>
            <w:vAlign w:val="center"/>
          </w:tcPr>
          <w:p w14:paraId="31D80F0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123 354,9</w:t>
            </w:r>
          </w:p>
        </w:tc>
        <w:tc>
          <w:tcPr>
            <w:tcW w:w="850" w:type="dxa"/>
            <w:tcBorders>
              <w:top w:val="nil"/>
              <w:left w:val="nil"/>
              <w:bottom w:val="single" w:sz="4" w:space="0" w:color="auto"/>
              <w:right w:val="single" w:sz="4" w:space="0" w:color="auto"/>
            </w:tcBorders>
            <w:shd w:val="clear" w:color="000000" w:fill="FFFFFF"/>
            <w:noWrap/>
            <w:vAlign w:val="center"/>
          </w:tcPr>
          <w:p w14:paraId="48C457B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-1,2</w:t>
            </w:r>
          </w:p>
        </w:tc>
        <w:tc>
          <w:tcPr>
            <w:tcW w:w="1134" w:type="dxa"/>
            <w:tcBorders>
              <w:top w:val="nil"/>
              <w:left w:val="nil"/>
              <w:bottom w:val="single" w:sz="4" w:space="0" w:color="auto"/>
              <w:right w:val="single" w:sz="4" w:space="0" w:color="auto"/>
            </w:tcBorders>
            <w:shd w:val="clear" w:color="000000" w:fill="FFFFFF"/>
            <w:vAlign w:val="center"/>
          </w:tcPr>
          <w:p w14:paraId="2F65730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75 678,1</w:t>
            </w:r>
          </w:p>
        </w:tc>
        <w:tc>
          <w:tcPr>
            <w:tcW w:w="993" w:type="dxa"/>
            <w:tcBorders>
              <w:top w:val="nil"/>
              <w:left w:val="nil"/>
              <w:bottom w:val="single" w:sz="4" w:space="0" w:color="auto"/>
              <w:right w:val="single" w:sz="4" w:space="0" w:color="auto"/>
            </w:tcBorders>
            <w:shd w:val="clear" w:color="auto" w:fill="auto"/>
            <w:noWrap/>
            <w:vAlign w:val="center"/>
          </w:tcPr>
          <w:p w14:paraId="61FA96D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-47 676,8</w:t>
            </w:r>
          </w:p>
        </w:tc>
      </w:tr>
      <w:tr w:rsidR="00F3645B" w:rsidRPr="00F3645B" w14:paraId="4A240556" w14:textId="77777777" w:rsidTr="00545B6E">
        <w:trPr>
          <w:trHeight w:val="204"/>
        </w:trPr>
        <w:tc>
          <w:tcPr>
            <w:tcW w:w="421" w:type="dxa"/>
            <w:tcBorders>
              <w:top w:val="nil"/>
              <w:left w:val="single" w:sz="4" w:space="0" w:color="auto"/>
              <w:bottom w:val="single" w:sz="4" w:space="0" w:color="auto"/>
              <w:right w:val="single" w:sz="4" w:space="0" w:color="auto"/>
            </w:tcBorders>
            <w:shd w:val="clear" w:color="auto" w:fill="auto"/>
            <w:noWrap/>
          </w:tcPr>
          <w:p w14:paraId="72FB87BA" w14:textId="41D430A9"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w:t>
            </w:r>
            <w:r w:rsidR="00B247CA">
              <w:rPr>
                <w:rFonts w:ascii="Times New Roman" w:eastAsia="Times New Roman" w:hAnsi="Times New Roman" w:cs="Times New Roman"/>
                <w:b/>
                <w:bCs/>
                <w:color w:val="000000"/>
                <w:sz w:val="16"/>
                <w:szCs w:val="16"/>
                <w:lang w:eastAsia="ru-RU"/>
              </w:rPr>
              <w:t>1</w:t>
            </w:r>
          </w:p>
        </w:tc>
        <w:tc>
          <w:tcPr>
            <w:tcW w:w="3827" w:type="dxa"/>
            <w:tcBorders>
              <w:top w:val="nil"/>
              <w:left w:val="nil"/>
              <w:bottom w:val="single" w:sz="4" w:space="0" w:color="auto"/>
              <w:right w:val="single" w:sz="4" w:space="0" w:color="auto"/>
            </w:tcBorders>
            <w:shd w:val="clear" w:color="auto" w:fill="auto"/>
          </w:tcPr>
          <w:p w14:paraId="3692E17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мировой юстиции в Республике Дагестан»</w:t>
            </w:r>
          </w:p>
        </w:tc>
        <w:tc>
          <w:tcPr>
            <w:tcW w:w="1105" w:type="dxa"/>
            <w:tcBorders>
              <w:top w:val="nil"/>
              <w:left w:val="nil"/>
              <w:bottom w:val="single" w:sz="4" w:space="0" w:color="auto"/>
              <w:right w:val="single" w:sz="4" w:space="0" w:color="auto"/>
            </w:tcBorders>
            <w:shd w:val="clear" w:color="auto" w:fill="auto"/>
            <w:vAlign w:val="center"/>
          </w:tcPr>
          <w:p w14:paraId="3BE10FB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404 138,9</w:t>
            </w:r>
          </w:p>
        </w:tc>
        <w:tc>
          <w:tcPr>
            <w:tcW w:w="1134" w:type="dxa"/>
            <w:tcBorders>
              <w:top w:val="nil"/>
              <w:left w:val="nil"/>
              <w:bottom w:val="single" w:sz="4" w:space="0" w:color="auto"/>
              <w:right w:val="single" w:sz="4" w:space="0" w:color="auto"/>
            </w:tcBorders>
            <w:shd w:val="clear" w:color="000000" w:fill="FFFFFF"/>
            <w:vAlign w:val="center"/>
          </w:tcPr>
          <w:p w14:paraId="4424A5C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404 138,9</w:t>
            </w:r>
          </w:p>
        </w:tc>
        <w:tc>
          <w:tcPr>
            <w:tcW w:w="850" w:type="dxa"/>
            <w:tcBorders>
              <w:top w:val="nil"/>
              <w:left w:val="nil"/>
              <w:bottom w:val="single" w:sz="4" w:space="0" w:color="auto"/>
              <w:right w:val="single" w:sz="4" w:space="0" w:color="auto"/>
            </w:tcBorders>
            <w:shd w:val="clear" w:color="000000" w:fill="FFFFFF"/>
            <w:noWrap/>
            <w:vAlign w:val="center"/>
          </w:tcPr>
          <w:p w14:paraId="4CF8123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3DFA2C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402 960,0</w:t>
            </w:r>
          </w:p>
        </w:tc>
        <w:tc>
          <w:tcPr>
            <w:tcW w:w="993" w:type="dxa"/>
            <w:tcBorders>
              <w:top w:val="nil"/>
              <w:left w:val="nil"/>
              <w:bottom w:val="single" w:sz="4" w:space="0" w:color="auto"/>
              <w:right w:val="single" w:sz="4" w:space="0" w:color="auto"/>
            </w:tcBorders>
            <w:shd w:val="clear" w:color="auto" w:fill="auto"/>
            <w:noWrap/>
            <w:vAlign w:val="center"/>
          </w:tcPr>
          <w:p w14:paraId="1575254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-1 178,9</w:t>
            </w:r>
          </w:p>
        </w:tc>
      </w:tr>
      <w:tr w:rsidR="00F3645B" w:rsidRPr="00F3645B" w14:paraId="4A42850D" w14:textId="77777777" w:rsidTr="00545B6E">
        <w:trPr>
          <w:trHeight w:val="517"/>
        </w:trPr>
        <w:tc>
          <w:tcPr>
            <w:tcW w:w="421" w:type="dxa"/>
            <w:tcBorders>
              <w:top w:val="nil"/>
              <w:left w:val="single" w:sz="4" w:space="0" w:color="auto"/>
              <w:bottom w:val="single" w:sz="4" w:space="0" w:color="auto"/>
              <w:right w:val="single" w:sz="4" w:space="0" w:color="auto"/>
            </w:tcBorders>
            <w:shd w:val="clear" w:color="auto" w:fill="auto"/>
            <w:noWrap/>
          </w:tcPr>
          <w:p w14:paraId="62ED8756" w14:textId="4966DB93"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w:t>
            </w:r>
            <w:r w:rsidR="00B247CA">
              <w:rPr>
                <w:rFonts w:ascii="Times New Roman" w:eastAsia="Times New Roman" w:hAnsi="Times New Roman" w:cs="Times New Roman"/>
                <w:b/>
                <w:bCs/>
                <w:color w:val="000000"/>
                <w:sz w:val="16"/>
                <w:szCs w:val="16"/>
                <w:lang w:eastAsia="ru-RU"/>
              </w:rPr>
              <w:t>2</w:t>
            </w:r>
          </w:p>
        </w:tc>
        <w:tc>
          <w:tcPr>
            <w:tcW w:w="3827" w:type="dxa"/>
            <w:tcBorders>
              <w:top w:val="nil"/>
              <w:left w:val="nil"/>
              <w:bottom w:val="single" w:sz="4" w:space="0" w:color="auto"/>
              <w:right w:val="single" w:sz="4" w:space="0" w:color="auto"/>
            </w:tcBorders>
            <w:shd w:val="clear" w:color="auto" w:fill="auto"/>
          </w:tcPr>
          <w:p w14:paraId="4D6DD8F1"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Межведомственная программа по вопросам профилактики ВИЧ-инфекций в ключевых группах населения в РД на 2020-2022 годы</w:t>
            </w:r>
          </w:p>
        </w:tc>
        <w:tc>
          <w:tcPr>
            <w:tcW w:w="1105" w:type="dxa"/>
            <w:tcBorders>
              <w:top w:val="nil"/>
              <w:left w:val="nil"/>
              <w:bottom w:val="single" w:sz="4" w:space="0" w:color="auto"/>
              <w:right w:val="single" w:sz="4" w:space="0" w:color="auto"/>
            </w:tcBorders>
            <w:shd w:val="clear" w:color="auto" w:fill="auto"/>
            <w:vAlign w:val="center"/>
          </w:tcPr>
          <w:p w14:paraId="0A28623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5 315,0</w:t>
            </w:r>
          </w:p>
        </w:tc>
        <w:tc>
          <w:tcPr>
            <w:tcW w:w="1134" w:type="dxa"/>
            <w:tcBorders>
              <w:top w:val="nil"/>
              <w:left w:val="nil"/>
              <w:bottom w:val="single" w:sz="4" w:space="0" w:color="auto"/>
              <w:right w:val="single" w:sz="4" w:space="0" w:color="auto"/>
            </w:tcBorders>
            <w:shd w:val="clear" w:color="000000" w:fill="FFFFFF"/>
            <w:vAlign w:val="center"/>
          </w:tcPr>
          <w:p w14:paraId="4A4C37C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5 315,0</w:t>
            </w:r>
          </w:p>
        </w:tc>
        <w:tc>
          <w:tcPr>
            <w:tcW w:w="850" w:type="dxa"/>
            <w:tcBorders>
              <w:top w:val="nil"/>
              <w:left w:val="nil"/>
              <w:bottom w:val="single" w:sz="4" w:space="0" w:color="auto"/>
              <w:right w:val="single" w:sz="4" w:space="0" w:color="auto"/>
            </w:tcBorders>
            <w:shd w:val="clear" w:color="000000" w:fill="FFFFFF"/>
            <w:noWrap/>
            <w:vAlign w:val="center"/>
          </w:tcPr>
          <w:p w14:paraId="690409A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5AF264D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5 315,0</w:t>
            </w:r>
          </w:p>
        </w:tc>
        <w:tc>
          <w:tcPr>
            <w:tcW w:w="993" w:type="dxa"/>
            <w:tcBorders>
              <w:top w:val="nil"/>
              <w:left w:val="nil"/>
              <w:bottom w:val="single" w:sz="4" w:space="0" w:color="auto"/>
              <w:right w:val="single" w:sz="4" w:space="0" w:color="auto"/>
            </w:tcBorders>
            <w:shd w:val="clear" w:color="auto" w:fill="auto"/>
            <w:noWrap/>
            <w:vAlign w:val="center"/>
          </w:tcPr>
          <w:p w14:paraId="20146A6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7979305D" w14:textId="77777777" w:rsidTr="00545B6E">
        <w:trPr>
          <w:trHeight w:val="175"/>
        </w:trPr>
        <w:tc>
          <w:tcPr>
            <w:tcW w:w="421" w:type="dxa"/>
            <w:tcBorders>
              <w:top w:val="nil"/>
              <w:left w:val="single" w:sz="4" w:space="0" w:color="auto"/>
              <w:bottom w:val="single" w:sz="4" w:space="0" w:color="auto"/>
              <w:right w:val="single" w:sz="4" w:space="0" w:color="auto"/>
            </w:tcBorders>
            <w:shd w:val="clear" w:color="auto" w:fill="auto"/>
            <w:noWrap/>
          </w:tcPr>
          <w:p w14:paraId="74F70DD3" w14:textId="181AA8E9"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w:t>
            </w:r>
            <w:r w:rsidR="00B247CA">
              <w:rPr>
                <w:rFonts w:ascii="Times New Roman" w:eastAsia="Times New Roman" w:hAnsi="Times New Roman" w:cs="Times New Roman"/>
                <w:b/>
                <w:bCs/>
                <w:color w:val="000000"/>
                <w:sz w:val="16"/>
                <w:szCs w:val="16"/>
                <w:lang w:eastAsia="ru-RU"/>
              </w:rPr>
              <w:t>3</w:t>
            </w:r>
          </w:p>
        </w:tc>
        <w:tc>
          <w:tcPr>
            <w:tcW w:w="3827" w:type="dxa"/>
            <w:tcBorders>
              <w:top w:val="nil"/>
              <w:left w:val="nil"/>
              <w:bottom w:val="single" w:sz="4" w:space="0" w:color="auto"/>
              <w:right w:val="single" w:sz="4" w:space="0" w:color="auto"/>
            </w:tcBorders>
            <w:shd w:val="clear" w:color="auto" w:fill="auto"/>
          </w:tcPr>
          <w:p w14:paraId="44DA4A25"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«Мужское репродуктивное здоровье»</w:t>
            </w:r>
          </w:p>
        </w:tc>
        <w:tc>
          <w:tcPr>
            <w:tcW w:w="1105" w:type="dxa"/>
            <w:tcBorders>
              <w:top w:val="nil"/>
              <w:left w:val="nil"/>
              <w:bottom w:val="single" w:sz="4" w:space="0" w:color="auto"/>
              <w:right w:val="single" w:sz="4" w:space="0" w:color="auto"/>
            </w:tcBorders>
            <w:shd w:val="clear" w:color="auto" w:fill="auto"/>
            <w:vAlign w:val="center"/>
          </w:tcPr>
          <w:p w14:paraId="055B35E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52 303,3</w:t>
            </w:r>
          </w:p>
        </w:tc>
        <w:tc>
          <w:tcPr>
            <w:tcW w:w="1134" w:type="dxa"/>
            <w:tcBorders>
              <w:top w:val="nil"/>
              <w:left w:val="nil"/>
              <w:bottom w:val="single" w:sz="4" w:space="0" w:color="auto"/>
              <w:right w:val="single" w:sz="4" w:space="0" w:color="auto"/>
            </w:tcBorders>
            <w:shd w:val="clear" w:color="000000" w:fill="FFFFFF"/>
            <w:vAlign w:val="center"/>
          </w:tcPr>
          <w:p w14:paraId="172F84D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52 303,3</w:t>
            </w:r>
          </w:p>
        </w:tc>
        <w:tc>
          <w:tcPr>
            <w:tcW w:w="850" w:type="dxa"/>
            <w:tcBorders>
              <w:top w:val="nil"/>
              <w:left w:val="nil"/>
              <w:bottom w:val="single" w:sz="4" w:space="0" w:color="auto"/>
              <w:right w:val="single" w:sz="4" w:space="0" w:color="auto"/>
            </w:tcBorders>
            <w:shd w:val="clear" w:color="000000" w:fill="FFFFFF"/>
            <w:noWrap/>
            <w:vAlign w:val="center"/>
          </w:tcPr>
          <w:p w14:paraId="1507B5C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3D530F6"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35 272,3</w:t>
            </w:r>
          </w:p>
        </w:tc>
        <w:tc>
          <w:tcPr>
            <w:tcW w:w="993" w:type="dxa"/>
            <w:tcBorders>
              <w:top w:val="nil"/>
              <w:left w:val="nil"/>
              <w:bottom w:val="single" w:sz="4" w:space="0" w:color="auto"/>
              <w:right w:val="single" w:sz="4" w:space="0" w:color="auto"/>
            </w:tcBorders>
            <w:shd w:val="clear" w:color="auto" w:fill="auto"/>
            <w:noWrap/>
            <w:vAlign w:val="center"/>
          </w:tcPr>
          <w:p w14:paraId="04C44AE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-17 031,0</w:t>
            </w:r>
          </w:p>
        </w:tc>
      </w:tr>
      <w:tr w:rsidR="00F3645B" w:rsidRPr="00F3645B" w14:paraId="618897BB" w14:textId="77777777" w:rsidTr="00545B6E">
        <w:trPr>
          <w:trHeight w:val="306"/>
        </w:trPr>
        <w:tc>
          <w:tcPr>
            <w:tcW w:w="421" w:type="dxa"/>
            <w:tcBorders>
              <w:top w:val="nil"/>
              <w:left w:val="single" w:sz="4" w:space="0" w:color="auto"/>
              <w:bottom w:val="single" w:sz="4" w:space="0" w:color="auto"/>
              <w:right w:val="single" w:sz="4" w:space="0" w:color="auto"/>
            </w:tcBorders>
            <w:shd w:val="clear" w:color="auto" w:fill="auto"/>
            <w:noWrap/>
          </w:tcPr>
          <w:p w14:paraId="39415A72" w14:textId="7ED64FCB"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w:t>
            </w:r>
            <w:r w:rsidR="00B247CA">
              <w:rPr>
                <w:rFonts w:ascii="Times New Roman" w:eastAsia="Times New Roman" w:hAnsi="Times New Roman" w:cs="Times New Roman"/>
                <w:b/>
                <w:bCs/>
                <w:color w:val="000000"/>
                <w:sz w:val="16"/>
                <w:szCs w:val="16"/>
                <w:lang w:eastAsia="ru-RU"/>
              </w:rPr>
              <w:t>4</w:t>
            </w:r>
          </w:p>
        </w:tc>
        <w:tc>
          <w:tcPr>
            <w:tcW w:w="3827" w:type="dxa"/>
            <w:tcBorders>
              <w:top w:val="nil"/>
              <w:left w:val="nil"/>
              <w:bottom w:val="single" w:sz="4" w:space="0" w:color="auto"/>
              <w:right w:val="single" w:sz="4" w:space="0" w:color="auto"/>
            </w:tcBorders>
            <w:shd w:val="clear" w:color="auto" w:fill="auto"/>
          </w:tcPr>
          <w:p w14:paraId="1B37883B"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«Развитие топливно-энергетического комплекса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3C71F77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526 580,9</w:t>
            </w:r>
          </w:p>
        </w:tc>
        <w:tc>
          <w:tcPr>
            <w:tcW w:w="1134" w:type="dxa"/>
            <w:tcBorders>
              <w:top w:val="nil"/>
              <w:left w:val="nil"/>
              <w:bottom w:val="single" w:sz="4" w:space="0" w:color="auto"/>
              <w:right w:val="single" w:sz="4" w:space="0" w:color="auto"/>
            </w:tcBorders>
            <w:shd w:val="clear" w:color="000000" w:fill="FFFFFF"/>
            <w:vAlign w:val="center"/>
          </w:tcPr>
          <w:p w14:paraId="7B2FFE6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526 580,9</w:t>
            </w:r>
          </w:p>
        </w:tc>
        <w:tc>
          <w:tcPr>
            <w:tcW w:w="850" w:type="dxa"/>
            <w:tcBorders>
              <w:top w:val="nil"/>
              <w:left w:val="nil"/>
              <w:bottom w:val="single" w:sz="4" w:space="0" w:color="auto"/>
              <w:right w:val="single" w:sz="4" w:space="0" w:color="auto"/>
            </w:tcBorders>
            <w:shd w:val="clear" w:color="000000" w:fill="FFFFFF"/>
            <w:noWrap/>
            <w:vAlign w:val="center"/>
          </w:tcPr>
          <w:p w14:paraId="7B408624"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75671EAB"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431 305,4</w:t>
            </w:r>
          </w:p>
        </w:tc>
        <w:tc>
          <w:tcPr>
            <w:tcW w:w="993" w:type="dxa"/>
            <w:tcBorders>
              <w:top w:val="nil"/>
              <w:left w:val="nil"/>
              <w:bottom w:val="single" w:sz="4" w:space="0" w:color="auto"/>
              <w:right w:val="single" w:sz="4" w:space="0" w:color="auto"/>
            </w:tcBorders>
            <w:shd w:val="clear" w:color="auto" w:fill="auto"/>
            <w:noWrap/>
            <w:vAlign w:val="center"/>
          </w:tcPr>
          <w:p w14:paraId="10106F40"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-95 275,5</w:t>
            </w:r>
          </w:p>
        </w:tc>
      </w:tr>
      <w:tr w:rsidR="00F3645B" w:rsidRPr="00F3645B" w14:paraId="48AD1693" w14:textId="77777777" w:rsidTr="00545B6E">
        <w:trPr>
          <w:trHeight w:val="212"/>
        </w:trPr>
        <w:tc>
          <w:tcPr>
            <w:tcW w:w="421" w:type="dxa"/>
            <w:tcBorders>
              <w:top w:val="nil"/>
              <w:left w:val="single" w:sz="4" w:space="0" w:color="auto"/>
              <w:bottom w:val="single" w:sz="4" w:space="0" w:color="auto"/>
              <w:right w:val="single" w:sz="4" w:space="0" w:color="auto"/>
            </w:tcBorders>
            <w:shd w:val="clear" w:color="auto" w:fill="auto"/>
            <w:noWrap/>
          </w:tcPr>
          <w:p w14:paraId="5031C496" w14:textId="2B816140"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w:t>
            </w:r>
            <w:r w:rsidR="00B247CA">
              <w:rPr>
                <w:rFonts w:ascii="Times New Roman" w:eastAsia="Times New Roman" w:hAnsi="Times New Roman" w:cs="Times New Roman"/>
                <w:b/>
                <w:bCs/>
                <w:color w:val="000000"/>
                <w:sz w:val="16"/>
                <w:szCs w:val="16"/>
                <w:lang w:eastAsia="ru-RU"/>
              </w:rPr>
              <w:t>5</w:t>
            </w:r>
          </w:p>
        </w:tc>
        <w:tc>
          <w:tcPr>
            <w:tcW w:w="3827" w:type="dxa"/>
            <w:tcBorders>
              <w:top w:val="nil"/>
              <w:left w:val="nil"/>
              <w:bottom w:val="single" w:sz="4" w:space="0" w:color="auto"/>
              <w:right w:val="single" w:sz="4" w:space="0" w:color="auto"/>
            </w:tcBorders>
            <w:shd w:val="clear" w:color="auto" w:fill="auto"/>
          </w:tcPr>
          <w:p w14:paraId="204F9EA9"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«Модернизация первичного звена здравоохранения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2986900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1 148 157,5</w:t>
            </w:r>
          </w:p>
        </w:tc>
        <w:tc>
          <w:tcPr>
            <w:tcW w:w="1134" w:type="dxa"/>
            <w:tcBorders>
              <w:top w:val="nil"/>
              <w:left w:val="nil"/>
              <w:bottom w:val="single" w:sz="4" w:space="0" w:color="auto"/>
              <w:right w:val="single" w:sz="4" w:space="0" w:color="auto"/>
            </w:tcBorders>
            <w:shd w:val="clear" w:color="000000" w:fill="FFFFFF"/>
            <w:vAlign w:val="center"/>
          </w:tcPr>
          <w:p w14:paraId="2A4F9C08"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1 148 157,5</w:t>
            </w:r>
          </w:p>
        </w:tc>
        <w:tc>
          <w:tcPr>
            <w:tcW w:w="850" w:type="dxa"/>
            <w:tcBorders>
              <w:top w:val="nil"/>
              <w:left w:val="nil"/>
              <w:bottom w:val="single" w:sz="4" w:space="0" w:color="auto"/>
              <w:right w:val="single" w:sz="4" w:space="0" w:color="auto"/>
            </w:tcBorders>
            <w:shd w:val="clear" w:color="000000" w:fill="FFFFFF"/>
            <w:noWrap/>
            <w:vAlign w:val="center"/>
          </w:tcPr>
          <w:p w14:paraId="4B21A9AF"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6577830D"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770 392,7</w:t>
            </w:r>
          </w:p>
        </w:tc>
        <w:tc>
          <w:tcPr>
            <w:tcW w:w="993" w:type="dxa"/>
            <w:tcBorders>
              <w:top w:val="nil"/>
              <w:left w:val="nil"/>
              <w:bottom w:val="single" w:sz="4" w:space="0" w:color="auto"/>
              <w:right w:val="single" w:sz="4" w:space="0" w:color="auto"/>
            </w:tcBorders>
            <w:shd w:val="clear" w:color="auto" w:fill="auto"/>
            <w:noWrap/>
            <w:vAlign w:val="center"/>
          </w:tcPr>
          <w:p w14:paraId="34EB79D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-377 764,8</w:t>
            </w:r>
          </w:p>
        </w:tc>
      </w:tr>
      <w:tr w:rsidR="00F3645B" w:rsidRPr="00F3645B" w14:paraId="56EE6547" w14:textId="77777777" w:rsidTr="00545B6E">
        <w:trPr>
          <w:trHeight w:val="378"/>
        </w:trPr>
        <w:tc>
          <w:tcPr>
            <w:tcW w:w="421" w:type="dxa"/>
            <w:tcBorders>
              <w:top w:val="nil"/>
              <w:left w:val="single" w:sz="4" w:space="0" w:color="auto"/>
              <w:bottom w:val="single" w:sz="4" w:space="0" w:color="auto"/>
              <w:right w:val="single" w:sz="4" w:space="0" w:color="auto"/>
            </w:tcBorders>
            <w:shd w:val="clear" w:color="auto" w:fill="auto"/>
            <w:noWrap/>
          </w:tcPr>
          <w:p w14:paraId="3347E277" w14:textId="5077D953"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w:t>
            </w:r>
            <w:r w:rsidR="00B247CA">
              <w:rPr>
                <w:rFonts w:ascii="Times New Roman" w:eastAsia="Times New Roman" w:hAnsi="Times New Roman" w:cs="Times New Roman"/>
                <w:b/>
                <w:bCs/>
                <w:color w:val="000000"/>
                <w:sz w:val="16"/>
                <w:szCs w:val="16"/>
                <w:lang w:eastAsia="ru-RU"/>
              </w:rPr>
              <w:t>6</w:t>
            </w:r>
          </w:p>
        </w:tc>
        <w:tc>
          <w:tcPr>
            <w:tcW w:w="3827" w:type="dxa"/>
            <w:tcBorders>
              <w:top w:val="nil"/>
              <w:left w:val="nil"/>
              <w:bottom w:val="single" w:sz="4" w:space="0" w:color="auto"/>
              <w:right w:val="single" w:sz="4" w:space="0" w:color="auto"/>
            </w:tcBorders>
            <w:shd w:val="clear" w:color="auto" w:fill="auto"/>
          </w:tcPr>
          <w:p w14:paraId="67C7B9A2" w14:textId="77777777" w:rsidR="00F3645B" w:rsidRPr="00F3645B" w:rsidRDefault="00F3645B" w:rsidP="00F3645B">
            <w:pPr>
              <w:widowControl w:val="0"/>
              <w:autoSpaceDE w:val="0"/>
              <w:autoSpaceDN w:val="0"/>
              <w:adjustRightInd w:val="0"/>
              <w:spacing w:after="0" w:line="240" w:lineRule="auto"/>
              <w:jc w:val="both"/>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ГП РД «Обеспечение развития и реализации городским округом с внутригородским делением «город Махачкала» функций столицы Республики Дагестан»</w:t>
            </w:r>
          </w:p>
        </w:tc>
        <w:tc>
          <w:tcPr>
            <w:tcW w:w="1105" w:type="dxa"/>
            <w:tcBorders>
              <w:top w:val="nil"/>
              <w:left w:val="nil"/>
              <w:bottom w:val="single" w:sz="4" w:space="0" w:color="auto"/>
              <w:right w:val="single" w:sz="4" w:space="0" w:color="auto"/>
            </w:tcBorders>
            <w:shd w:val="clear" w:color="auto" w:fill="auto"/>
            <w:vAlign w:val="center"/>
          </w:tcPr>
          <w:p w14:paraId="742963D9"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500 000,0</w:t>
            </w:r>
          </w:p>
        </w:tc>
        <w:tc>
          <w:tcPr>
            <w:tcW w:w="1134" w:type="dxa"/>
            <w:tcBorders>
              <w:top w:val="nil"/>
              <w:left w:val="nil"/>
              <w:bottom w:val="single" w:sz="4" w:space="0" w:color="auto"/>
              <w:right w:val="single" w:sz="4" w:space="0" w:color="auto"/>
            </w:tcBorders>
            <w:shd w:val="clear" w:color="000000" w:fill="FFFFFF"/>
            <w:vAlign w:val="center"/>
          </w:tcPr>
          <w:p w14:paraId="72E88087"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500 000,0</w:t>
            </w:r>
          </w:p>
        </w:tc>
        <w:tc>
          <w:tcPr>
            <w:tcW w:w="850" w:type="dxa"/>
            <w:tcBorders>
              <w:top w:val="nil"/>
              <w:left w:val="nil"/>
              <w:bottom w:val="single" w:sz="4" w:space="0" w:color="auto"/>
              <w:right w:val="single" w:sz="4" w:space="0" w:color="auto"/>
            </w:tcBorders>
            <w:shd w:val="clear" w:color="000000" w:fill="FFFFFF"/>
            <w:noWrap/>
            <w:vAlign w:val="center"/>
          </w:tcPr>
          <w:p w14:paraId="5C97AF41"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vAlign w:val="center"/>
          </w:tcPr>
          <w:p w14:paraId="422B4653"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500 000,0</w:t>
            </w:r>
          </w:p>
        </w:tc>
        <w:tc>
          <w:tcPr>
            <w:tcW w:w="993" w:type="dxa"/>
            <w:tcBorders>
              <w:top w:val="nil"/>
              <w:left w:val="nil"/>
              <w:bottom w:val="single" w:sz="4" w:space="0" w:color="auto"/>
              <w:right w:val="single" w:sz="4" w:space="0" w:color="auto"/>
            </w:tcBorders>
            <w:shd w:val="clear" w:color="auto" w:fill="auto"/>
            <w:noWrap/>
            <w:vAlign w:val="center"/>
          </w:tcPr>
          <w:p w14:paraId="1135C5B5"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0,0</w:t>
            </w:r>
          </w:p>
        </w:tc>
      </w:tr>
      <w:tr w:rsidR="00F3645B" w:rsidRPr="00F3645B" w14:paraId="11240693" w14:textId="77777777" w:rsidTr="00545B6E">
        <w:trPr>
          <w:trHeight w:val="212"/>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2B03B4C" w14:textId="77777777" w:rsidR="00F3645B" w:rsidRPr="00F3645B" w:rsidRDefault="00F3645B" w:rsidP="00F3645B">
            <w:pPr>
              <w:widowControl w:val="0"/>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 </w:t>
            </w:r>
          </w:p>
        </w:tc>
        <w:tc>
          <w:tcPr>
            <w:tcW w:w="3827" w:type="dxa"/>
            <w:tcBorders>
              <w:top w:val="nil"/>
              <w:left w:val="nil"/>
              <w:bottom w:val="single" w:sz="4" w:space="0" w:color="auto"/>
              <w:right w:val="single" w:sz="4" w:space="0" w:color="auto"/>
            </w:tcBorders>
            <w:shd w:val="clear" w:color="auto" w:fill="auto"/>
            <w:vAlign w:val="bottom"/>
          </w:tcPr>
          <w:p w14:paraId="0DDF98AC" w14:textId="77777777" w:rsidR="00F3645B" w:rsidRPr="00F3645B" w:rsidRDefault="00F3645B" w:rsidP="00F3645B">
            <w:pPr>
              <w:widowControl w:val="0"/>
              <w:autoSpaceDE w:val="0"/>
              <w:autoSpaceDN w:val="0"/>
              <w:adjustRightInd w:val="0"/>
              <w:spacing w:after="0" w:line="240" w:lineRule="auto"/>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ИТОГО</w:t>
            </w:r>
          </w:p>
        </w:tc>
        <w:tc>
          <w:tcPr>
            <w:tcW w:w="1105" w:type="dxa"/>
            <w:tcBorders>
              <w:top w:val="nil"/>
              <w:left w:val="nil"/>
              <w:bottom w:val="single" w:sz="4" w:space="0" w:color="auto"/>
              <w:right w:val="single" w:sz="4" w:space="0" w:color="auto"/>
            </w:tcBorders>
            <w:shd w:val="clear" w:color="auto" w:fill="auto"/>
            <w:vAlign w:val="center"/>
          </w:tcPr>
          <w:p w14:paraId="55F0AB97" w14:textId="77777777" w:rsidR="00F3645B" w:rsidRPr="00F3645B" w:rsidRDefault="00F3645B" w:rsidP="00F3645B">
            <w:pPr>
              <w:widowControl w:val="0"/>
              <w:autoSpaceDE w:val="0"/>
              <w:autoSpaceDN w:val="0"/>
              <w:adjustRightInd w:val="0"/>
              <w:spacing w:after="0" w:line="240" w:lineRule="auto"/>
              <w:ind w:hanging="109"/>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174 893 385,7</w:t>
            </w:r>
          </w:p>
        </w:tc>
        <w:tc>
          <w:tcPr>
            <w:tcW w:w="1134" w:type="dxa"/>
            <w:tcBorders>
              <w:top w:val="nil"/>
              <w:left w:val="nil"/>
              <w:bottom w:val="single" w:sz="4" w:space="0" w:color="auto"/>
              <w:right w:val="single" w:sz="4" w:space="0" w:color="auto"/>
            </w:tcBorders>
            <w:shd w:val="clear" w:color="000000" w:fill="FFFFFF"/>
            <w:vAlign w:val="center"/>
          </w:tcPr>
          <w:p w14:paraId="0CF3A709" w14:textId="77777777" w:rsidR="00F3645B" w:rsidRPr="00F3645B" w:rsidRDefault="00F3645B" w:rsidP="00F3645B">
            <w:pPr>
              <w:widowControl w:val="0"/>
              <w:autoSpaceDE w:val="0"/>
              <w:autoSpaceDN w:val="0"/>
              <w:adjustRightInd w:val="0"/>
              <w:spacing w:after="0" w:line="240" w:lineRule="auto"/>
              <w:ind w:hanging="81"/>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174 462 010,2</w:t>
            </w:r>
          </w:p>
        </w:tc>
        <w:tc>
          <w:tcPr>
            <w:tcW w:w="850" w:type="dxa"/>
            <w:tcBorders>
              <w:top w:val="nil"/>
              <w:left w:val="nil"/>
              <w:bottom w:val="single" w:sz="4" w:space="0" w:color="auto"/>
              <w:right w:val="single" w:sz="4" w:space="0" w:color="auto"/>
            </w:tcBorders>
            <w:shd w:val="clear" w:color="000000" w:fill="FFFFFF"/>
            <w:noWrap/>
            <w:vAlign w:val="center"/>
          </w:tcPr>
          <w:p w14:paraId="7A5BBC50" w14:textId="77777777" w:rsidR="00F3645B" w:rsidRPr="00F3645B" w:rsidRDefault="00F3645B" w:rsidP="00F3645B">
            <w:pPr>
              <w:widowControl w:val="0"/>
              <w:autoSpaceDE w:val="0"/>
              <w:autoSpaceDN w:val="0"/>
              <w:adjustRightInd w:val="0"/>
              <w:spacing w:after="0" w:line="240" w:lineRule="auto"/>
              <w:ind w:hanging="80"/>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-431 375,5</w:t>
            </w:r>
          </w:p>
        </w:tc>
        <w:tc>
          <w:tcPr>
            <w:tcW w:w="1134" w:type="dxa"/>
            <w:tcBorders>
              <w:top w:val="nil"/>
              <w:left w:val="nil"/>
              <w:bottom w:val="single" w:sz="4" w:space="0" w:color="auto"/>
              <w:right w:val="single" w:sz="4" w:space="0" w:color="auto"/>
            </w:tcBorders>
            <w:shd w:val="clear" w:color="000000" w:fill="FFFFFF"/>
            <w:vAlign w:val="center"/>
          </w:tcPr>
          <w:p w14:paraId="2C54442C" w14:textId="77777777" w:rsidR="00F3645B" w:rsidRPr="00F3645B" w:rsidRDefault="00F3645B" w:rsidP="00F3645B">
            <w:pPr>
              <w:widowControl w:val="0"/>
              <w:autoSpaceDE w:val="0"/>
              <w:autoSpaceDN w:val="0"/>
              <w:adjustRightInd w:val="0"/>
              <w:spacing w:after="0" w:line="240" w:lineRule="auto"/>
              <w:ind w:hanging="76"/>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162 585 336,3</w:t>
            </w:r>
          </w:p>
        </w:tc>
        <w:tc>
          <w:tcPr>
            <w:tcW w:w="993" w:type="dxa"/>
            <w:tcBorders>
              <w:top w:val="nil"/>
              <w:left w:val="nil"/>
              <w:bottom w:val="single" w:sz="4" w:space="0" w:color="auto"/>
              <w:right w:val="single" w:sz="4" w:space="0" w:color="auto"/>
            </w:tcBorders>
            <w:shd w:val="clear" w:color="auto" w:fill="auto"/>
            <w:noWrap/>
            <w:vAlign w:val="center"/>
          </w:tcPr>
          <w:p w14:paraId="37C8103F" w14:textId="77777777" w:rsidR="00F3645B" w:rsidRPr="00F3645B" w:rsidRDefault="00F3645B" w:rsidP="00F3645B">
            <w:pPr>
              <w:widowControl w:val="0"/>
              <w:autoSpaceDE w:val="0"/>
              <w:autoSpaceDN w:val="0"/>
              <w:adjustRightInd w:val="0"/>
              <w:spacing w:after="0" w:line="240" w:lineRule="auto"/>
              <w:ind w:hanging="217"/>
              <w:jc w:val="right"/>
              <w:rPr>
                <w:rFonts w:ascii="Times New Roman" w:eastAsia="Times New Roman" w:hAnsi="Times New Roman" w:cs="Times New Roman"/>
                <w:b/>
                <w:bCs/>
                <w:color w:val="000000"/>
                <w:sz w:val="16"/>
                <w:szCs w:val="16"/>
                <w:lang w:eastAsia="ru-RU"/>
              </w:rPr>
            </w:pPr>
            <w:r w:rsidRPr="00F3645B">
              <w:rPr>
                <w:rFonts w:ascii="Times New Roman" w:eastAsia="Times New Roman" w:hAnsi="Times New Roman" w:cs="Times New Roman"/>
                <w:b/>
                <w:bCs/>
                <w:color w:val="000000"/>
                <w:sz w:val="16"/>
                <w:szCs w:val="16"/>
                <w:lang w:eastAsia="ru-RU"/>
              </w:rPr>
              <w:t>-11 876 673,9</w:t>
            </w:r>
          </w:p>
        </w:tc>
      </w:tr>
    </w:tbl>
    <w:p w14:paraId="2E1CE608" w14:textId="77777777" w:rsidR="00F3645B" w:rsidRPr="00F3645B" w:rsidRDefault="00F3645B" w:rsidP="00F3645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5B19654"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Анализ реализации отдельных государственных программ Республики Дагестан за 2021 год показал следующее:</w:t>
      </w:r>
    </w:p>
    <w:p w14:paraId="28E0CAB1"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B247CA">
        <w:rPr>
          <w:rFonts w:ascii="Times New Roman" w:eastAsia="Calibri" w:hAnsi="Times New Roman" w:cs="Times New Roman"/>
          <w:b/>
          <w:bCs/>
          <w:color w:val="002060"/>
          <w:sz w:val="28"/>
          <w:szCs w:val="28"/>
          <w:lang w:eastAsia="ru-RU"/>
        </w:rPr>
        <w:t>1)</w:t>
      </w:r>
      <w:r w:rsidRPr="00B247CA">
        <w:rPr>
          <w:rFonts w:ascii="Times New Roman" w:eastAsia="Calibri" w:hAnsi="Times New Roman" w:cs="Times New Roman"/>
          <w:color w:val="002060"/>
          <w:sz w:val="28"/>
          <w:szCs w:val="28"/>
          <w:lang w:eastAsia="ru-RU"/>
        </w:rPr>
        <w:t xml:space="preserve"> </w:t>
      </w:r>
      <w:r w:rsidRPr="00F3645B">
        <w:rPr>
          <w:rFonts w:ascii="Times New Roman" w:eastAsia="Calibri" w:hAnsi="Times New Roman" w:cs="Times New Roman"/>
          <w:sz w:val="28"/>
          <w:szCs w:val="28"/>
          <w:lang w:eastAsia="ru-RU"/>
        </w:rPr>
        <w:t xml:space="preserve">в нарушение статьи 179 Бюджетного кодекса Российской Федерации в 33 государственные программы не внесены изменения в программные мероприятия в части уточнения объемов финансирования, либо изменения внесены, при этом они не соответствуют объемам, утвержденным в Законе Республики Дагестан «О республиканском бюджете Республики Дагестан на </w:t>
      </w:r>
      <w:r w:rsidRPr="00F3645B">
        <w:rPr>
          <w:rFonts w:ascii="Times New Roman" w:eastAsia="Calibri" w:hAnsi="Times New Roman" w:cs="Times New Roman"/>
          <w:sz w:val="28"/>
          <w:szCs w:val="28"/>
          <w:lang w:eastAsia="ru-RU"/>
        </w:rPr>
        <w:lastRenderedPageBreak/>
        <w:t xml:space="preserve">2021 год и на плановый период 2022 и 2023 годов». А также не осуществлена корректировка целей, мероприятий и индикативных показателей. </w:t>
      </w:r>
    </w:p>
    <w:p w14:paraId="52CCA84A"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Наибольшее расхождение в объемах наблюдается по следующим государственным программам:</w:t>
      </w:r>
    </w:p>
    <w:p w14:paraId="1060FD5F"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сельского хозяйства и регулирование рынков сельскохозяйственной продукции, сырья и продовольствия в Республике Дагестан» – (уточненные назначения на 2021 год – 4 188 628,8 тыс. рублей, согласно паспорту – 2 184 736,3 тыс. рублей, расхождение на +2 003 872,5,9 тыс. рублей);</w:t>
      </w:r>
    </w:p>
    <w:p w14:paraId="73E4DADC"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жилищного строительства в Республике Дагестан» (уточненные назначения на 2021 год – 2 854518,5 тыс. рублей, согласно паспорту – 2 184 756,3 тыс. рублей, расхождение на – 1 439 241,3 тыс. рублей);</w:t>
      </w:r>
    </w:p>
    <w:p w14:paraId="2DAD105A"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здравоохранения в Республике Дагестан» (уточненные назначения на 2021 год – 29 893 263,3 тыс. рублей, согласно паспорту – 26 733 478,5 тыс. рублей, расхождение на + 3 159 786,8 тыс. рублей);</w:t>
      </w:r>
    </w:p>
    <w:p w14:paraId="63590BDC"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xml:space="preserve">- «Социальная поддержка граждан» </w:t>
      </w:r>
      <w:bookmarkStart w:id="33" w:name="_Hlk103782021"/>
      <w:r w:rsidRPr="00F3645B">
        <w:rPr>
          <w:rFonts w:ascii="Times New Roman" w:eastAsia="Calibri" w:hAnsi="Times New Roman" w:cs="Times New Roman"/>
          <w:sz w:val="28"/>
          <w:szCs w:val="28"/>
          <w:lang w:eastAsia="ru-RU"/>
        </w:rPr>
        <w:t>(уточненные назначения на 2021 год – 37 780 516,3 тыс. рублей, согласно паспорту – 34 076 562,2 тыс. рублей, расхождение на + 3 703 954,3 тыс. рублей);</w:t>
      </w:r>
      <w:bookmarkEnd w:id="33"/>
      <w:r w:rsidRPr="00F3645B">
        <w:rPr>
          <w:rFonts w:ascii="Times New Roman" w:eastAsia="Calibri" w:hAnsi="Times New Roman" w:cs="Times New Roman"/>
          <w:sz w:val="28"/>
          <w:szCs w:val="28"/>
          <w:lang w:eastAsia="ru-RU"/>
        </w:rPr>
        <w:t xml:space="preserve"> </w:t>
      </w:r>
    </w:p>
    <w:p w14:paraId="6A28D57B"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культуры в Республике Дагестан» (уточненные назначения на 2021 год – 2 403 541,3 тыс. рублей, согласно паспорту –1 986 680,0 тыс. рублей, расхождение на + 416 861,3 тыс. рублей);</w:t>
      </w:r>
    </w:p>
    <w:p w14:paraId="3B92B25D"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«Содействие занятости населения» (уточненные назначения на 2021 год – 1 380 679,3 тыс. рублей, согласно паспорту – 1 078 996,7 тыс. рублей, расхождение на + 301 682,6 тыс. рублей).</w:t>
      </w:r>
    </w:p>
    <w:p w14:paraId="05D17C18"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B247CA">
        <w:rPr>
          <w:rFonts w:ascii="Times New Roman" w:eastAsia="Calibri" w:hAnsi="Times New Roman" w:cs="Times New Roman"/>
          <w:b/>
          <w:bCs/>
          <w:color w:val="002060"/>
          <w:sz w:val="28"/>
          <w:szCs w:val="28"/>
          <w:lang w:eastAsia="ru-RU"/>
        </w:rPr>
        <w:t>2)</w:t>
      </w:r>
      <w:r w:rsidRPr="00B247CA">
        <w:rPr>
          <w:rFonts w:ascii="Times New Roman" w:eastAsia="Calibri" w:hAnsi="Times New Roman" w:cs="Times New Roman"/>
          <w:color w:val="002060"/>
          <w:sz w:val="28"/>
          <w:szCs w:val="28"/>
          <w:lang w:eastAsia="ru-RU"/>
        </w:rPr>
        <w:t xml:space="preserve"> </w:t>
      </w:r>
      <w:r w:rsidRPr="00F3645B">
        <w:rPr>
          <w:rFonts w:ascii="Times New Roman" w:eastAsia="Calibri" w:hAnsi="Times New Roman" w:cs="Times New Roman"/>
          <w:sz w:val="28"/>
          <w:szCs w:val="28"/>
          <w:lang w:eastAsia="ru-RU"/>
        </w:rPr>
        <w:t>объемы уточненных бюджетных ассигнований в 2021 году соответствовали значениям, утвержденным паспортами только у 12 государственных программ:</w:t>
      </w:r>
    </w:p>
    <w:p w14:paraId="5092642F"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«Взаимодействие с религиозными организациями в Республике Дагестан и их государственная поддержка»;</w:t>
      </w:r>
    </w:p>
    <w:p w14:paraId="1B1A3325"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средств массовой информации в Республике Дагестан»;</w:t>
      </w:r>
    </w:p>
    <w:p w14:paraId="5728E4A3"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«Управление региональными и муниципальными финансами Республики Дагестан»;</w:t>
      </w:r>
    </w:p>
    <w:p w14:paraId="56D82505"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«Реализация государственной национальной политики в Республике Дагестан»;</w:t>
      </w:r>
    </w:p>
    <w:p w14:paraId="3D11088F"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рыбохозяйственного комплекса Республики Дагестан»;</w:t>
      </w:r>
    </w:p>
    <w:p w14:paraId="51822453"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«О противодействии коррупции в Республике Дагестан»;</w:t>
      </w:r>
    </w:p>
    <w:p w14:paraId="08B85DD8"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xml:space="preserve">- «Переселение лакского населения Новолакского района на новое место </w:t>
      </w:r>
      <w:r w:rsidRPr="00F3645B">
        <w:rPr>
          <w:rFonts w:ascii="Times New Roman" w:eastAsia="Calibri" w:hAnsi="Times New Roman" w:cs="Times New Roman"/>
          <w:sz w:val="28"/>
          <w:szCs w:val="28"/>
          <w:lang w:eastAsia="ru-RU"/>
        </w:rPr>
        <w:lastRenderedPageBreak/>
        <w:t>жительства и восстановление Ауховского района»;</w:t>
      </w:r>
    </w:p>
    <w:p w14:paraId="23F4EB35"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«Формирование современной городской среды в Республике Дагестан»;</w:t>
      </w:r>
    </w:p>
    <w:p w14:paraId="05F00B87"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«Социально-экономическое развитие горных территорий»;</w:t>
      </w:r>
    </w:p>
    <w:p w14:paraId="64F6E127"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«Укрепление здоровья, увеличение периода активного долголетия и продолжительности здоровой жизни граждан старшего поколения»;</w:t>
      </w:r>
    </w:p>
    <w:p w14:paraId="6E288E53"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«Борьба с сердечно-сосудистыми заболеваниями»;</w:t>
      </w:r>
    </w:p>
    <w:p w14:paraId="24E8FB58"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«Обеспечение развития и реализации городским округом с внутригородским делением «город Махачкала» функций столицы Республики Дагестан»</w:t>
      </w:r>
    </w:p>
    <w:p w14:paraId="18FF15BE"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B247CA">
        <w:rPr>
          <w:rFonts w:ascii="Times New Roman" w:eastAsia="Calibri" w:hAnsi="Times New Roman" w:cs="Times New Roman"/>
          <w:b/>
          <w:bCs/>
          <w:color w:val="002060"/>
          <w:sz w:val="28"/>
          <w:szCs w:val="28"/>
          <w:lang w:eastAsia="ru-RU"/>
        </w:rPr>
        <w:t>3)</w:t>
      </w:r>
      <w:r w:rsidRPr="00F3645B">
        <w:rPr>
          <w:rFonts w:ascii="Times New Roman" w:eastAsia="Calibri" w:hAnsi="Times New Roman" w:cs="Times New Roman"/>
          <w:sz w:val="28"/>
          <w:szCs w:val="28"/>
          <w:lang w:eastAsia="ru-RU"/>
        </w:rPr>
        <w:t xml:space="preserve"> не освоены бюджетные ассигнования по 36 государственным программам Республики Дагестан в сумме 11 876 673,9 тыс. рублей, из них наиболее низкий уровень освоения отмечается по следующим государственным программам Республики Дагестан:</w:t>
      </w:r>
    </w:p>
    <w:p w14:paraId="0CF1EB66"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территориальных автомобильных дорог республиканского, межмуниципального и местного значения Республики Дагестан» – 1 675 93,9 тыс. рублей;</w:t>
      </w:r>
    </w:p>
    <w:p w14:paraId="37E06592"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жилищного строительства в Республике Дагестан» – 462 222,2 тыс. рублей;</w:t>
      </w:r>
    </w:p>
    <w:p w14:paraId="36A570C0"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образования в Республике Дагестан» – 7 210 308,1 тыс. рублей;</w:t>
      </w:r>
    </w:p>
    <w:p w14:paraId="03E34002"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«Развитие здравоохранения в Республике Дагестан» – 408 152,9 тыс. рублей</w:t>
      </w:r>
    </w:p>
    <w:p w14:paraId="401B406D"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«Комплексное территориальное развитие муниципального образования городской округ «город Дербент» – 574 488,2 тыс. рублей;</w:t>
      </w:r>
    </w:p>
    <w:p w14:paraId="70837C2C"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F3645B">
        <w:rPr>
          <w:rFonts w:ascii="Times New Roman" w:eastAsia="Calibri" w:hAnsi="Times New Roman" w:cs="Times New Roman"/>
          <w:sz w:val="28"/>
          <w:szCs w:val="28"/>
          <w:lang w:eastAsia="ru-RU"/>
        </w:rPr>
        <w:t>- «Модернизация первичного звена здравоохранения Республики Дагестан» – 377 764,8 тыс. рублей.</w:t>
      </w:r>
    </w:p>
    <w:p w14:paraId="7F3F975F"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eastAsia="Calibri" w:hAnsi="Times New Roman" w:cs="Times New Roman"/>
          <w:sz w:val="28"/>
          <w:szCs w:val="28"/>
          <w:lang w:eastAsia="ru-RU"/>
        </w:rPr>
      </w:pPr>
      <w:r w:rsidRPr="00B247CA">
        <w:rPr>
          <w:rFonts w:ascii="Times New Roman" w:eastAsia="Calibri" w:hAnsi="Times New Roman" w:cs="Times New Roman"/>
          <w:b/>
          <w:bCs/>
          <w:color w:val="002060"/>
          <w:sz w:val="28"/>
          <w:szCs w:val="28"/>
          <w:lang w:eastAsia="ru-RU"/>
        </w:rPr>
        <w:t>4)</w:t>
      </w:r>
      <w:r w:rsidRPr="00F3645B">
        <w:rPr>
          <w:rFonts w:ascii="Times New Roman" w:eastAsia="Calibri" w:hAnsi="Times New Roman" w:cs="Times New Roman"/>
          <w:sz w:val="28"/>
          <w:szCs w:val="28"/>
          <w:lang w:eastAsia="ru-RU"/>
        </w:rPr>
        <w:t xml:space="preserve"> в 2021 году на территории Республики Дагестан реализовывались мероприятия государственной программы Российской Федерации «Обеспечение доступным и комфортным жильем и коммунальными услугами граждан Российской Федерации» на финансирование которой в 2021 году предусмотрены и профинансированы средства в сумме 149 773,5 тыс. рублей.</w:t>
      </w:r>
    </w:p>
    <w:p w14:paraId="459F0D39" w14:textId="77777777" w:rsidR="00F3645B" w:rsidRPr="00F3645B" w:rsidRDefault="00F3645B" w:rsidP="00CB3DC3">
      <w:pPr>
        <w:widowControl w:val="0"/>
        <w:autoSpaceDE w:val="0"/>
        <w:autoSpaceDN w:val="0"/>
        <w:adjustRightInd w:val="0"/>
        <w:spacing w:after="0" w:line="380" w:lineRule="exact"/>
        <w:ind w:firstLine="708"/>
        <w:jc w:val="both"/>
        <w:rPr>
          <w:rFonts w:ascii="Times New Roman" w:hAnsi="Times New Roman" w:cs="Times New Roman"/>
          <w:sz w:val="28"/>
          <w:szCs w:val="28"/>
        </w:rPr>
      </w:pPr>
      <w:r w:rsidRPr="00F3645B">
        <w:rPr>
          <w:rFonts w:ascii="Times New Roman" w:eastAsia="Calibri" w:hAnsi="Times New Roman" w:cs="Times New Roman"/>
          <w:sz w:val="28"/>
          <w:szCs w:val="28"/>
          <w:lang w:eastAsia="ru-RU"/>
        </w:rPr>
        <w:t xml:space="preserve">Согласно </w:t>
      </w:r>
      <w:r w:rsidRPr="00F3645B">
        <w:rPr>
          <w:rFonts w:ascii="Times New Roman" w:hAnsi="Times New Roman" w:cs="Times New Roman"/>
          <w:sz w:val="28"/>
          <w:szCs w:val="28"/>
        </w:rPr>
        <w:t xml:space="preserve">Постановлению Правительства Республики Дагестан от </w:t>
      </w:r>
      <w:r w:rsidRPr="00F3645B">
        <w:rPr>
          <w:rFonts w:ascii="Times New Roman" w:hAnsi="Times New Roman" w:cs="Times New Roman"/>
          <w:sz w:val="28"/>
          <w:szCs w:val="28"/>
        </w:rPr>
        <w:br/>
        <w:t xml:space="preserve">6 ноября 2018 года № 164 «Об утверждении Порядка разработки, реализации и оценки эффективности государственных программ Республики Дагестан» ответственные исполнители государственной программы направляют ежегодно до 1 апреля в Министерство экономики и территориального </w:t>
      </w:r>
      <w:r w:rsidRPr="00F3645B">
        <w:rPr>
          <w:rFonts w:ascii="Times New Roman" w:hAnsi="Times New Roman" w:cs="Times New Roman"/>
          <w:sz w:val="28"/>
          <w:szCs w:val="28"/>
        </w:rPr>
        <w:lastRenderedPageBreak/>
        <w:t>развития Республики Дагестан доклады о ходе реализации государственных программ и сведения об оценке эффективности реализации государственной программы за отчетный финансовый год.</w:t>
      </w:r>
    </w:p>
    <w:p w14:paraId="01CB2B56" w14:textId="77777777" w:rsidR="00F3645B" w:rsidRPr="00F3645B" w:rsidRDefault="00F3645B" w:rsidP="00CB3DC3">
      <w:pPr>
        <w:widowControl w:val="0"/>
        <w:autoSpaceDE w:val="0"/>
        <w:autoSpaceDN w:val="0"/>
        <w:adjustRightInd w:val="0"/>
        <w:spacing w:after="0" w:line="380" w:lineRule="exact"/>
        <w:ind w:firstLine="709"/>
        <w:jc w:val="both"/>
        <w:rPr>
          <w:rFonts w:ascii="Times New Roman" w:hAnsi="Times New Roman" w:cs="Times New Roman"/>
          <w:sz w:val="28"/>
          <w:szCs w:val="28"/>
        </w:rPr>
      </w:pPr>
      <w:r w:rsidRPr="00F3645B">
        <w:rPr>
          <w:rFonts w:ascii="Times New Roman" w:hAnsi="Times New Roman" w:cs="Times New Roman"/>
          <w:sz w:val="28"/>
          <w:szCs w:val="28"/>
        </w:rPr>
        <w:t xml:space="preserve">В последующем Министерство экономики и территориального развития Республики Дагестан по каждой государственной программе подготавливает сводное заключение об эффективности ее реализации в виде аналитической записки. Следует отметить, что по состоянию на 27 мая 2022 года сводное заключение Министерством экономики и территориального развития Республики Дагестан не подготовлено. </w:t>
      </w:r>
    </w:p>
    <w:p w14:paraId="6A4A3DBC" w14:textId="633C7AA2" w:rsidR="00F3645B" w:rsidRPr="00CB3DC3" w:rsidRDefault="00F3645B" w:rsidP="00CB3DC3">
      <w:pPr>
        <w:widowControl w:val="0"/>
        <w:spacing w:after="0" w:line="380" w:lineRule="exact"/>
        <w:ind w:firstLine="709"/>
        <w:jc w:val="both"/>
        <w:rPr>
          <w:rFonts w:ascii="Times New Roman" w:hAnsi="Times New Roman" w:cs="Times New Roman"/>
          <w:sz w:val="28"/>
          <w:szCs w:val="28"/>
        </w:rPr>
      </w:pPr>
      <w:r w:rsidRPr="00F3645B">
        <w:rPr>
          <w:rFonts w:ascii="Times New Roman" w:hAnsi="Times New Roman" w:cs="Times New Roman"/>
          <w:sz w:val="28"/>
          <w:szCs w:val="28"/>
        </w:rPr>
        <w:t xml:space="preserve">Проведенный анализ показал, что в 2021 году государственные программ Республики Дагестан содержали системные недостатки, которые ранее были отмечены Счетной палатой. В частности: несоответствие планируемых программных мероприятий документам стратегического планирования, неконкретность целей, </w:t>
      </w:r>
      <w:r w:rsidRPr="00CB3DC3">
        <w:rPr>
          <w:rFonts w:ascii="Times New Roman" w:hAnsi="Times New Roman" w:cs="Times New Roman"/>
          <w:sz w:val="28"/>
          <w:szCs w:val="28"/>
        </w:rPr>
        <w:t xml:space="preserve">несогласованность целей и задач, заниженная динамика показателей, значительное их количество. </w:t>
      </w:r>
    </w:p>
    <w:p w14:paraId="3D2F37AE" w14:textId="77777777" w:rsidR="00F3645B" w:rsidRPr="00CB3DC3" w:rsidRDefault="00F3645B" w:rsidP="007C1F98">
      <w:pPr>
        <w:spacing w:after="0" w:line="264" w:lineRule="auto"/>
        <w:ind w:firstLine="709"/>
        <w:rPr>
          <w:rFonts w:ascii="Times New Roman" w:eastAsia="Calibri" w:hAnsi="Times New Roman" w:cs="Times New Roman"/>
          <w:sz w:val="28"/>
          <w:szCs w:val="28"/>
          <w:lang w:eastAsia="ru-RU"/>
        </w:rPr>
      </w:pPr>
    </w:p>
    <w:p w14:paraId="00F072B2" w14:textId="1245F152" w:rsidR="00F3645B" w:rsidRPr="00CB3DC3" w:rsidRDefault="00F3645B" w:rsidP="006762BB">
      <w:pPr>
        <w:widowControl w:val="0"/>
        <w:autoSpaceDE w:val="0"/>
        <w:autoSpaceDN w:val="0"/>
        <w:adjustRightInd w:val="0"/>
        <w:spacing w:after="0" w:line="340" w:lineRule="exact"/>
        <w:ind w:firstLine="852"/>
        <w:jc w:val="both"/>
        <w:rPr>
          <w:rFonts w:ascii="Times New Roman" w:eastAsia="Times New Roman" w:hAnsi="Times New Roman"/>
          <w:sz w:val="28"/>
          <w:szCs w:val="28"/>
          <w:lang w:eastAsia="ru-RU"/>
        </w:rPr>
      </w:pPr>
    </w:p>
    <w:p w14:paraId="204794AF" w14:textId="751FB265"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C0BCF11" w14:textId="4C139B1D"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7327C81" w14:textId="56DF39F4"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CBF1E5B" w14:textId="5AFC654B"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FC6DF17" w14:textId="2B693DF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F7AE094" w14:textId="28068248"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CC0C905" w14:textId="2AEC7585"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C654BB4" w14:textId="651610CE"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A8F9591" w14:textId="11699047"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9D0BAE7" w14:textId="779EF1DA"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7B13268" w14:textId="53E77D2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2B8EB93" w14:textId="3B325F43"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67D66BB" w14:textId="63DAE228"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F230AA5" w14:textId="5E5C4E48"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634010B" w14:textId="6418B12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250FAD0" w14:textId="17B2C8A5"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0C81591" w14:textId="56F03B49"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91F30AA" w14:textId="1C9ADF19"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C6D86CA" w14:textId="10D8E2E1"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B849000" w14:textId="57954E07"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5DF5077" w14:textId="0E8D162F"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598C012" w14:textId="77777777" w:rsidR="00156793" w:rsidRDefault="0015679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A842A84" w14:textId="7B5FEFDA"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3834214" w14:textId="77777777" w:rsidR="00AC76BB" w:rsidRPr="00D24DF1"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de-DE"/>
        </w:rPr>
      </w:pPr>
      <w:r>
        <w:rPr>
          <w:rFonts w:ascii="Times New Roman" w:eastAsia="Times New Roman" w:hAnsi="Times New Roman" w:cs="Times New Roman"/>
          <w:b/>
          <w:color w:val="002060"/>
          <w:sz w:val="28"/>
          <w:szCs w:val="28"/>
          <w:lang w:eastAsia="de-DE"/>
        </w:rPr>
        <w:lastRenderedPageBreak/>
        <w:t>4.4.</w:t>
      </w:r>
      <w:r w:rsidRPr="00D24DF1">
        <w:rPr>
          <w:rFonts w:ascii="Times New Roman" w:eastAsia="Times New Roman" w:hAnsi="Times New Roman" w:cs="Times New Roman"/>
          <w:b/>
          <w:color w:val="002060"/>
          <w:sz w:val="28"/>
          <w:szCs w:val="28"/>
          <w:lang w:eastAsia="de-DE"/>
        </w:rPr>
        <w:t xml:space="preserve"> Аудит в сфере закупок</w:t>
      </w:r>
    </w:p>
    <w:p w14:paraId="5CAC03A5" w14:textId="229C3BC6" w:rsidR="00F3645B" w:rsidRDefault="00F3645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9E28B04"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xml:space="preserve">Счетная палата Республики Дагестан в рамках реализации полномочий по осуществлению аудита в сфере закупок товаров (работ, услуг), установленных статьей 98 Федерального закона от 5 апреля 2013 года </w:t>
      </w:r>
      <w:r w:rsidRPr="00DB60DA">
        <w:rPr>
          <w:rFonts w:ascii="Times New Roman" w:hAnsi="Times New Roman" w:cs="Times New Roman"/>
          <w:sz w:val="28"/>
          <w:szCs w:val="28"/>
        </w:rPr>
        <w:br/>
        <w:t>№ 44-ФЗ «О контрактной системе в сфере закупок товаров, работ, услуг для обеспечения государственных и муниципальных нужд» осуществляет экспертно-аналитическую, информационную и иную деятельность посредством проверки, анализа и оценки информации о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 исполненным контрактам.</w:t>
      </w:r>
    </w:p>
    <w:p w14:paraId="62FC0971"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Государственными и муниципальными заказчиками Республики Дагестан за 2021 год заключено 15 559 государственных (муниципальных) контрактов на общую сумму 67,4 млрд. рублей, в том числе:</w:t>
      </w:r>
    </w:p>
    <w:p w14:paraId="7A0330F4"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Комитет</w:t>
      </w:r>
      <w:r>
        <w:rPr>
          <w:rFonts w:ascii="Times New Roman" w:hAnsi="Times New Roman" w:cs="Times New Roman"/>
          <w:sz w:val="28"/>
          <w:szCs w:val="28"/>
        </w:rPr>
        <w:t>ом</w:t>
      </w:r>
      <w:r w:rsidRPr="00DB60DA">
        <w:rPr>
          <w:rFonts w:ascii="Times New Roman" w:hAnsi="Times New Roman" w:cs="Times New Roman"/>
          <w:sz w:val="28"/>
          <w:szCs w:val="28"/>
        </w:rPr>
        <w:t xml:space="preserve"> по государственным закупкам Республики Дагестан – 2 643 контракта на сумму 31,8 млрд. рублей;</w:t>
      </w:r>
    </w:p>
    <w:p w14:paraId="6779F8F9"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государственными заказчиками самостоятельно – 10 312 контракта на сумму 19,5 млрд. рублей;</w:t>
      </w:r>
    </w:p>
    <w:p w14:paraId="4D515DDF"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муниципальными заказчиками самостоятельно – 2 604 на сумму 16,1 млрд. рублей.</w:t>
      </w:r>
    </w:p>
    <w:p w14:paraId="458AFFB0"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Из вышеуказанных контрактов с единственными поставщиками заключено 2 819 контрактов на общую сумму 8,59 млрд. рублей, из них:</w:t>
      </w:r>
    </w:p>
    <w:p w14:paraId="007FEE50"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государственными заказчиками – 2 315 контрактов на сумму 8,2 млрд. рублей;</w:t>
      </w:r>
    </w:p>
    <w:p w14:paraId="46E631B4"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муниципальными заказчиками – 504 контракта на сумму 0,39 млрд. рублей.</w:t>
      </w:r>
    </w:p>
    <w:p w14:paraId="080D9A8A"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Одним из ключевых показателей эффективности закупочной деятельности является показатель экономии. В Республике Дагестан экономия бюджетных средств по итогам закупок за 2021 год составила 2,46 млрд. рублей</w:t>
      </w:r>
      <w:r>
        <w:rPr>
          <w:rFonts w:ascii="Times New Roman" w:hAnsi="Times New Roman" w:cs="Times New Roman"/>
          <w:sz w:val="28"/>
          <w:szCs w:val="28"/>
        </w:rPr>
        <w:t>,</w:t>
      </w:r>
      <w:r w:rsidRPr="00DB60DA">
        <w:rPr>
          <w:rFonts w:ascii="Times New Roman" w:hAnsi="Times New Roman" w:cs="Times New Roman"/>
          <w:sz w:val="28"/>
          <w:szCs w:val="28"/>
        </w:rPr>
        <w:t xml:space="preserve"> или 3,6 %, в том числе:</w:t>
      </w:r>
    </w:p>
    <w:p w14:paraId="0CEE5E67"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по централизованным закупкам через по государственным закупкам Республики Дагестан – 1,14 млрд. рублей;</w:t>
      </w:r>
    </w:p>
    <w:p w14:paraId="2FA846B9"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по государственным закупкам, осуществляемым самостоятельно – 1,0 млрд. рублей;</w:t>
      </w:r>
    </w:p>
    <w:p w14:paraId="65ADEE9D"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по муниципальным закупкам, осуществляемым самостоятельно – 0,32 млрд. рублей.</w:t>
      </w:r>
    </w:p>
    <w:p w14:paraId="5CA7DAD8"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Pr="00DB60DA">
        <w:rPr>
          <w:rFonts w:ascii="Times New Roman" w:hAnsi="Times New Roman" w:cs="Times New Roman"/>
          <w:sz w:val="28"/>
          <w:szCs w:val="28"/>
        </w:rPr>
        <w:t>кономи</w:t>
      </w:r>
      <w:r>
        <w:rPr>
          <w:rFonts w:ascii="Times New Roman" w:hAnsi="Times New Roman" w:cs="Times New Roman"/>
          <w:sz w:val="28"/>
          <w:szCs w:val="28"/>
        </w:rPr>
        <w:t>я</w:t>
      </w:r>
      <w:r w:rsidRPr="00DB60DA">
        <w:rPr>
          <w:rFonts w:ascii="Times New Roman" w:hAnsi="Times New Roman" w:cs="Times New Roman"/>
          <w:sz w:val="28"/>
          <w:szCs w:val="28"/>
        </w:rPr>
        <w:t xml:space="preserve"> по результатам закупок</w:t>
      </w:r>
      <w:r>
        <w:rPr>
          <w:rFonts w:ascii="Times New Roman" w:hAnsi="Times New Roman" w:cs="Times New Roman"/>
          <w:sz w:val="28"/>
          <w:szCs w:val="28"/>
        </w:rPr>
        <w:t>,</w:t>
      </w:r>
      <w:r w:rsidRPr="00DB60DA">
        <w:rPr>
          <w:rFonts w:ascii="Times New Roman" w:hAnsi="Times New Roman" w:cs="Times New Roman"/>
          <w:sz w:val="28"/>
          <w:szCs w:val="28"/>
        </w:rPr>
        <w:t xml:space="preserve"> осуществленных государственными и муниципальными заказчиками Республики Дагестан за 2021 год, составил</w:t>
      </w:r>
      <w:r>
        <w:rPr>
          <w:rFonts w:ascii="Times New Roman" w:hAnsi="Times New Roman" w:cs="Times New Roman"/>
          <w:sz w:val="28"/>
          <w:szCs w:val="28"/>
        </w:rPr>
        <w:t>а</w:t>
      </w:r>
      <w:r w:rsidRPr="00DB60DA">
        <w:rPr>
          <w:rFonts w:ascii="Times New Roman" w:hAnsi="Times New Roman" w:cs="Times New Roman"/>
          <w:sz w:val="28"/>
          <w:szCs w:val="28"/>
        </w:rPr>
        <w:t xml:space="preserve"> 3,6 %.</w:t>
      </w:r>
    </w:p>
    <w:p w14:paraId="2E837A32" w14:textId="77777777" w:rsidR="00C73E5C" w:rsidRDefault="00C73E5C" w:rsidP="00CB3DC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DB60DA">
        <w:rPr>
          <w:rFonts w:ascii="Times New Roman" w:hAnsi="Times New Roman" w:cs="Times New Roman"/>
          <w:sz w:val="28"/>
          <w:szCs w:val="28"/>
        </w:rPr>
        <w:t>ровень конкуренции</w:t>
      </w:r>
      <w:r>
        <w:rPr>
          <w:rFonts w:ascii="Times New Roman" w:hAnsi="Times New Roman" w:cs="Times New Roman"/>
          <w:sz w:val="28"/>
          <w:szCs w:val="28"/>
        </w:rPr>
        <w:t xml:space="preserve"> в 2021 году сложился на уровне 2,3 </w:t>
      </w:r>
      <w:r w:rsidRPr="00DB60DA">
        <w:rPr>
          <w:rFonts w:ascii="Times New Roman" w:hAnsi="Times New Roman" w:cs="Times New Roman"/>
          <w:sz w:val="28"/>
          <w:szCs w:val="28"/>
        </w:rPr>
        <w:t>заявк</w:t>
      </w:r>
      <w:r>
        <w:rPr>
          <w:rFonts w:ascii="Times New Roman" w:hAnsi="Times New Roman" w:cs="Times New Roman"/>
          <w:sz w:val="28"/>
          <w:szCs w:val="28"/>
        </w:rPr>
        <w:t>и</w:t>
      </w:r>
      <w:r w:rsidRPr="00DB60DA">
        <w:rPr>
          <w:rFonts w:ascii="Times New Roman" w:hAnsi="Times New Roman" w:cs="Times New Roman"/>
          <w:sz w:val="28"/>
          <w:szCs w:val="28"/>
        </w:rPr>
        <w:t xml:space="preserve"> на один лот</w:t>
      </w:r>
      <w:r>
        <w:rPr>
          <w:rFonts w:ascii="Times New Roman" w:hAnsi="Times New Roman" w:cs="Times New Roman"/>
          <w:sz w:val="28"/>
          <w:szCs w:val="28"/>
        </w:rPr>
        <w:t>.</w:t>
      </w:r>
    </w:p>
    <w:p w14:paraId="04F38EF5" w14:textId="77777777" w:rsidR="00C73E5C" w:rsidRDefault="00C73E5C" w:rsidP="00CB3DC3">
      <w:pPr>
        <w:widowControl w:val="0"/>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xml:space="preserve">Наивысший уровень конкуренции наблюдается </w:t>
      </w:r>
      <w:r>
        <w:rPr>
          <w:rFonts w:ascii="Times New Roman" w:hAnsi="Times New Roman" w:cs="Times New Roman"/>
          <w:sz w:val="28"/>
          <w:szCs w:val="28"/>
        </w:rPr>
        <w:t>следующих сферах:</w:t>
      </w:r>
    </w:p>
    <w:p w14:paraId="0EC008BA" w14:textId="77777777" w:rsidR="00C73E5C" w:rsidRDefault="00C73E5C" w:rsidP="00CB3DC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B60DA">
        <w:rPr>
          <w:rFonts w:ascii="Times New Roman" w:hAnsi="Times New Roman" w:cs="Times New Roman"/>
          <w:sz w:val="28"/>
          <w:szCs w:val="28"/>
        </w:rPr>
        <w:t>услуг</w:t>
      </w:r>
      <w:r>
        <w:rPr>
          <w:rFonts w:ascii="Times New Roman" w:hAnsi="Times New Roman" w:cs="Times New Roman"/>
          <w:sz w:val="28"/>
          <w:szCs w:val="28"/>
        </w:rPr>
        <w:t>и</w:t>
      </w:r>
      <w:r w:rsidRPr="00DB60DA">
        <w:rPr>
          <w:rFonts w:ascii="Times New Roman" w:hAnsi="Times New Roman" w:cs="Times New Roman"/>
          <w:sz w:val="28"/>
          <w:szCs w:val="28"/>
        </w:rPr>
        <w:t xml:space="preserve"> по проектно-изыскательным работам (в среднем 3,2 заявки на 1 </w:t>
      </w:r>
      <w:r w:rsidRPr="00DB60DA">
        <w:rPr>
          <w:rFonts w:ascii="Times New Roman" w:hAnsi="Times New Roman" w:cs="Times New Roman"/>
          <w:sz w:val="28"/>
          <w:szCs w:val="28"/>
        </w:rPr>
        <w:lastRenderedPageBreak/>
        <w:t>закупку)</w:t>
      </w:r>
      <w:r>
        <w:rPr>
          <w:rFonts w:ascii="Times New Roman" w:hAnsi="Times New Roman" w:cs="Times New Roman"/>
          <w:sz w:val="28"/>
          <w:szCs w:val="28"/>
        </w:rPr>
        <w:t>;</w:t>
      </w:r>
    </w:p>
    <w:p w14:paraId="781B7220" w14:textId="77777777" w:rsidR="00C73E5C" w:rsidRDefault="00C73E5C" w:rsidP="00CB3DC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DB60DA">
        <w:rPr>
          <w:rFonts w:ascii="Times New Roman" w:hAnsi="Times New Roman" w:cs="Times New Roman"/>
          <w:sz w:val="28"/>
          <w:szCs w:val="28"/>
        </w:rPr>
        <w:t>акуп</w:t>
      </w:r>
      <w:r>
        <w:rPr>
          <w:rFonts w:ascii="Times New Roman" w:hAnsi="Times New Roman" w:cs="Times New Roman"/>
          <w:sz w:val="28"/>
          <w:szCs w:val="28"/>
        </w:rPr>
        <w:t>ка</w:t>
      </w:r>
      <w:r w:rsidRPr="00DB60DA">
        <w:rPr>
          <w:rFonts w:ascii="Times New Roman" w:hAnsi="Times New Roman" w:cs="Times New Roman"/>
          <w:sz w:val="28"/>
          <w:szCs w:val="28"/>
        </w:rPr>
        <w:t xml:space="preserve"> строительных работ и закупок продуктов питания (2,6 заявок на 1 закупку)</w:t>
      </w:r>
      <w:r>
        <w:rPr>
          <w:rFonts w:ascii="Times New Roman" w:hAnsi="Times New Roman" w:cs="Times New Roman"/>
          <w:sz w:val="28"/>
          <w:szCs w:val="28"/>
        </w:rPr>
        <w:t>;</w:t>
      </w:r>
    </w:p>
    <w:p w14:paraId="4FF63C6C"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закупка </w:t>
      </w:r>
      <w:r w:rsidRPr="00DB60DA">
        <w:rPr>
          <w:rFonts w:ascii="Times New Roman" w:hAnsi="Times New Roman" w:cs="Times New Roman"/>
          <w:sz w:val="28"/>
          <w:szCs w:val="28"/>
        </w:rPr>
        <w:t>медицинского оборудования (2,3 заявки на 1 закупку).</w:t>
      </w:r>
    </w:p>
    <w:p w14:paraId="3478CC62"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w:t>
      </w:r>
      <w:r w:rsidRPr="00DB60DA">
        <w:rPr>
          <w:rFonts w:ascii="Times New Roman" w:hAnsi="Times New Roman" w:cs="Times New Roman"/>
          <w:sz w:val="28"/>
          <w:szCs w:val="28"/>
        </w:rPr>
        <w:t xml:space="preserve"> низкий уровень конкуренции при проведении закупок </w:t>
      </w:r>
      <w:r>
        <w:rPr>
          <w:rFonts w:ascii="Times New Roman" w:hAnsi="Times New Roman" w:cs="Times New Roman"/>
          <w:sz w:val="28"/>
          <w:szCs w:val="28"/>
        </w:rPr>
        <w:t xml:space="preserve">наблюдается на </w:t>
      </w:r>
      <w:r w:rsidRPr="00DB60DA">
        <w:rPr>
          <w:rFonts w:ascii="Times New Roman" w:hAnsi="Times New Roman" w:cs="Times New Roman"/>
          <w:sz w:val="28"/>
          <w:szCs w:val="28"/>
        </w:rPr>
        <w:t>поставку лекарственных препаратов (1,7 заявок на 1 закупку) и каждая третья признается несостоявшейся из-за отсутствия заявок на участие.</w:t>
      </w:r>
    </w:p>
    <w:p w14:paraId="19459A94"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xml:space="preserve">Среди республиканских органов исполнительной власти (с учетом их подведомственных учреждений) </w:t>
      </w:r>
      <w:r>
        <w:rPr>
          <w:rFonts w:ascii="Times New Roman" w:hAnsi="Times New Roman" w:cs="Times New Roman"/>
          <w:sz w:val="28"/>
          <w:szCs w:val="28"/>
        </w:rPr>
        <w:t>наибольший объем закупок осуществлен следующими министерствами и ведомствами Республики Дагестан:</w:t>
      </w:r>
    </w:p>
    <w:p w14:paraId="1E47E47A"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Министерство здравоохранения Республики Дагестан – 17,7 млрд. рублей (экономия 748,0 млн. рублей (4,1 %), конкуренция – 2,1 заявок на 1 закупку);</w:t>
      </w:r>
    </w:p>
    <w:p w14:paraId="4714E573"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xml:space="preserve">- Управление капитального строительства Республики Дагестан – </w:t>
      </w:r>
      <w:r>
        <w:rPr>
          <w:rFonts w:ascii="Times New Roman" w:hAnsi="Times New Roman" w:cs="Times New Roman"/>
          <w:sz w:val="28"/>
          <w:szCs w:val="28"/>
        </w:rPr>
        <w:br/>
      </w:r>
      <w:r w:rsidRPr="00DB60DA">
        <w:rPr>
          <w:rFonts w:ascii="Times New Roman" w:hAnsi="Times New Roman" w:cs="Times New Roman"/>
          <w:sz w:val="28"/>
          <w:szCs w:val="28"/>
        </w:rPr>
        <w:t xml:space="preserve">10,2 млрд. рублей (экономия – 208,5 млн. рублей (2,0 %), конкуренция – </w:t>
      </w:r>
      <w:r>
        <w:rPr>
          <w:rFonts w:ascii="Times New Roman" w:hAnsi="Times New Roman" w:cs="Times New Roman"/>
          <w:sz w:val="28"/>
          <w:szCs w:val="28"/>
        </w:rPr>
        <w:br/>
      </w:r>
      <w:r w:rsidRPr="00DB60DA">
        <w:rPr>
          <w:rFonts w:ascii="Times New Roman" w:hAnsi="Times New Roman" w:cs="Times New Roman"/>
          <w:sz w:val="28"/>
          <w:szCs w:val="28"/>
        </w:rPr>
        <w:t>2,7 заявок на 1 закупку);</w:t>
      </w:r>
    </w:p>
    <w:p w14:paraId="07B35169"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Министерств</w:t>
      </w:r>
      <w:r>
        <w:rPr>
          <w:rFonts w:ascii="Times New Roman" w:hAnsi="Times New Roman" w:cs="Times New Roman"/>
          <w:sz w:val="28"/>
          <w:szCs w:val="28"/>
        </w:rPr>
        <w:t>о</w:t>
      </w:r>
      <w:r w:rsidRPr="00DB60DA">
        <w:rPr>
          <w:rFonts w:ascii="Times New Roman" w:hAnsi="Times New Roman" w:cs="Times New Roman"/>
          <w:sz w:val="28"/>
          <w:szCs w:val="28"/>
        </w:rPr>
        <w:t xml:space="preserve"> транспорта и дорожного хозяйства Республики Дагестан – 6,9 млрд. рублей (экономия – 591,7 млн. рублей (7,8 %), конкуренция – 2,5 заявок на 1 закупку);</w:t>
      </w:r>
    </w:p>
    <w:p w14:paraId="0546DA74"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Министерство по делам гражданской обороны, чрезвычайным ситуациям и ликвидации последствий стихийных бедствий Республики Дагестан – 3,2 млрд. рублей (экономия – 9,8 млн. рублей (0,3 %), конкуренция – 2,9 заявок на 1 закупку);</w:t>
      </w:r>
    </w:p>
    <w:p w14:paraId="0A373530" w14:textId="77777777" w:rsidR="00C73E5C" w:rsidRPr="00DB60DA" w:rsidRDefault="00C73E5C" w:rsidP="00CB3DC3">
      <w:pPr>
        <w:widowControl w:val="0"/>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xml:space="preserve">- Министерство образования и науки Республики Дагестан – 2,3 млрд. рублей (экономия – 86,5 млн. рублей (3,6 %), конкуренция – 2,4 заявки на </w:t>
      </w:r>
      <w:r>
        <w:rPr>
          <w:rFonts w:ascii="Times New Roman" w:hAnsi="Times New Roman" w:cs="Times New Roman"/>
          <w:sz w:val="28"/>
          <w:szCs w:val="28"/>
        </w:rPr>
        <w:br/>
      </w:r>
      <w:r w:rsidRPr="00DB60DA">
        <w:rPr>
          <w:rFonts w:ascii="Times New Roman" w:hAnsi="Times New Roman" w:cs="Times New Roman"/>
          <w:sz w:val="28"/>
          <w:szCs w:val="28"/>
        </w:rPr>
        <w:t>1 закупку).</w:t>
      </w:r>
    </w:p>
    <w:p w14:paraId="030029E3"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 xml:space="preserve">Посредством торгов, участниками которых могут выступать только </w:t>
      </w:r>
      <w:r w:rsidRPr="00D24DF1">
        <w:rPr>
          <w:rFonts w:ascii="Times New Roman" w:eastAsia="Calibri" w:hAnsi="Times New Roman" w:cs="Times New Roman"/>
          <w:sz w:val="28"/>
          <w:szCs w:val="28"/>
        </w:rPr>
        <w:t>субъекты малого предпринимательства</w:t>
      </w:r>
      <w:r w:rsidRPr="00DB60DA">
        <w:rPr>
          <w:rFonts w:ascii="Times New Roman" w:hAnsi="Times New Roman" w:cs="Times New Roman"/>
          <w:sz w:val="28"/>
          <w:szCs w:val="28"/>
        </w:rPr>
        <w:t>, заключено 6 448 контрактов на сумму 11,2 млрд рублей, что составляет 19,4 % от общей суммы контрактов, заключенных по результатам конкурентных процедур.</w:t>
      </w:r>
    </w:p>
    <w:p w14:paraId="3853ACD4" w14:textId="77777777" w:rsidR="00C73E5C"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С дагестанскими поставщиками за 2021 год заключено 11</w:t>
      </w:r>
      <w:r>
        <w:rPr>
          <w:rFonts w:ascii="Times New Roman" w:hAnsi="Times New Roman" w:cs="Times New Roman"/>
          <w:sz w:val="28"/>
          <w:szCs w:val="28"/>
        </w:rPr>
        <w:t xml:space="preserve"> </w:t>
      </w:r>
      <w:r w:rsidRPr="00DB60DA">
        <w:rPr>
          <w:rFonts w:ascii="Times New Roman" w:hAnsi="Times New Roman" w:cs="Times New Roman"/>
          <w:sz w:val="28"/>
          <w:szCs w:val="28"/>
        </w:rPr>
        <w:t xml:space="preserve">197 контрактов на сумму 46,9 млрд рублей, что от общего объема составляет </w:t>
      </w:r>
      <w:r>
        <w:rPr>
          <w:rFonts w:ascii="Times New Roman" w:hAnsi="Times New Roman" w:cs="Times New Roman"/>
          <w:sz w:val="28"/>
          <w:szCs w:val="28"/>
        </w:rPr>
        <w:br/>
      </w:r>
      <w:r w:rsidRPr="00DB60DA">
        <w:rPr>
          <w:rFonts w:ascii="Times New Roman" w:hAnsi="Times New Roman" w:cs="Times New Roman"/>
          <w:sz w:val="28"/>
          <w:szCs w:val="28"/>
        </w:rPr>
        <w:t xml:space="preserve">72 % в количественном выражении и 70 % в стоимостном. При этом товаропроизводителями из них являются менее 10 %. </w:t>
      </w:r>
    </w:p>
    <w:p w14:paraId="7D19FFCE" w14:textId="77777777" w:rsidR="00C73E5C" w:rsidRPr="00DB60DA"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Законодательство о контрактной системе в сфере закупок предусматривает возможность осуществления государственными и муниципальными заказчиками закупок малого объема (до 600,0 тыс. рублей) в упрощ</w:t>
      </w:r>
      <w:r>
        <w:rPr>
          <w:rFonts w:ascii="Times New Roman" w:hAnsi="Times New Roman" w:cs="Times New Roman"/>
          <w:sz w:val="28"/>
          <w:szCs w:val="28"/>
        </w:rPr>
        <w:t>е</w:t>
      </w:r>
      <w:r w:rsidRPr="00DB60DA">
        <w:rPr>
          <w:rFonts w:ascii="Times New Roman" w:hAnsi="Times New Roman" w:cs="Times New Roman"/>
          <w:sz w:val="28"/>
          <w:szCs w:val="28"/>
        </w:rPr>
        <w:t>нном порядке – путем заключения прямых договоров. Ежегодно на такие закупки расходуются миллиарды рублей.</w:t>
      </w:r>
    </w:p>
    <w:p w14:paraId="69777AEB" w14:textId="77777777" w:rsidR="00C73E5C" w:rsidRDefault="00C73E5C" w:rsidP="00C73E5C">
      <w:pPr>
        <w:spacing w:after="0" w:line="240" w:lineRule="auto"/>
        <w:ind w:firstLine="709"/>
        <w:jc w:val="both"/>
        <w:rPr>
          <w:rFonts w:ascii="Times New Roman" w:hAnsi="Times New Roman" w:cs="Times New Roman"/>
          <w:sz w:val="28"/>
          <w:szCs w:val="28"/>
        </w:rPr>
      </w:pPr>
      <w:r w:rsidRPr="00DB60DA">
        <w:rPr>
          <w:rFonts w:ascii="Times New Roman" w:hAnsi="Times New Roman" w:cs="Times New Roman"/>
          <w:sz w:val="28"/>
          <w:szCs w:val="28"/>
        </w:rPr>
        <w:t>За 2021 год на «Биржевой площадке» объявлены закупки на сумму 918,7 млн рублей, из них проведены на сумму – 810,7 млн рублей и заключены договора на сумму – 726,9 млн рублей. Общая экономия бюджетных средств при этом составила 83,8 млн рублей (10,3 %).</w:t>
      </w:r>
    </w:p>
    <w:p w14:paraId="27B37798" w14:textId="77777777" w:rsidR="00C73E5C" w:rsidRPr="00D24DF1" w:rsidRDefault="00C73E5C" w:rsidP="00C73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lastRenderedPageBreak/>
        <w:t>Анализ результатов контрольных мероприятий, проведенных Счетной палатой Республики Дагестан, показал наличие типичных нарушений законодательства в сфере закупок товаров, работ, услуг для государственных и муниципальных нужд. В частности:</w:t>
      </w:r>
    </w:p>
    <w:p w14:paraId="2AFFBD1D" w14:textId="77777777" w:rsidR="00C73E5C" w:rsidRPr="00D24DF1" w:rsidRDefault="00C73E5C" w:rsidP="00C73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несоблюдение порядка заключения государственного или муниципального контракта (договора) на поставку товаров, работ и услуг для государственных или муниципальных нужд;</w:t>
      </w:r>
    </w:p>
    <w:p w14:paraId="3006D289" w14:textId="77777777" w:rsidR="00C73E5C" w:rsidRPr="00D24DF1" w:rsidRDefault="00C73E5C" w:rsidP="00C73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xml:space="preserve">- включение в документацию (извещение) о закупке требований к участникам закупки, влекущих ограничение конкуренции; </w:t>
      </w:r>
    </w:p>
    <w:p w14:paraId="10C792CF" w14:textId="77777777" w:rsidR="00C73E5C" w:rsidRPr="00D24DF1" w:rsidRDefault="00C73E5C" w:rsidP="00C73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отсутствие обеспечения исполнения контракта (договора);</w:t>
      </w:r>
    </w:p>
    <w:p w14:paraId="5357DC26" w14:textId="77777777" w:rsidR="00C73E5C" w:rsidRPr="00D24DF1" w:rsidRDefault="00C73E5C" w:rsidP="00C73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нарушение при выборе способа определения поставщика (подрядчика, исполнителя) как закупка у единственного поставщика (подрядчика, исполнителя);</w:t>
      </w:r>
    </w:p>
    <w:p w14:paraId="6CA58C8C" w14:textId="77777777" w:rsidR="00C73E5C" w:rsidRPr="00D24DF1" w:rsidRDefault="00C73E5C" w:rsidP="00C73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нарушение порядка формирования, утверждения и ведения плана-графика закупок, порядка его размещения в открытом доступе;</w:t>
      </w:r>
    </w:p>
    <w:p w14:paraId="260DC289" w14:textId="77777777" w:rsidR="00C73E5C" w:rsidRPr="00D24DF1" w:rsidRDefault="00C73E5C" w:rsidP="00C73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24DF1">
        <w:rPr>
          <w:rFonts w:ascii="Times New Roman" w:eastAsia="Times New Roman" w:hAnsi="Times New Roman" w:cs="Times New Roman"/>
          <w:sz w:val="28"/>
          <w:szCs w:val="28"/>
          <w:lang w:eastAsia="ru-RU"/>
        </w:rPr>
        <w:t>- формальный подход к проведению экспертизы результатов, предусмотренных контрактом (договором), и отчету о результатах отдельного этапа исполнения контракта (договора) о поставленном товаре, выполненной работе или об оказанной услуге.</w:t>
      </w:r>
    </w:p>
    <w:p w14:paraId="78ECB5FE" w14:textId="77777777" w:rsidR="00C73E5C" w:rsidRPr="009A2BA6" w:rsidRDefault="00C73E5C" w:rsidP="00C73E5C">
      <w:pPr>
        <w:spacing w:line="240" w:lineRule="auto"/>
        <w:ind w:firstLine="709"/>
        <w:jc w:val="both"/>
        <w:rPr>
          <w:rFonts w:ascii="Times New Roman" w:hAnsi="Times New Roman" w:cs="Times New Roman"/>
          <w:color w:val="FF0000"/>
          <w:sz w:val="28"/>
          <w:szCs w:val="28"/>
        </w:rPr>
      </w:pPr>
    </w:p>
    <w:p w14:paraId="5EADD6F2" w14:textId="4E1BEEB6"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0A18C11" w14:textId="70873ABE"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EE591AC" w14:textId="181236B3"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DC921E2" w14:textId="78259F0F"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653F8FC" w14:textId="6E83C32C"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FE350D7" w14:textId="5EA12AA2"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7ED8395" w14:textId="1DDDD933"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2E24CD9" w14:textId="1EAAFA13"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0486B31" w14:textId="15450ACC"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4BBFF57" w14:textId="0B3F6E2C"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B723EFD" w14:textId="08E741CF"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AD46A22" w14:textId="31F85C37"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FF676DC" w14:textId="4D3A9755"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BCC87AC" w14:textId="507DAB9F"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02DE050" w14:textId="7B02FF9A"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D14AD09" w14:textId="5D3EFE52"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4AF77A4" w14:textId="6A8D9EF9"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618B2D6" w14:textId="0C91A9AA"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B26A424" w14:textId="2473DA90"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B9485DB" w14:textId="3B3F09F6"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C6E0079" w14:textId="2315278E" w:rsidR="00CB3DC3" w:rsidRDefault="00CB3DC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D9B4754" w14:textId="77777777" w:rsidR="00CB3DC3" w:rsidRDefault="00CB3DC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EBDA974" w14:textId="77777777" w:rsidR="00AC76BB" w:rsidRPr="00AC76BB"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AC76BB">
        <w:rPr>
          <w:rFonts w:ascii="Times New Roman" w:eastAsia="Times New Roman" w:hAnsi="Times New Roman" w:cs="Times New Roman"/>
          <w:b/>
          <w:bCs/>
          <w:color w:val="002060"/>
          <w:sz w:val="28"/>
          <w:szCs w:val="28"/>
          <w:lang w:eastAsia="ru-RU"/>
        </w:rPr>
        <w:lastRenderedPageBreak/>
        <w:t xml:space="preserve">4.5. </w:t>
      </w:r>
      <w:r w:rsidRPr="00AC76BB">
        <w:rPr>
          <w:rFonts w:ascii="Times New Roman" w:eastAsia="Times New Roman" w:hAnsi="Times New Roman" w:cs="Times New Roman"/>
          <w:b/>
          <w:color w:val="002060"/>
          <w:sz w:val="28"/>
          <w:szCs w:val="28"/>
          <w:lang w:eastAsia="ru-RU"/>
        </w:rPr>
        <w:t>Исполнение республиканского бюджета Республики Дагестан</w:t>
      </w:r>
    </w:p>
    <w:p w14:paraId="2D1AA6FA" w14:textId="77777777" w:rsidR="00AC76BB" w:rsidRPr="00AC76BB"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AC76BB">
        <w:rPr>
          <w:rFonts w:ascii="Times New Roman" w:eastAsia="Times New Roman" w:hAnsi="Times New Roman" w:cs="Times New Roman"/>
          <w:b/>
          <w:color w:val="002060"/>
          <w:sz w:val="28"/>
          <w:szCs w:val="28"/>
          <w:lang w:eastAsia="ru-RU"/>
        </w:rPr>
        <w:t>по источникам финансирования дефицита бюджета</w:t>
      </w:r>
    </w:p>
    <w:p w14:paraId="72848482"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color w:val="002060"/>
          <w:sz w:val="28"/>
          <w:szCs w:val="28"/>
          <w:lang w:eastAsia="ru-RU"/>
        </w:rPr>
      </w:pPr>
    </w:p>
    <w:p w14:paraId="60DC5833"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xml:space="preserve">Первоначально Законом Республики Дагестан </w:t>
      </w:r>
      <w:bookmarkStart w:id="34" w:name="OLE_LINK3"/>
      <w:r w:rsidRPr="00AC76BB">
        <w:rPr>
          <w:rFonts w:ascii="Times New Roman" w:eastAsia="Times New Roman" w:hAnsi="Times New Roman" w:cs="Times New Roman"/>
          <w:sz w:val="28"/>
          <w:szCs w:val="28"/>
          <w:lang w:eastAsia="ru-RU"/>
        </w:rPr>
        <w:t xml:space="preserve">от 28 декабря 2020 года № 103 «О республиканском бюджете Республики Дагестан на 2021 год и </w:t>
      </w:r>
      <w:r w:rsidRPr="00AC76BB">
        <w:rPr>
          <w:rFonts w:ascii="Times New Roman" w:eastAsia="Times New Roman" w:hAnsi="Times New Roman" w:cs="Times New Roman"/>
          <w:sz w:val="28"/>
          <w:szCs w:val="28"/>
          <w:lang w:eastAsia="ru-RU"/>
        </w:rPr>
        <w:br/>
        <w:t>на плановый период 2021 и 2022 годов»</w:t>
      </w:r>
      <w:bookmarkEnd w:id="34"/>
      <w:r w:rsidRPr="00AC76BB">
        <w:rPr>
          <w:rFonts w:ascii="Times New Roman" w:eastAsia="Times New Roman" w:hAnsi="Times New Roman" w:cs="Times New Roman"/>
          <w:sz w:val="28"/>
          <w:szCs w:val="28"/>
          <w:lang w:eastAsia="ru-RU"/>
        </w:rPr>
        <w:t xml:space="preserve"> республиканский бюджет Республики Дагестан принят с дефицитом в сумме 6 288 794,1 тыс. рублей, источниками финансирования которого были утверждены: </w:t>
      </w:r>
    </w:p>
    <w:p w14:paraId="003088CE"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возврат бюджетных кредитов, предоставленных бюджету Республики Дагестан из федерального бюджета – (-) 468 400,1 тыс. рублей;</w:t>
      </w:r>
    </w:p>
    <w:p w14:paraId="60FCE601" w14:textId="77777777" w:rsidR="00AC76BB" w:rsidRPr="00AC76BB" w:rsidRDefault="00AC76BB" w:rsidP="00AC76B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средства от продажи акций и иных форм участия в капитале, находящихся в собственности субъектов Российской Федерации – 22 365,0 тыс. рублей:</w:t>
      </w:r>
    </w:p>
    <w:p w14:paraId="6110A3C8" w14:textId="29E50095"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xml:space="preserve">- разница между средствами от возврата бюджетных кредитов, предоставленных бюджетам муниципальных образований и суммой предоставленных кредитов из республиканского бюджета </w:t>
      </w:r>
      <w:r w:rsidR="00B45176" w:rsidRPr="007639C4">
        <w:rPr>
          <w:rFonts w:ascii="Times New Roman" w:eastAsia="Times New Roman" w:hAnsi="Times New Roman" w:cs="Times New Roman"/>
          <w:sz w:val="28"/>
          <w:szCs w:val="28"/>
          <w:lang w:eastAsia="ru-RU"/>
        </w:rPr>
        <w:t>Республики Дагестан</w:t>
      </w:r>
      <w:r w:rsidRPr="00AC76BB">
        <w:rPr>
          <w:rFonts w:ascii="Times New Roman" w:eastAsia="Times New Roman" w:hAnsi="Times New Roman" w:cs="Times New Roman"/>
          <w:sz w:val="28"/>
          <w:szCs w:val="28"/>
          <w:lang w:eastAsia="ru-RU"/>
        </w:rPr>
        <w:t xml:space="preserve"> – (-) 37 081,0 тыс. рублей;</w:t>
      </w:r>
    </w:p>
    <w:p w14:paraId="56681BB4" w14:textId="77777777" w:rsidR="00AC76BB" w:rsidRPr="00AC76BB" w:rsidRDefault="00AC76BB" w:rsidP="00AC76B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изменение остатков средств на счетах по учету средств республиканского бюджета Республики Дагестан в течение финансового года – 6 771 910,2 тыс. рублей.</w:t>
      </w:r>
    </w:p>
    <w:p w14:paraId="72FB9F61" w14:textId="42BB1D93"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xml:space="preserve">В республиканский бюджет Республики Дагестан на 2021 год в процессе его исполнения внесены изменения и дополнения, уточняющие его основные характеристики. С учетом внесенных изменений, Законом Республики Дагестан от 28 декабря 2020 года № 103 «О республиканском бюджете Республики Дагестан на 2021 год и на плановый период 2022 и 2023 годов» </w:t>
      </w:r>
      <w:r w:rsidRPr="00AC76BB">
        <w:rPr>
          <w:rFonts w:ascii="Times New Roman" w:eastAsia="Times New Roman" w:hAnsi="Times New Roman" w:cs="Times New Roman"/>
          <w:sz w:val="28"/>
          <w:szCs w:val="28"/>
          <w:lang w:eastAsia="ru-RU"/>
        </w:rPr>
        <w:br/>
        <w:t>(в редакции Закона от 8</w:t>
      </w:r>
      <w:r w:rsidR="00902DE0">
        <w:rPr>
          <w:rFonts w:ascii="Times New Roman" w:eastAsia="Times New Roman" w:hAnsi="Times New Roman" w:cs="Times New Roman"/>
          <w:sz w:val="28"/>
          <w:szCs w:val="28"/>
          <w:lang w:eastAsia="ru-RU"/>
        </w:rPr>
        <w:t xml:space="preserve"> ноября </w:t>
      </w:r>
      <w:r w:rsidRPr="00AC76BB">
        <w:rPr>
          <w:rFonts w:ascii="Times New Roman" w:eastAsia="Times New Roman" w:hAnsi="Times New Roman" w:cs="Times New Roman"/>
          <w:sz w:val="28"/>
          <w:szCs w:val="28"/>
          <w:lang w:eastAsia="ru-RU"/>
        </w:rPr>
        <w:t>2021 года № 63) дефицит республиканского бюджета Республики Дагестан на 2021 год утвержден в сумме 3 995 945,1 тыс. рублей.</w:t>
      </w:r>
    </w:p>
    <w:p w14:paraId="3A1E4805"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xml:space="preserve">Источниками финансирования дефицита утверждены: </w:t>
      </w:r>
    </w:p>
    <w:p w14:paraId="36BDC45B"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возврат бюджетных кредитов, предоставленных бюджету Республики Дагестан из федерального бюджета – (-) 468 400,1 тыс. рублей;</w:t>
      </w:r>
    </w:p>
    <w:p w14:paraId="2922970D" w14:textId="77777777" w:rsidR="00AC76BB" w:rsidRPr="00AC76BB" w:rsidRDefault="00AC76BB" w:rsidP="00AC76B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средства от продажи акций и иных форм участия в капитале, находящихся в собственности субъектов Российской Федерации – 12 660,4 тыс. рублей:</w:t>
      </w:r>
    </w:p>
    <w:p w14:paraId="2F0985D8" w14:textId="25D6105F"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xml:space="preserve">- разница между средствами от возврата бюджетных кредитов, предоставленных бюджетам муниципальных образований и суммой предоставленных кредитов из республиканского бюджета </w:t>
      </w:r>
      <w:r w:rsidR="00B45176" w:rsidRPr="007639C4">
        <w:rPr>
          <w:rFonts w:ascii="Times New Roman" w:eastAsia="Times New Roman" w:hAnsi="Times New Roman" w:cs="Times New Roman"/>
          <w:sz w:val="28"/>
          <w:szCs w:val="28"/>
          <w:lang w:eastAsia="ru-RU"/>
        </w:rPr>
        <w:t>Республики Дагестан</w:t>
      </w:r>
      <w:r w:rsidRPr="00AC76BB">
        <w:rPr>
          <w:rFonts w:ascii="Times New Roman" w:eastAsia="Times New Roman" w:hAnsi="Times New Roman" w:cs="Times New Roman"/>
          <w:sz w:val="28"/>
          <w:szCs w:val="28"/>
          <w:lang w:eastAsia="ru-RU"/>
        </w:rPr>
        <w:t xml:space="preserve"> – (-) 37 081,0 тыс. рублей;</w:t>
      </w:r>
    </w:p>
    <w:p w14:paraId="1B608B2F" w14:textId="77777777" w:rsidR="00AC76BB" w:rsidRPr="00AC76BB" w:rsidRDefault="00AC76BB" w:rsidP="00AC76B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sz w:val="28"/>
          <w:szCs w:val="28"/>
          <w:lang w:eastAsia="ru-RU"/>
        </w:rPr>
        <w:t>- изменение остатков средств на счетах по учету средств республиканского бюджета Республики Дагестан в течение финансового года – 4 488 765,8 тыс. рублей.</w:t>
      </w:r>
    </w:p>
    <w:p w14:paraId="61C84A23"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76BB">
        <w:rPr>
          <w:rFonts w:ascii="Times New Roman" w:eastAsia="Times New Roman" w:hAnsi="Times New Roman" w:cs="Times New Roman"/>
          <w:color w:val="000000"/>
          <w:spacing w:val="2"/>
          <w:sz w:val="28"/>
          <w:szCs w:val="28"/>
          <w:lang w:eastAsia="ru-RU"/>
        </w:rPr>
        <w:t xml:space="preserve">Фактически в 2021 году республиканский бюджет </w:t>
      </w:r>
      <w:r w:rsidRPr="00AC76BB">
        <w:rPr>
          <w:rFonts w:ascii="Times New Roman" w:eastAsia="Times New Roman" w:hAnsi="Times New Roman" w:cs="Times New Roman"/>
          <w:sz w:val="28"/>
          <w:szCs w:val="28"/>
          <w:lang w:eastAsia="ru-RU"/>
        </w:rPr>
        <w:t>Республики Дагестан</w:t>
      </w:r>
      <w:r w:rsidRPr="00AC76BB">
        <w:rPr>
          <w:rFonts w:ascii="Times New Roman" w:eastAsia="Times New Roman" w:hAnsi="Times New Roman" w:cs="Times New Roman"/>
          <w:color w:val="000000"/>
          <w:spacing w:val="2"/>
          <w:sz w:val="28"/>
          <w:szCs w:val="28"/>
          <w:lang w:eastAsia="ru-RU"/>
        </w:rPr>
        <w:t xml:space="preserve"> исполнен с профицитом в сумме 3 643 022,7 тыс. рублей. </w:t>
      </w:r>
    </w:p>
    <w:p w14:paraId="5BD1062B"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x-none" w:eastAsia="ru-RU"/>
        </w:rPr>
      </w:pPr>
      <w:r w:rsidRPr="00AC76BB">
        <w:rPr>
          <w:rFonts w:ascii="Times New Roman" w:eastAsia="Times New Roman" w:hAnsi="Times New Roman" w:cs="Times New Roman"/>
          <w:sz w:val="28"/>
          <w:szCs w:val="28"/>
          <w:lang w:val="x-none" w:eastAsia="ru-RU"/>
        </w:rPr>
        <w:t>Информация об исполнении республиканского бюджета за 20</w:t>
      </w:r>
      <w:r w:rsidRPr="00AC76BB">
        <w:rPr>
          <w:rFonts w:ascii="Times New Roman" w:eastAsia="Times New Roman" w:hAnsi="Times New Roman" w:cs="Times New Roman"/>
          <w:sz w:val="28"/>
          <w:szCs w:val="28"/>
          <w:lang w:eastAsia="ru-RU"/>
        </w:rPr>
        <w:t>21</w:t>
      </w:r>
      <w:r w:rsidRPr="00AC76BB">
        <w:rPr>
          <w:rFonts w:ascii="Times New Roman" w:eastAsia="Times New Roman" w:hAnsi="Times New Roman" w:cs="Times New Roman"/>
          <w:sz w:val="28"/>
          <w:szCs w:val="28"/>
          <w:lang w:val="x-none" w:eastAsia="ru-RU"/>
        </w:rPr>
        <w:t xml:space="preserve"> год по </w:t>
      </w:r>
      <w:r w:rsidRPr="00AC76BB">
        <w:rPr>
          <w:rFonts w:ascii="Times New Roman" w:eastAsia="Times New Roman" w:hAnsi="Times New Roman" w:cs="Times New Roman"/>
          <w:sz w:val="28"/>
          <w:szCs w:val="28"/>
          <w:lang w:val="x-none" w:eastAsia="ru-RU"/>
        </w:rPr>
        <w:lastRenderedPageBreak/>
        <w:t>источникам финансирования дефицита приведена в следующей таблице.</w:t>
      </w:r>
    </w:p>
    <w:p w14:paraId="7CE67735"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color w:val="002060"/>
          <w:sz w:val="20"/>
          <w:szCs w:val="20"/>
          <w:lang w:eastAsia="ru-RU"/>
        </w:rPr>
      </w:pPr>
    </w:p>
    <w:p w14:paraId="3078396C" w14:textId="77777777" w:rsidR="00AC76BB" w:rsidRPr="00AC76BB" w:rsidRDefault="00AC76BB" w:rsidP="00AC76BB">
      <w:pPr>
        <w:widowControl w:val="0"/>
        <w:autoSpaceDE w:val="0"/>
        <w:autoSpaceDN w:val="0"/>
        <w:adjustRightInd w:val="0"/>
        <w:spacing w:after="0" w:line="240" w:lineRule="auto"/>
        <w:jc w:val="right"/>
        <w:rPr>
          <w:rFonts w:ascii="Times New Roman CYR" w:eastAsia="Times New Roman" w:hAnsi="Times New Roman CYR" w:cs="Times New Roman"/>
          <w:b/>
          <w:color w:val="002060"/>
          <w:sz w:val="24"/>
          <w:szCs w:val="24"/>
          <w:lang w:val="x-none" w:eastAsia="ru-RU"/>
        </w:rPr>
      </w:pPr>
      <w:r w:rsidRPr="00AC76BB">
        <w:rPr>
          <w:rFonts w:ascii="Times New Roman" w:eastAsia="Times New Roman" w:hAnsi="Times New Roman" w:cs="Times New Roman"/>
          <w:b/>
          <w:color w:val="002060"/>
          <w:sz w:val="24"/>
          <w:szCs w:val="24"/>
          <w:lang w:val="x-none" w:eastAsia="ru-RU"/>
        </w:rPr>
        <w:t>тыс. рублей</w:t>
      </w:r>
    </w:p>
    <w:tbl>
      <w:tblPr>
        <w:tblW w:w="9311" w:type="dxa"/>
        <w:tblInd w:w="91" w:type="dxa"/>
        <w:tblLayout w:type="fixed"/>
        <w:tblLook w:val="00A0" w:firstRow="1" w:lastRow="0" w:firstColumn="1" w:lastColumn="0" w:noHBand="0" w:noVBand="0"/>
      </w:tblPr>
      <w:tblGrid>
        <w:gridCol w:w="6462"/>
        <w:gridCol w:w="1409"/>
        <w:gridCol w:w="1440"/>
      </w:tblGrid>
      <w:tr w:rsidR="00AC76BB" w:rsidRPr="00AC76BB" w14:paraId="4825380E" w14:textId="77777777" w:rsidTr="00156793">
        <w:trPr>
          <w:trHeight w:val="544"/>
        </w:trPr>
        <w:tc>
          <w:tcPr>
            <w:tcW w:w="646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3F9FCE" w14:textId="77777777" w:rsidR="00AC76BB" w:rsidRPr="00AC76BB"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AC76BB">
              <w:rPr>
                <w:rFonts w:ascii="Times New Roman" w:eastAsia="Times New Roman" w:hAnsi="Times New Roman" w:cs="Times New Roman"/>
                <w:b/>
                <w:bCs/>
                <w:sz w:val="20"/>
                <w:szCs w:val="20"/>
                <w:lang w:eastAsia="ru-RU"/>
              </w:rPr>
              <w:t>Наименование показателя</w:t>
            </w:r>
          </w:p>
        </w:tc>
        <w:tc>
          <w:tcPr>
            <w:tcW w:w="1409"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16E264D3" w14:textId="77777777" w:rsidR="00AC76BB" w:rsidRPr="00AC76BB" w:rsidRDefault="00AC76BB" w:rsidP="00AC76BB">
            <w:pPr>
              <w:widowControl w:val="0"/>
              <w:autoSpaceDE w:val="0"/>
              <w:autoSpaceDN w:val="0"/>
              <w:adjustRightInd w:val="0"/>
              <w:spacing w:after="0" w:line="240" w:lineRule="auto"/>
              <w:ind w:right="-144"/>
              <w:jc w:val="center"/>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Утверждено</w:t>
            </w:r>
          </w:p>
        </w:tc>
        <w:tc>
          <w:tcPr>
            <w:tcW w:w="144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42B4F8" w14:textId="77777777" w:rsidR="00AC76BB" w:rsidRPr="00AC76BB"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AC76BB">
              <w:rPr>
                <w:rFonts w:ascii="Times New Roman" w:eastAsia="Times New Roman" w:hAnsi="Times New Roman" w:cs="Times New Roman"/>
                <w:b/>
                <w:bCs/>
                <w:sz w:val="20"/>
                <w:szCs w:val="20"/>
                <w:lang w:eastAsia="ru-RU"/>
              </w:rPr>
              <w:t>Исполнено</w:t>
            </w:r>
          </w:p>
        </w:tc>
      </w:tr>
      <w:tr w:rsidR="00AC76BB" w:rsidRPr="00AC76BB" w14:paraId="6595BD07" w14:textId="77777777" w:rsidTr="00545B6E">
        <w:trPr>
          <w:trHeight w:val="311"/>
        </w:trPr>
        <w:tc>
          <w:tcPr>
            <w:tcW w:w="6462" w:type="dxa"/>
            <w:tcBorders>
              <w:top w:val="nil"/>
              <w:left w:val="single" w:sz="4" w:space="0" w:color="auto"/>
              <w:bottom w:val="single" w:sz="4" w:space="0" w:color="auto"/>
              <w:right w:val="single" w:sz="4" w:space="0" w:color="auto"/>
            </w:tcBorders>
            <w:vAlign w:val="center"/>
          </w:tcPr>
          <w:p w14:paraId="56E44022"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ИСТОЧНИКИ ВНУТРЕННЕГО ФИНАНСИРОВАНИЯ ДЕФИЦИТОВ БЮДЖЕТОВ</w:t>
            </w:r>
          </w:p>
        </w:tc>
        <w:tc>
          <w:tcPr>
            <w:tcW w:w="1409" w:type="dxa"/>
            <w:tcBorders>
              <w:top w:val="single" w:sz="4" w:space="0" w:color="auto"/>
              <w:left w:val="nil"/>
              <w:bottom w:val="single" w:sz="4" w:space="0" w:color="auto"/>
              <w:right w:val="single" w:sz="4" w:space="0" w:color="auto"/>
            </w:tcBorders>
            <w:vAlign w:val="center"/>
          </w:tcPr>
          <w:p w14:paraId="0D7D4A65"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3 995 945,1</w:t>
            </w:r>
          </w:p>
        </w:tc>
        <w:tc>
          <w:tcPr>
            <w:tcW w:w="1440" w:type="dxa"/>
            <w:tcBorders>
              <w:top w:val="nil"/>
              <w:left w:val="single" w:sz="4" w:space="0" w:color="auto"/>
              <w:bottom w:val="single" w:sz="4" w:space="0" w:color="auto"/>
              <w:right w:val="single" w:sz="4" w:space="0" w:color="auto"/>
            </w:tcBorders>
            <w:vAlign w:val="center"/>
          </w:tcPr>
          <w:p w14:paraId="1A9BC9B4"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- 3 643 022,7</w:t>
            </w:r>
          </w:p>
        </w:tc>
      </w:tr>
      <w:tr w:rsidR="00AC76BB" w:rsidRPr="00AC76BB" w14:paraId="207830EC" w14:textId="77777777" w:rsidTr="00545B6E">
        <w:trPr>
          <w:trHeight w:val="259"/>
        </w:trPr>
        <w:tc>
          <w:tcPr>
            <w:tcW w:w="6462" w:type="dxa"/>
            <w:tcBorders>
              <w:top w:val="nil"/>
              <w:left w:val="single" w:sz="4" w:space="0" w:color="auto"/>
              <w:bottom w:val="single" w:sz="4" w:space="0" w:color="auto"/>
              <w:right w:val="single" w:sz="4" w:space="0" w:color="auto"/>
            </w:tcBorders>
            <w:vAlign w:val="center"/>
          </w:tcPr>
          <w:p w14:paraId="3C81B00D"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Кредиты кредитных организаций в валюте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564BBBE3"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w:t>
            </w:r>
          </w:p>
        </w:tc>
        <w:tc>
          <w:tcPr>
            <w:tcW w:w="1440" w:type="dxa"/>
            <w:tcBorders>
              <w:top w:val="nil"/>
              <w:left w:val="single" w:sz="4" w:space="0" w:color="auto"/>
              <w:bottom w:val="single" w:sz="4" w:space="0" w:color="auto"/>
              <w:right w:val="single" w:sz="4" w:space="0" w:color="auto"/>
            </w:tcBorders>
            <w:vAlign w:val="center"/>
          </w:tcPr>
          <w:p w14:paraId="3273D326"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w:t>
            </w:r>
          </w:p>
        </w:tc>
      </w:tr>
      <w:tr w:rsidR="00AC76BB" w:rsidRPr="00AC76BB" w14:paraId="0582B0EC" w14:textId="77777777" w:rsidTr="00545B6E">
        <w:trPr>
          <w:trHeight w:val="349"/>
        </w:trPr>
        <w:tc>
          <w:tcPr>
            <w:tcW w:w="6462" w:type="dxa"/>
            <w:tcBorders>
              <w:top w:val="nil"/>
              <w:left w:val="single" w:sz="4" w:space="0" w:color="auto"/>
              <w:bottom w:val="single" w:sz="4" w:space="0" w:color="auto"/>
              <w:right w:val="single" w:sz="4" w:space="0" w:color="auto"/>
            </w:tcBorders>
            <w:vAlign w:val="center"/>
          </w:tcPr>
          <w:p w14:paraId="3DF99897"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Погашение бюджетами субъектов Российской Федерации кредитов из других бюджетов бюджетной системы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2B5F9DF1" w14:textId="77777777" w:rsidR="00AC76BB" w:rsidRPr="00AC76BB" w:rsidRDefault="00AC76BB" w:rsidP="00AC76BB">
            <w:pPr>
              <w:widowControl w:val="0"/>
              <w:autoSpaceDE w:val="0"/>
              <w:autoSpaceDN w:val="0"/>
              <w:adjustRightInd w:val="0"/>
              <w:spacing w:after="0" w:line="240" w:lineRule="auto"/>
              <w:ind w:left="-108" w:firstLine="108"/>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-468 400,1</w:t>
            </w:r>
          </w:p>
        </w:tc>
        <w:tc>
          <w:tcPr>
            <w:tcW w:w="1440" w:type="dxa"/>
            <w:tcBorders>
              <w:top w:val="nil"/>
              <w:left w:val="single" w:sz="4" w:space="0" w:color="auto"/>
              <w:bottom w:val="single" w:sz="4" w:space="0" w:color="auto"/>
              <w:right w:val="single" w:sz="4" w:space="0" w:color="auto"/>
            </w:tcBorders>
            <w:vAlign w:val="center"/>
          </w:tcPr>
          <w:p w14:paraId="0E3AEC2A"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-468 400,1</w:t>
            </w:r>
          </w:p>
        </w:tc>
      </w:tr>
      <w:tr w:rsidR="00AC76BB" w:rsidRPr="00AC76BB" w14:paraId="2A6247D9" w14:textId="77777777" w:rsidTr="00545B6E">
        <w:trPr>
          <w:trHeight w:val="278"/>
        </w:trPr>
        <w:tc>
          <w:tcPr>
            <w:tcW w:w="6462" w:type="dxa"/>
            <w:tcBorders>
              <w:top w:val="nil"/>
              <w:left w:val="single" w:sz="4" w:space="0" w:color="auto"/>
              <w:bottom w:val="single" w:sz="4" w:space="0" w:color="auto"/>
              <w:right w:val="single" w:sz="4" w:space="0" w:color="auto"/>
            </w:tcBorders>
            <w:vAlign w:val="center"/>
          </w:tcPr>
          <w:p w14:paraId="01CA00EA"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Иные источники внутреннего финансирования дефицитов бюджетов</w:t>
            </w:r>
          </w:p>
        </w:tc>
        <w:tc>
          <w:tcPr>
            <w:tcW w:w="1409" w:type="dxa"/>
            <w:tcBorders>
              <w:top w:val="single" w:sz="4" w:space="0" w:color="auto"/>
              <w:left w:val="nil"/>
              <w:bottom w:val="single" w:sz="4" w:space="0" w:color="auto"/>
              <w:right w:val="single" w:sz="4" w:space="0" w:color="auto"/>
            </w:tcBorders>
            <w:vAlign w:val="center"/>
          </w:tcPr>
          <w:p w14:paraId="3D91C6CF"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-24 420,6</w:t>
            </w:r>
          </w:p>
        </w:tc>
        <w:tc>
          <w:tcPr>
            <w:tcW w:w="1440" w:type="dxa"/>
            <w:tcBorders>
              <w:top w:val="nil"/>
              <w:left w:val="single" w:sz="4" w:space="0" w:color="auto"/>
              <w:bottom w:val="single" w:sz="4" w:space="0" w:color="auto"/>
              <w:right w:val="single" w:sz="4" w:space="0" w:color="auto"/>
            </w:tcBorders>
            <w:vAlign w:val="center"/>
          </w:tcPr>
          <w:p w14:paraId="1C84B6B7"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32 041,5</w:t>
            </w:r>
          </w:p>
        </w:tc>
      </w:tr>
      <w:tr w:rsidR="00AC76BB" w:rsidRPr="00AC76BB" w14:paraId="5D85836C" w14:textId="77777777" w:rsidTr="00545B6E">
        <w:trPr>
          <w:trHeight w:val="247"/>
        </w:trPr>
        <w:tc>
          <w:tcPr>
            <w:tcW w:w="6462" w:type="dxa"/>
            <w:tcBorders>
              <w:top w:val="nil"/>
              <w:left w:val="single" w:sz="4" w:space="0" w:color="auto"/>
              <w:bottom w:val="single" w:sz="4" w:space="0" w:color="auto"/>
              <w:right w:val="single" w:sz="4" w:space="0" w:color="auto"/>
            </w:tcBorders>
            <w:vAlign w:val="bottom"/>
          </w:tcPr>
          <w:p w14:paraId="176B209C"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 xml:space="preserve">Средства от продажи акций и иных форм участия в капитале, находящихся в государственной и муниципальной собственности </w:t>
            </w:r>
          </w:p>
        </w:tc>
        <w:tc>
          <w:tcPr>
            <w:tcW w:w="1409" w:type="dxa"/>
            <w:tcBorders>
              <w:top w:val="single" w:sz="4" w:space="0" w:color="auto"/>
              <w:left w:val="nil"/>
              <w:bottom w:val="single" w:sz="4" w:space="0" w:color="auto"/>
              <w:right w:val="single" w:sz="4" w:space="0" w:color="auto"/>
            </w:tcBorders>
            <w:vAlign w:val="center"/>
          </w:tcPr>
          <w:p w14:paraId="03CEACCF"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12 660,4</w:t>
            </w:r>
          </w:p>
        </w:tc>
        <w:tc>
          <w:tcPr>
            <w:tcW w:w="1440" w:type="dxa"/>
            <w:tcBorders>
              <w:top w:val="nil"/>
              <w:left w:val="single" w:sz="4" w:space="0" w:color="auto"/>
              <w:bottom w:val="single" w:sz="4" w:space="0" w:color="auto"/>
              <w:right w:val="single" w:sz="4" w:space="0" w:color="auto"/>
            </w:tcBorders>
            <w:vAlign w:val="center"/>
          </w:tcPr>
          <w:p w14:paraId="2AC83427"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w:t>
            </w:r>
          </w:p>
        </w:tc>
      </w:tr>
      <w:tr w:rsidR="00AC76BB" w:rsidRPr="00AC76BB" w14:paraId="3F2DF0D2" w14:textId="77777777" w:rsidTr="00545B6E">
        <w:trPr>
          <w:trHeight w:val="247"/>
        </w:trPr>
        <w:tc>
          <w:tcPr>
            <w:tcW w:w="6462" w:type="dxa"/>
            <w:tcBorders>
              <w:top w:val="nil"/>
              <w:left w:val="single" w:sz="4" w:space="0" w:color="auto"/>
              <w:bottom w:val="single" w:sz="4" w:space="0" w:color="auto"/>
              <w:right w:val="single" w:sz="4" w:space="0" w:color="auto"/>
            </w:tcBorders>
            <w:vAlign w:val="bottom"/>
          </w:tcPr>
          <w:p w14:paraId="660FBC78"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Бюджетные кредиты, предоставленные внутри страны в валюте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04BE3990"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- 37 081,0</w:t>
            </w:r>
          </w:p>
        </w:tc>
        <w:tc>
          <w:tcPr>
            <w:tcW w:w="1440" w:type="dxa"/>
            <w:tcBorders>
              <w:top w:val="nil"/>
              <w:left w:val="single" w:sz="4" w:space="0" w:color="auto"/>
              <w:bottom w:val="single" w:sz="4" w:space="0" w:color="auto"/>
              <w:right w:val="single" w:sz="4" w:space="0" w:color="auto"/>
            </w:tcBorders>
            <w:vAlign w:val="center"/>
          </w:tcPr>
          <w:p w14:paraId="10B3075B"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32 041,5</w:t>
            </w:r>
          </w:p>
        </w:tc>
      </w:tr>
      <w:tr w:rsidR="00AC76BB" w:rsidRPr="00AC76BB" w14:paraId="40532DD2" w14:textId="77777777" w:rsidTr="00545B6E">
        <w:trPr>
          <w:trHeight w:val="177"/>
        </w:trPr>
        <w:tc>
          <w:tcPr>
            <w:tcW w:w="6462" w:type="dxa"/>
            <w:tcBorders>
              <w:top w:val="nil"/>
              <w:left w:val="single" w:sz="4" w:space="0" w:color="auto"/>
              <w:bottom w:val="single" w:sz="4" w:space="0" w:color="auto"/>
              <w:right w:val="single" w:sz="4" w:space="0" w:color="auto"/>
            </w:tcBorders>
            <w:vAlign w:val="bottom"/>
          </w:tcPr>
          <w:p w14:paraId="607C7C0F"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Предоставление бюджетных кредитов другим бюджетам бюджетной системы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22B02823"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-100 000,0</w:t>
            </w:r>
          </w:p>
        </w:tc>
        <w:tc>
          <w:tcPr>
            <w:tcW w:w="1440" w:type="dxa"/>
            <w:tcBorders>
              <w:top w:val="nil"/>
              <w:left w:val="single" w:sz="4" w:space="0" w:color="auto"/>
              <w:bottom w:val="single" w:sz="4" w:space="0" w:color="auto"/>
              <w:right w:val="single" w:sz="4" w:space="0" w:color="auto"/>
            </w:tcBorders>
            <w:vAlign w:val="center"/>
          </w:tcPr>
          <w:p w14:paraId="5B0094A4"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-64 963,0</w:t>
            </w:r>
          </w:p>
        </w:tc>
      </w:tr>
      <w:tr w:rsidR="00AC76BB" w:rsidRPr="00AC76BB" w14:paraId="49D95257" w14:textId="77777777" w:rsidTr="00545B6E">
        <w:trPr>
          <w:trHeight w:val="177"/>
        </w:trPr>
        <w:tc>
          <w:tcPr>
            <w:tcW w:w="6462" w:type="dxa"/>
            <w:tcBorders>
              <w:top w:val="nil"/>
              <w:left w:val="single" w:sz="4" w:space="0" w:color="auto"/>
              <w:bottom w:val="single" w:sz="4" w:space="0" w:color="auto"/>
              <w:right w:val="single" w:sz="4" w:space="0" w:color="auto"/>
            </w:tcBorders>
            <w:vAlign w:val="bottom"/>
          </w:tcPr>
          <w:p w14:paraId="5211ADC0"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Возврат бюджетных кредитов, предоставленных юридическим лицам из бюджетов субъектов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0B437E23"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w:t>
            </w:r>
          </w:p>
        </w:tc>
        <w:tc>
          <w:tcPr>
            <w:tcW w:w="1440" w:type="dxa"/>
            <w:tcBorders>
              <w:top w:val="nil"/>
              <w:left w:val="single" w:sz="4" w:space="0" w:color="auto"/>
              <w:bottom w:val="single" w:sz="4" w:space="0" w:color="auto"/>
              <w:right w:val="single" w:sz="4" w:space="0" w:color="auto"/>
            </w:tcBorders>
            <w:vAlign w:val="center"/>
          </w:tcPr>
          <w:p w14:paraId="374AC0F5"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3 041,9</w:t>
            </w:r>
          </w:p>
        </w:tc>
      </w:tr>
      <w:tr w:rsidR="00AC76BB" w:rsidRPr="00AC76BB" w14:paraId="25D70A6C" w14:textId="77777777" w:rsidTr="00545B6E">
        <w:trPr>
          <w:trHeight w:val="177"/>
        </w:trPr>
        <w:tc>
          <w:tcPr>
            <w:tcW w:w="6462" w:type="dxa"/>
            <w:tcBorders>
              <w:top w:val="nil"/>
              <w:left w:val="single" w:sz="4" w:space="0" w:color="auto"/>
              <w:bottom w:val="single" w:sz="4" w:space="0" w:color="auto"/>
              <w:right w:val="single" w:sz="4" w:space="0" w:color="auto"/>
            </w:tcBorders>
            <w:vAlign w:val="bottom"/>
          </w:tcPr>
          <w:p w14:paraId="3138BD8E"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Возврат бюджетных кредитов, предоставленных другим бюджетам из бюджетов субъектов Российской Федерации</w:t>
            </w:r>
          </w:p>
        </w:tc>
        <w:tc>
          <w:tcPr>
            <w:tcW w:w="1409" w:type="dxa"/>
            <w:tcBorders>
              <w:top w:val="single" w:sz="4" w:space="0" w:color="auto"/>
              <w:left w:val="nil"/>
              <w:bottom w:val="single" w:sz="4" w:space="0" w:color="auto"/>
              <w:right w:val="single" w:sz="4" w:space="0" w:color="auto"/>
            </w:tcBorders>
            <w:vAlign w:val="center"/>
          </w:tcPr>
          <w:p w14:paraId="68CCC447"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62 919,0</w:t>
            </w:r>
          </w:p>
        </w:tc>
        <w:tc>
          <w:tcPr>
            <w:tcW w:w="1440" w:type="dxa"/>
            <w:tcBorders>
              <w:top w:val="nil"/>
              <w:left w:val="single" w:sz="4" w:space="0" w:color="auto"/>
              <w:bottom w:val="single" w:sz="4" w:space="0" w:color="auto"/>
              <w:right w:val="single" w:sz="4" w:space="0" w:color="auto"/>
            </w:tcBorders>
            <w:vAlign w:val="center"/>
          </w:tcPr>
          <w:p w14:paraId="1292D3E1"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AC76BB">
              <w:rPr>
                <w:rFonts w:ascii="Times New Roman" w:eastAsia="Times New Roman" w:hAnsi="Times New Roman" w:cs="Times New Roman"/>
                <w:sz w:val="20"/>
                <w:szCs w:val="20"/>
                <w:lang w:eastAsia="ru-RU"/>
              </w:rPr>
              <w:t>93 962,6</w:t>
            </w:r>
          </w:p>
        </w:tc>
      </w:tr>
      <w:tr w:rsidR="00AC76BB" w:rsidRPr="00AC76BB" w14:paraId="6646D039" w14:textId="77777777" w:rsidTr="00545B6E">
        <w:trPr>
          <w:trHeight w:val="373"/>
        </w:trPr>
        <w:tc>
          <w:tcPr>
            <w:tcW w:w="6462" w:type="dxa"/>
            <w:tcBorders>
              <w:top w:val="nil"/>
              <w:left w:val="single" w:sz="4" w:space="0" w:color="auto"/>
              <w:bottom w:val="single" w:sz="4" w:space="0" w:color="auto"/>
              <w:right w:val="single" w:sz="4" w:space="0" w:color="auto"/>
            </w:tcBorders>
            <w:vAlign w:val="center"/>
          </w:tcPr>
          <w:p w14:paraId="45B7A71A"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Изменение остатков средств на счетах по учету средств бюджетов</w:t>
            </w:r>
          </w:p>
        </w:tc>
        <w:tc>
          <w:tcPr>
            <w:tcW w:w="1409" w:type="dxa"/>
            <w:tcBorders>
              <w:top w:val="single" w:sz="4" w:space="0" w:color="auto"/>
              <w:left w:val="nil"/>
              <w:bottom w:val="single" w:sz="4" w:space="0" w:color="auto"/>
              <w:right w:val="single" w:sz="4" w:space="0" w:color="auto"/>
            </w:tcBorders>
            <w:vAlign w:val="center"/>
          </w:tcPr>
          <w:p w14:paraId="3192706E"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4 488 765,8</w:t>
            </w:r>
          </w:p>
        </w:tc>
        <w:tc>
          <w:tcPr>
            <w:tcW w:w="1440" w:type="dxa"/>
            <w:tcBorders>
              <w:top w:val="nil"/>
              <w:left w:val="single" w:sz="4" w:space="0" w:color="auto"/>
              <w:bottom w:val="single" w:sz="4" w:space="0" w:color="auto"/>
              <w:right w:val="single" w:sz="4" w:space="0" w:color="auto"/>
            </w:tcBorders>
            <w:vAlign w:val="center"/>
          </w:tcPr>
          <w:p w14:paraId="59EFF996" w14:textId="77777777" w:rsidR="00AC76BB" w:rsidRPr="00AC76BB" w:rsidRDefault="00AC76BB" w:rsidP="00AC76BB">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AC76BB">
              <w:rPr>
                <w:rFonts w:ascii="Times New Roman" w:eastAsia="Times New Roman" w:hAnsi="Times New Roman" w:cs="Times New Roman"/>
                <w:b/>
                <w:sz w:val="20"/>
                <w:szCs w:val="20"/>
                <w:lang w:eastAsia="ru-RU"/>
              </w:rPr>
              <w:t>-3 206 664,1</w:t>
            </w:r>
          </w:p>
        </w:tc>
      </w:tr>
    </w:tbl>
    <w:p w14:paraId="45AF07A7" w14:textId="77777777" w:rsidR="00AC76BB" w:rsidRP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8"/>
          <w:szCs w:val="28"/>
          <w:lang w:eastAsia="ru-RU"/>
        </w:rPr>
      </w:pPr>
    </w:p>
    <w:p w14:paraId="66C56F8D" w14:textId="77777777" w:rsidR="00AC76BB" w:rsidRPr="00AC76BB" w:rsidRDefault="00AC76BB" w:rsidP="00AC76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74B324D6" w14:textId="1799135D"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688A6BB" w14:textId="3050E6E2"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AB632FC" w14:textId="2ACEC0F2"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8CCBDC2" w14:textId="41989E02"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6F28719" w14:textId="713591C9"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F26C5B4" w14:textId="7D7B63A0"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1A9FE25" w14:textId="71877F38"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62886DF" w14:textId="0BCB043D"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66E48F1" w14:textId="4FF1028B"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BFB62CA" w14:textId="2609C67C"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0105A7D" w14:textId="6E6C4646"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AD0D59A" w14:textId="489F5D9F"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4D76D16" w14:textId="7780B40A"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F87D5AD" w14:textId="391D1302"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B6F004E" w14:textId="5C6B7C3D"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28A0A14" w14:textId="24B1538B"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1DED0C4" w14:textId="1BFBBDCE"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3AD5012" w14:textId="4AE579E9"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082C266" w14:textId="1368AC55"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1A7F439" w14:textId="13510327"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5F2BDD8" w14:textId="6C69D6AA"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35D37BD" w14:textId="1A300A6E"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00CDD5A" w14:textId="489492CC"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67633C7" w14:textId="77777777" w:rsidR="00AC76BB" w:rsidRPr="0015599C"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r>
        <w:rPr>
          <w:rFonts w:ascii="Times New Roman" w:eastAsia="Times New Roman" w:hAnsi="Times New Roman" w:cs="Times New Roman"/>
          <w:b/>
          <w:bCs/>
          <w:color w:val="002060"/>
          <w:sz w:val="28"/>
          <w:szCs w:val="28"/>
          <w:lang w:eastAsia="ru-RU"/>
        </w:rPr>
        <w:lastRenderedPageBreak/>
        <w:t>4.6</w:t>
      </w:r>
      <w:r w:rsidRPr="0015599C">
        <w:rPr>
          <w:rFonts w:ascii="Times New Roman" w:eastAsia="Times New Roman" w:hAnsi="Times New Roman" w:cs="Times New Roman"/>
          <w:b/>
          <w:bCs/>
          <w:color w:val="002060"/>
          <w:sz w:val="28"/>
          <w:szCs w:val="28"/>
          <w:lang w:eastAsia="ru-RU"/>
        </w:rPr>
        <w:t xml:space="preserve">. Состояние дебиторской и кредиторской </w:t>
      </w:r>
    </w:p>
    <w:p w14:paraId="4FAD1DB4" w14:textId="77777777" w:rsidR="00AC76BB" w:rsidRPr="0015599C"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r w:rsidRPr="0015599C">
        <w:rPr>
          <w:rFonts w:ascii="Times New Roman" w:eastAsia="Times New Roman" w:hAnsi="Times New Roman" w:cs="Times New Roman"/>
          <w:b/>
          <w:bCs/>
          <w:color w:val="002060"/>
          <w:sz w:val="28"/>
          <w:szCs w:val="28"/>
          <w:lang w:eastAsia="ru-RU"/>
        </w:rPr>
        <w:t xml:space="preserve">задолженности главных распорядителей средств </w:t>
      </w:r>
    </w:p>
    <w:p w14:paraId="3F595603" w14:textId="77777777" w:rsidR="00AC76BB" w:rsidRPr="0015599C" w:rsidRDefault="00AC76BB" w:rsidP="00AC76BB">
      <w:pPr>
        <w:widowControl w:val="0"/>
        <w:autoSpaceDE w:val="0"/>
        <w:autoSpaceDN w:val="0"/>
        <w:adjustRightInd w:val="0"/>
        <w:spacing w:after="0" w:line="240" w:lineRule="auto"/>
        <w:jc w:val="center"/>
        <w:rPr>
          <w:rFonts w:ascii="Times New Roman" w:eastAsia="Times New Roman" w:hAnsi="Times New Roman" w:cs="Times New Roman"/>
          <w:b/>
          <w:bCs/>
          <w:color w:val="002060"/>
          <w:sz w:val="28"/>
          <w:szCs w:val="28"/>
          <w:lang w:eastAsia="ru-RU"/>
        </w:rPr>
      </w:pPr>
      <w:r w:rsidRPr="0015599C">
        <w:rPr>
          <w:rFonts w:ascii="Times New Roman" w:eastAsia="Times New Roman" w:hAnsi="Times New Roman" w:cs="Times New Roman"/>
          <w:b/>
          <w:bCs/>
          <w:color w:val="002060"/>
          <w:sz w:val="28"/>
          <w:szCs w:val="28"/>
          <w:lang w:eastAsia="ru-RU"/>
        </w:rPr>
        <w:t>республиканского бюджета Республики Дагестан</w:t>
      </w:r>
    </w:p>
    <w:p w14:paraId="61457FD6" w14:textId="77777777" w:rsidR="00AC76BB" w:rsidRDefault="00AC76BB" w:rsidP="00AC76BB"/>
    <w:p w14:paraId="42463146"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4.6</w:t>
      </w:r>
      <w:r w:rsidRPr="00885375">
        <w:rPr>
          <w:rFonts w:ascii="Times New Roman" w:eastAsia="Times New Roman" w:hAnsi="Times New Roman" w:cs="Times New Roman"/>
          <w:b/>
          <w:color w:val="002060"/>
          <w:sz w:val="28"/>
          <w:szCs w:val="28"/>
          <w:lang w:eastAsia="ru-RU"/>
        </w:rPr>
        <w:t>.1. Дебиторская задолженность</w:t>
      </w:r>
      <w:r>
        <w:rPr>
          <w:rFonts w:ascii="Times New Roman" w:eastAsia="Times New Roman" w:hAnsi="Times New Roman" w:cs="Times New Roman"/>
          <w:b/>
          <w:color w:val="002060"/>
          <w:sz w:val="28"/>
          <w:szCs w:val="28"/>
          <w:lang w:eastAsia="ru-RU"/>
        </w:rPr>
        <w:t>.</w:t>
      </w:r>
    </w:p>
    <w:p w14:paraId="19DD1FE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2060"/>
          <w:sz w:val="28"/>
          <w:szCs w:val="28"/>
          <w:lang w:eastAsia="ru-RU"/>
        </w:rPr>
        <w:t>4.6.1.1</w:t>
      </w:r>
      <w:r w:rsidRPr="00885375">
        <w:rPr>
          <w:rFonts w:ascii="Times New Roman" w:eastAsia="Times New Roman" w:hAnsi="Times New Roman" w:cs="Times New Roman"/>
          <w:b/>
          <w:color w:val="002060"/>
          <w:sz w:val="28"/>
          <w:szCs w:val="28"/>
          <w:lang w:eastAsia="ru-RU"/>
        </w:rPr>
        <w:t>.</w:t>
      </w:r>
      <w:r w:rsidRPr="00885375">
        <w:rPr>
          <w:rFonts w:ascii="Times New Roman" w:eastAsia="Times New Roman" w:hAnsi="Times New Roman" w:cs="Times New Roman"/>
          <w:bCs/>
          <w:color w:val="002060"/>
          <w:sz w:val="28"/>
          <w:szCs w:val="28"/>
          <w:lang w:eastAsia="ru-RU"/>
        </w:rPr>
        <w:t xml:space="preserve"> </w:t>
      </w:r>
      <w:r w:rsidRPr="00885375">
        <w:rPr>
          <w:rFonts w:ascii="Times New Roman" w:eastAsia="Times New Roman" w:hAnsi="Times New Roman" w:cs="Times New Roman"/>
          <w:bCs/>
          <w:sz w:val="28"/>
          <w:szCs w:val="28"/>
          <w:lang w:eastAsia="ru-RU"/>
        </w:rPr>
        <w:t xml:space="preserve">По состоянию на 1 января 2021 года </w:t>
      </w:r>
      <w:r w:rsidRPr="00885375">
        <w:rPr>
          <w:rFonts w:ascii="Times New Roman" w:eastAsia="Times New Roman" w:hAnsi="Times New Roman" w:cs="Times New Roman"/>
          <w:sz w:val="28"/>
          <w:szCs w:val="28"/>
          <w:lang w:eastAsia="ru-RU"/>
        </w:rPr>
        <w:t xml:space="preserve">на балансе исполнения республиканского бюджета </w:t>
      </w:r>
      <w:r w:rsidRPr="00885375">
        <w:rPr>
          <w:rFonts w:ascii="Times New Roman" w:eastAsia="Times New Roman" w:hAnsi="Times New Roman" w:cs="Times New Roman"/>
          <w:iCs/>
          <w:sz w:val="28"/>
          <w:szCs w:val="28"/>
          <w:lang w:eastAsia="ru-RU"/>
        </w:rPr>
        <w:t>Республики Дагестан</w:t>
      </w:r>
      <w:r w:rsidRPr="00885375">
        <w:rPr>
          <w:rFonts w:ascii="Times New Roman" w:eastAsia="Times New Roman" w:hAnsi="Times New Roman" w:cs="Times New Roman"/>
          <w:sz w:val="28"/>
          <w:szCs w:val="28"/>
          <w:lang w:eastAsia="ru-RU"/>
        </w:rPr>
        <w:t xml:space="preserve"> учтена дебиторская задолженность</w:t>
      </w:r>
      <w:r w:rsidRPr="00885375">
        <w:rPr>
          <w:rFonts w:ascii="Times New Roman" w:eastAsia="Times New Roman" w:hAnsi="Times New Roman" w:cs="Times New Roman"/>
          <w:bCs/>
          <w:sz w:val="28"/>
          <w:szCs w:val="28"/>
          <w:lang w:eastAsia="ru-RU"/>
        </w:rPr>
        <w:t xml:space="preserve"> в сумме 95 011 136,6 тыс. рублей, в том числе: </w:t>
      </w:r>
    </w:p>
    <w:p w14:paraId="531E843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доходам – 87 457 278,0 тыс. рублей;</w:t>
      </w:r>
    </w:p>
    <w:p w14:paraId="54C3FA64"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выданным авансам – 7 500 789,2 тыс. рублей;</w:t>
      </w:r>
    </w:p>
    <w:p w14:paraId="7D69AD2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с подотчетными лицами – 3 815,2 тыс. рублей; </w:t>
      </w:r>
    </w:p>
    <w:p w14:paraId="5A25E2A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ущербу и иным доходам – 15 984,5 тыс. рублей;</w:t>
      </w:r>
    </w:p>
    <w:p w14:paraId="7A740C6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платежам в бюджеты – 33 269,7 тыс. рублей.</w:t>
      </w:r>
    </w:p>
    <w:p w14:paraId="510BF9E5" w14:textId="3A491558"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В течение 2021 года дебиторская задолженность в целом увеличилась на </w:t>
      </w:r>
      <w:r w:rsidR="00480502">
        <w:rPr>
          <w:rFonts w:ascii="Times New Roman" w:eastAsia="Times New Roman" w:hAnsi="Times New Roman" w:cs="Times New Roman"/>
          <w:bCs/>
          <w:sz w:val="28"/>
          <w:szCs w:val="28"/>
          <w:lang w:eastAsia="ru-RU"/>
        </w:rPr>
        <w:t>22 905 341,0</w:t>
      </w:r>
      <w:r w:rsidRPr="00885375">
        <w:rPr>
          <w:rFonts w:ascii="Times New Roman" w:eastAsia="Times New Roman" w:hAnsi="Times New Roman" w:cs="Times New Roman"/>
          <w:bCs/>
          <w:sz w:val="28"/>
          <w:szCs w:val="28"/>
          <w:lang w:eastAsia="ru-RU"/>
        </w:rPr>
        <w:t xml:space="preserve"> тыс. рублей и </w:t>
      </w:r>
      <w:r w:rsidRPr="00885375">
        <w:rPr>
          <w:rFonts w:ascii="Times New Roman" w:eastAsia="Times New Roman" w:hAnsi="Times New Roman" w:cs="Times New Roman"/>
          <w:sz w:val="28"/>
          <w:szCs w:val="20"/>
          <w:lang w:eastAsia="ru-RU"/>
        </w:rPr>
        <w:t>на 1 января 2022 года</w:t>
      </w:r>
      <w:r w:rsidRPr="00885375">
        <w:rPr>
          <w:rFonts w:ascii="Times New Roman" w:eastAsia="Times New Roman" w:hAnsi="Times New Roman" w:cs="Times New Roman"/>
          <w:bCs/>
          <w:sz w:val="28"/>
          <w:szCs w:val="28"/>
          <w:lang w:eastAsia="ru-RU"/>
        </w:rPr>
        <w:t xml:space="preserve"> составила 117 916 477,6 тыс. рублей, в том числе: </w:t>
      </w:r>
    </w:p>
    <w:p w14:paraId="537EAE6A"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доходам – 112 388 002,7 тыс. рублей (увеличилась на 24 930 724,7 тыс. рублей);</w:t>
      </w:r>
    </w:p>
    <w:p w14:paraId="3DF60BB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выданным авансам – 5 474 793,5 тыс. рублей (уменьшилась на 2 025 995,7 тыс. рублей);</w:t>
      </w:r>
    </w:p>
    <w:p w14:paraId="232D862A"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с подотчетными лицами – 3 795,6 тыс. рублей (уменьшилась на 19,6 тыс. рублей);</w:t>
      </w:r>
    </w:p>
    <w:p w14:paraId="2480C2B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ущербу и иным доходам – 29 020,7 тыс. рублей (увеличилась на 13 036,2 тыс. рублей);</w:t>
      </w:r>
    </w:p>
    <w:p w14:paraId="7AB9B41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по платежам в бюджеты – 20 865,1 тыс. рублей (уменьшилась на 12 404,6 тыс. рублей). </w:t>
      </w:r>
    </w:p>
    <w:p w14:paraId="413E2A7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b/>
          <w:color w:val="002060"/>
          <w:sz w:val="28"/>
          <w:szCs w:val="28"/>
          <w:lang w:eastAsia="ru-RU"/>
        </w:rPr>
        <w:t>4.6.1.2</w:t>
      </w:r>
      <w:r w:rsidRPr="00885375">
        <w:rPr>
          <w:rFonts w:ascii="Times New Roman" w:eastAsia="Times New Roman" w:hAnsi="Times New Roman" w:cs="Times New Roman"/>
          <w:b/>
          <w:color w:val="002060"/>
          <w:sz w:val="28"/>
          <w:szCs w:val="28"/>
          <w:lang w:eastAsia="ru-RU"/>
        </w:rPr>
        <w:t>.</w:t>
      </w:r>
      <w:r w:rsidRPr="00885375">
        <w:rPr>
          <w:rFonts w:ascii="Times New Roman" w:eastAsia="Times New Roman" w:hAnsi="Times New Roman" w:cs="Times New Roman"/>
          <w:bCs/>
          <w:color w:val="002060"/>
          <w:sz w:val="28"/>
          <w:szCs w:val="28"/>
          <w:lang w:eastAsia="ru-RU"/>
        </w:rPr>
        <w:t xml:space="preserve"> </w:t>
      </w:r>
      <w:r w:rsidRPr="00885375">
        <w:rPr>
          <w:rFonts w:ascii="Times New Roman" w:eastAsia="Times New Roman" w:hAnsi="Times New Roman" w:cs="Times New Roman"/>
          <w:iCs/>
          <w:sz w:val="28"/>
          <w:szCs w:val="28"/>
          <w:lang w:eastAsia="ru-RU"/>
        </w:rPr>
        <w:t xml:space="preserve">Анализ бюджетной отчетности главных распорядителей и получателей средств республиканского бюджета Республики Дагестан, а также главных администраторов доходов республиканского бюджета Республики Дагестан показал, что на 1 января 2022 года </w:t>
      </w:r>
      <w:r w:rsidRPr="00885375">
        <w:rPr>
          <w:rFonts w:ascii="Times New Roman" w:eastAsia="Times New Roman" w:hAnsi="Times New Roman" w:cs="Times New Roman"/>
          <w:sz w:val="28"/>
          <w:szCs w:val="28"/>
          <w:lang w:eastAsia="ru-RU"/>
        </w:rPr>
        <w:t xml:space="preserve">наиболее значительные средства отвлечены в дебиторскую задолженность следующими администраторами доходов и получателями средств республиканского бюджета </w:t>
      </w:r>
      <w:r w:rsidRPr="00885375">
        <w:rPr>
          <w:rFonts w:ascii="Times New Roman" w:eastAsia="Times New Roman" w:hAnsi="Times New Roman" w:cs="Times New Roman"/>
          <w:iCs/>
          <w:sz w:val="28"/>
          <w:szCs w:val="28"/>
          <w:lang w:eastAsia="ru-RU"/>
        </w:rPr>
        <w:t>Республики Дагестан:</w:t>
      </w:r>
    </w:p>
    <w:p w14:paraId="08EF46D6"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885375">
        <w:rPr>
          <w:rFonts w:ascii="Times New Roman" w:eastAsia="Times New Roman" w:hAnsi="Times New Roman" w:cs="Times New Roman"/>
          <w:b/>
          <w:iCs/>
          <w:color w:val="002060"/>
          <w:sz w:val="28"/>
          <w:szCs w:val="28"/>
          <w:lang w:eastAsia="ru-RU"/>
        </w:rPr>
        <w:t>1)</w:t>
      </w:r>
      <w:r w:rsidRPr="00885375">
        <w:rPr>
          <w:rFonts w:ascii="Times New Roman" w:eastAsia="Times New Roman" w:hAnsi="Times New Roman" w:cs="Times New Roman"/>
          <w:iCs/>
          <w:sz w:val="28"/>
          <w:szCs w:val="28"/>
          <w:lang w:eastAsia="ru-RU"/>
        </w:rPr>
        <w:t xml:space="preserve"> Министерство труда и социального развития Республики Дагестан – 44 213 449,8 тыс. рублей, что составляет 37,5 % от общей суммы дебиторской задолженности. </w:t>
      </w:r>
    </w:p>
    <w:p w14:paraId="5E7D370A"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885375">
        <w:rPr>
          <w:rFonts w:ascii="Times New Roman" w:eastAsia="Times New Roman" w:hAnsi="Times New Roman" w:cs="Times New Roman"/>
          <w:sz w:val="28"/>
          <w:szCs w:val="28"/>
          <w:lang w:eastAsia="ru-RU"/>
        </w:rPr>
        <w:t xml:space="preserve">По сравнению с задолженностью на начало года общая сумма дебиторской задолженности </w:t>
      </w:r>
      <w:r w:rsidRPr="00885375">
        <w:rPr>
          <w:rFonts w:ascii="Times New Roman" w:eastAsia="Times New Roman" w:hAnsi="Times New Roman" w:cs="Times New Roman"/>
          <w:iCs/>
          <w:sz w:val="28"/>
          <w:szCs w:val="28"/>
          <w:lang w:eastAsia="ru-RU"/>
        </w:rPr>
        <w:t xml:space="preserve">увеличилась на 15 716 174,4 тыс. рублей, или в 1,6 раза (28 497 275,4 тыс. рублей), в том числе: </w:t>
      </w:r>
    </w:p>
    <w:p w14:paraId="04B5566D"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 </w:t>
      </w:r>
      <w:r w:rsidRPr="00885375">
        <w:rPr>
          <w:rFonts w:ascii="Times New Roman" w:eastAsia="Times New Roman" w:hAnsi="Times New Roman" w:cs="Times New Roman"/>
          <w:sz w:val="28"/>
          <w:szCs w:val="28"/>
          <w:lang w:eastAsia="ru-RU"/>
        </w:rPr>
        <w:t>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44 211 600,5 тыс. рублей (увеличилась на 15 719 880,3 тыс. рублей); </w:t>
      </w:r>
    </w:p>
    <w:p w14:paraId="3BC13444"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выданным авансам – 506,4 тыс. рублей (уменьшилась на 3 648,9 тыс. рублей); </w:t>
      </w:r>
    </w:p>
    <w:p w14:paraId="7DFEF608"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885375">
        <w:rPr>
          <w:rFonts w:ascii="Times New Roman" w:eastAsia="Times New Roman" w:hAnsi="Times New Roman" w:cs="Times New Roman"/>
          <w:sz w:val="28"/>
          <w:szCs w:val="28"/>
          <w:lang w:eastAsia="ru-RU"/>
        </w:rPr>
        <w:t xml:space="preserve"> расчеты по ущербу и иным доходам – 502,0 тыс. рублей (увеличилась на 68,0 тыс. рублей); </w:t>
      </w:r>
    </w:p>
    <w:p w14:paraId="39318F3C"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bCs/>
          <w:sz w:val="28"/>
          <w:szCs w:val="28"/>
          <w:lang w:eastAsia="ru-RU"/>
        </w:rPr>
        <w:t>расчеты по платежам в бюджеты – 840,9 тыс. рублей (уменьшилась на 125,0 тыс. рублей).</w:t>
      </w:r>
      <w:r w:rsidRPr="00885375">
        <w:rPr>
          <w:rFonts w:ascii="Times New Roman" w:eastAsia="Times New Roman" w:hAnsi="Times New Roman" w:cs="Times New Roman"/>
          <w:sz w:val="28"/>
          <w:szCs w:val="28"/>
          <w:lang w:eastAsia="ru-RU"/>
        </w:rPr>
        <w:t xml:space="preserve"> </w:t>
      </w:r>
    </w:p>
    <w:p w14:paraId="3D50D43A"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2) </w:t>
      </w:r>
      <w:r w:rsidRPr="00885375">
        <w:rPr>
          <w:rFonts w:ascii="Times New Roman" w:eastAsia="Times New Roman" w:hAnsi="Times New Roman" w:cs="Times New Roman"/>
          <w:sz w:val="28"/>
          <w:szCs w:val="28"/>
          <w:lang w:eastAsia="ru-RU"/>
        </w:rPr>
        <w:t xml:space="preserve">Министерство образования и науки Республики Дагестан – 16 471 645,7 тыс. рублей, что составляет 14,0% от общей суммы дебиторской задолженности, </w:t>
      </w:r>
    </w:p>
    <w:p w14:paraId="60EA9055"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По сравнению с задолженностью на начало года дебиторская задолженность уменьшилась на 4 616 768,2 тыс. рублей, или на 21,9 %, в том числе: расчеты по доходам – 16 452 632,0 тыс. рублей (уменьшилась на 4 604 556,7 тыс. рублей, или на 21,9%); расчеты по выданным авансам – 10 047,2 тыс. рублей (уменьшилась на 13 309,3 тыс. рублей, или в 2,3 раза); расчеты с подотчетными лицами – 149.8 тыс. рублей (уменьшилась на 58,3 тыс. рублей, или на 28,0%); </w:t>
      </w:r>
      <w:r w:rsidRPr="00885375">
        <w:rPr>
          <w:rFonts w:ascii="Times New Roman" w:eastAsia="Times New Roman" w:hAnsi="Times New Roman" w:cs="Times New Roman"/>
          <w:bCs/>
          <w:sz w:val="28"/>
          <w:szCs w:val="28"/>
          <w:lang w:eastAsia="ru-RU"/>
        </w:rPr>
        <w:t>расчеты по ущербу и иным доходам – 4 019,7 тыс. рублей (увеличилась на 3 973,3 тыс. рублей); расчеты по платежам в бюджеты – 4 797,1 тыс. рублей (уменьшилась на 2 817,1 тыс. рублей, или на 37,0%).</w:t>
      </w:r>
      <w:r w:rsidRPr="00885375">
        <w:rPr>
          <w:rFonts w:ascii="Times New Roman" w:eastAsia="Times New Roman" w:hAnsi="Times New Roman" w:cs="Times New Roman"/>
          <w:sz w:val="28"/>
          <w:szCs w:val="28"/>
          <w:lang w:eastAsia="ru-RU"/>
        </w:rPr>
        <w:t xml:space="preserve"> </w:t>
      </w:r>
    </w:p>
    <w:p w14:paraId="21AFEFDD"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color w:val="002060"/>
          <w:sz w:val="28"/>
          <w:szCs w:val="28"/>
          <w:lang w:eastAsia="ru-RU"/>
        </w:rPr>
        <w:t>3)</w:t>
      </w:r>
      <w:r w:rsidRPr="00885375">
        <w:rPr>
          <w:rFonts w:ascii="Times New Roman" w:eastAsia="Times New Roman" w:hAnsi="Times New Roman" w:cs="Times New Roman"/>
          <w:b/>
          <w:sz w:val="28"/>
          <w:szCs w:val="28"/>
          <w:lang w:eastAsia="ru-RU"/>
        </w:rPr>
        <w:t xml:space="preserve"> </w:t>
      </w:r>
      <w:r w:rsidRPr="00885375">
        <w:rPr>
          <w:rFonts w:ascii="Times New Roman" w:eastAsia="Times New Roman" w:hAnsi="Times New Roman" w:cs="Times New Roman"/>
          <w:iCs/>
          <w:sz w:val="28"/>
          <w:szCs w:val="28"/>
          <w:lang w:eastAsia="ru-RU"/>
        </w:rPr>
        <w:t>Управление Правительства Республики Дагестан по капитальному строительству (образовано в 2021 год</w:t>
      </w:r>
      <w:r>
        <w:rPr>
          <w:rFonts w:ascii="Times New Roman" w:eastAsia="Times New Roman" w:hAnsi="Times New Roman" w:cs="Times New Roman"/>
          <w:iCs/>
          <w:sz w:val="28"/>
          <w:szCs w:val="28"/>
          <w:lang w:eastAsia="ru-RU"/>
        </w:rPr>
        <w:t>у</w:t>
      </w:r>
      <w:r w:rsidRPr="00885375">
        <w:rPr>
          <w:rFonts w:ascii="Times New Roman" w:eastAsia="Times New Roman" w:hAnsi="Times New Roman" w:cs="Times New Roman"/>
          <w:iCs/>
          <w:sz w:val="28"/>
          <w:szCs w:val="28"/>
          <w:lang w:eastAsia="ru-RU"/>
        </w:rPr>
        <w:t>)</w:t>
      </w:r>
      <w:r w:rsidRPr="00885375">
        <w:rPr>
          <w:rFonts w:ascii="Times New Roman" w:eastAsia="Times New Roman" w:hAnsi="Times New Roman" w:cs="Times New Roman"/>
          <w:sz w:val="28"/>
          <w:szCs w:val="28"/>
          <w:lang w:eastAsia="ru-RU"/>
        </w:rPr>
        <w:t xml:space="preserve"> – 15 588 360,3 тыс. рублей, что составляет 13,2</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от общей суммы дебиторской задолженности, в том числе:</w:t>
      </w:r>
    </w:p>
    <w:p w14:paraId="7591A2BC"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5375">
        <w:rPr>
          <w:rFonts w:ascii="Times New Roman" w:eastAsia="Times New Roman" w:hAnsi="Times New Roman" w:cs="Times New Roman"/>
          <w:sz w:val="28"/>
          <w:szCs w:val="28"/>
          <w:lang w:eastAsia="ru-RU"/>
        </w:rPr>
        <w:t xml:space="preserve"> 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10 713 246,7 тыс. рублей; </w:t>
      </w:r>
    </w:p>
    <w:p w14:paraId="6F1D0200"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выданным авансам – 4 874 706,5 тыс. рублей; </w:t>
      </w:r>
    </w:p>
    <w:p w14:paraId="46E2B60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bCs/>
          <w:sz w:val="28"/>
          <w:szCs w:val="28"/>
          <w:lang w:eastAsia="ru-RU"/>
        </w:rPr>
        <w:t>расчеты по платежам в бюджеты – 407,1 тыс. рублей.</w:t>
      </w:r>
      <w:r w:rsidRPr="00885375">
        <w:rPr>
          <w:rFonts w:ascii="Times New Roman" w:eastAsia="Times New Roman" w:hAnsi="Times New Roman" w:cs="Times New Roman"/>
          <w:sz w:val="28"/>
          <w:szCs w:val="28"/>
          <w:lang w:eastAsia="ru-RU"/>
        </w:rPr>
        <w:t xml:space="preserve"> </w:t>
      </w:r>
    </w:p>
    <w:p w14:paraId="026D35E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color w:val="002060"/>
          <w:sz w:val="28"/>
          <w:szCs w:val="28"/>
          <w:lang w:eastAsia="ru-RU"/>
        </w:rPr>
        <w:t xml:space="preserve">4) </w:t>
      </w:r>
      <w:r w:rsidRPr="00885375">
        <w:rPr>
          <w:rFonts w:ascii="Times New Roman" w:eastAsia="Times New Roman" w:hAnsi="Times New Roman" w:cs="Times New Roman"/>
          <w:sz w:val="28"/>
          <w:szCs w:val="28"/>
          <w:lang w:eastAsia="ru-RU"/>
        </w:rPr>
        <w:t>Министерство строительства Республики Дагестан – 9 041 071,4 тыс. рублей, или 7,7</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от общей суммы дебиторской задолженности. </w:t>
      </w:r>
    </w:p>
    <w:p w14:paraId="32B8D9B2"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По сравнению с задолженностью на начало года дебиторская задолженность уменьшилась на 3 036 168,0 тыс. рублей, или на 25,1%, в том числе: </w:t>
      </w:r>
    </w:p>
    <w:p w14:paraId="78845D27"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9 039 981,5 тыс. рублей (уменьшилась на 1 801 646,5 тыс. рублей); </w:t>
      </w:r>
    </w:p>
    <w:p w14:paraId="08F689B2"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выданным авансам – 20,2 тыс. рублей (уменьшилась на 4 817,6 тыс. рублей); </w:t>
      </w:r>
    </w:p>
    <w:p w14:paraId="750D341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bCs/>
          <w:sz w:val="28"/>
          <w:szCs w:val="28"/>
          <w:lang w:eastAsia="ru-RU"/>
        </w:rPr>
        <w:t>расчеты по платежам в бюджеты – 1 069,7 тыс. рублей (уменьшилась на 125,0 тыс. рублей).</w:t>
      </w:r>
      <w:r w:rsidRPr="00885375">
        <w:rPr>
          <w:rFonts w:ascii="Times New Roman" w:eastAsia="Times New Roman" w:hAnsi="Times New Roman" w:cs="Times New Roman"/>
          <w:sz w:val="28"/>
          <w:szCs w:val="28"/>
          <w:lang w:eastAsia="ru-RU"/>
        </w:rPr>
        <w:t xml:space="preserve"> </w:t>
      </w:r>
    </w:p>
    <w:p w14:paraId="16958DE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5) </w:t>
      </w:r>
      <w:r w:rsidRPr="00885375">
        <w:rPr>
          <w:rFonts w:ascii="Times New Roman" w:eastAsia="Times New Roman" w:hAnsi="Times New Roman" w:cs="Times New Roman"/>
          <w:sz w:val="28"/>
          <w:szCs w:val="28"/>
          <w:lang w:eastAsia="ru-RU"/>
        </w:rPr>
        <w:t>Управление Федеральной налоговой службы по Республике Дагестан (задолженность по налогам и сборам в республиканский бюджет Р</w:t>
      </w:r>
      <w:r>
        <w:rPr>
          <w:rFonts w:ascii="Times New Roman" w:eastAsia="Times New Roman" w:hAnsi="Times New Roman" w:cs="Times New Roman"/>
          <w:sz w:val="28"/>
          <w:szCs w:val="28"/>
          <w:lang w:eastAsia="ru-RU"/>
        </w:rPr>
        <w:t xml:space="preserve">еспублики </w:t>
      </w:r>
      <w:r w:rsidRPr="00885375">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885375">
        <w:rPr>
          <w:rFonts w:ascii="Times New Roman" w:eastAsia="Times New Roman" w:hAnsi="Times New Roman" w:cs="Times New Roman"/>
          <w:sz w:val="28"/>
          <w:szCs w:val="28"/>
          <w:lang w:eastAsia="ru-RU"/>
        </w:rPr>
        <w:t>) – 7 464 525,3 тыс. рублей, или 6,3% от общей суммы дебиторской задолженности. По сравнению с задолженностью на начало года дебиторская задолженность по налогам и сборам увеличилась на 1 122 380,6 тыс. рублей, или на 17,7%.</w:t>
      </w:r>
    </w:p>
    <w:p w14:paraId="0271046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При этом следует отметить, что практически вся указанная задолженность (7 464 391,5 тыс. рублей) на 1 января 2022 года является </w:t>
      </w:r>
      <w:r w:rsidRPr="00885375">
        <w:rPr>
          <w:rFonts w:ascii="Times New Roman" w:eastAsia="Times New Roman" w:hAnsi="Times New Roman" w:cs="Times New Roman"/>
          <w:sz w:val="28"/>
          <w:szCs w:val="28"/>
          <w:lang w:eastAsia="ru-RU"/>
        </w:rPr>
        <w:lastRenderedPageBreak/>
        <w:t>просроченной.</w:t>
      </w:r>
    </w:p>
    <w:p w14:paraId="44C37D99"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6) </w:t>
      </w:r>
      <w:r w:rsidRPr="00885375">
        <w:rPr>
          <w:rFonts w:ascii="Times New Roman" w:eastAsia="Times New Roman" w:hAnsi="Times New Roman" w:cs="Times New Roman"/>
          <w:sz w:val="28"/>
          <w:szCs w:val="28"/>
          <w:lang w:eastAsia="ru-RU"/>
        </w:rPr>
        <w:t>Министерство сельского хозяйства Республики Дагестан – 6 917 642,7 тыс. рублей, что составляет 5,9</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от общей суммы дебиторской задолженности. По сравнению с задолженностью на начало года дебиторская задолженность уменьшилась на 1 353 842,5 тыс. рублей, или на 16,5%, из них:</w:t>
      </w:r>
    </w:p>
    <w:p w14:paraId="1AB632AD"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5375">
        <w:rPr>
          <w:rFonts w:ascii="Times New Roman" w:eastAsia="Times New Roman" w:hAnsi="Times New Roman" w:cs="Times New Roman"/>
          <w:sz w:val="28"/>
          <w:szCs w:val="28"/>
          <w:lang w:eastAsia="ru-RU"/>
        </w:rPr>
        <w:t xml:space="preserve"> 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6 917 090,4 тыс. рублей (уменьшилась на 967 882,7 тыс. рублей, или на 12,3%); </w:t>
      </w:r>
    </w:p>
    <w:p w14:paraId="5AC2C407"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bCs/>
          <w:sz w:val="28"/>
          <w:szCs w:val="28"/>
          <w:lang w:eastAsia="ru-RU"/>
        </w:rPr>
        <w:t>расчеты по выданным авансам</w:t>
      </w:r>
      <w:r w:rsidRPr="00885375">
        <w:rPr>
          <w:rFonts w:ascii="Times New Roman" w:eastAsia="Times New Roman" w:hAnsi="Times New Roman" w:cs="Times New Roman"/>
          <w:sz w:val="28"/>
          <w:szCs w:val="28"/>
          <w:lang w:eastAsia="ru-RU"/>
        </w:rPr>
        <w:t xml:space="preserve"> – 123,9 тыс. рублей (уменьшилась на 395 560,7 тыс. рублей)</w:t>
      </w:r>
      <w:r>
        <w:rPr>
          <w:rFonts w:ascii="Times New Roman" w:eastAsia="Times New Roman" w:hAnsi="Times New Roman" w:cs="Times New Roman"/>
          <w:sz w:val="28"/>
          <w:szCs w:val="28"/>
          <w:lang w:eastAsia="ru-RU"/>
        </w:rPr>
        <w:t>;</w:t>
      </w:r>
    </w:p>
    <w:p w14:paraId="7CE72EAF"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w:t>
      </w:r>
      <w:r w:rsidRPr="00885375">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bCs/>
          <w:sz w:val="28"/>
          <w:szCs w:val="28"/>
          <w:lang w:eastAsia="ru-RU"/>
        </w:rPr>
        <w:t xml:space="preserve">расчеты с подотчетными лицами – 354,7 тыс. рублей (увеличилась на 303,6 тыс. рублей, или в 6,9 раза); </w:t>
      </w:r>
    </w:p>
    <w:p w14:paraId="4BF6F03A"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расчеты по платежам в бюджеты – 73,7 тыс. рублей (уменьшилась на 702,7 тыс. рублей, или в 10,5 раза).</w:t>
      </w:r>
    </w:p>
    <w:p w14:paraId="5B6AB64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7) </w:t>
      </w:r>
      <w:r w:rsidRPr="00885375">
        <w:rPr>
          <w:rFonts w:ascii="Times New Roman" w:eastAsia="Times New Roman" w:hAnsi="Times New Roman" w:cs="Times New Roman"/>
          <w:sz w:val="28"/>
          <w:szCs w:val="28"/>
          <w:lang w:eastAsia="ru-RU"/>
        </w:rPr>
        <w:t>Министерство здравоохранения Республики Дагестан – 6 660 446,9 тыс. рублей, что составляет 5,6</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от общей суммы дебиторской задолженности.</w:t>
      </w:r>
    </w:p>
    <w:p w14:paraId="27DF1656"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По сравнению с началом года дебиторская задолженность уменьшилась на 1 878 243,5 тыс. рублей, или на 22,0</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в то числе: </w:t>
      </w:r>
    </w:p>
    <w:p w14:paraId="3468AD98"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6 409 137,4 тыс. рублей (уменьшилась на 308 339,1 тыс. рублей, или на 4,6%); </w:t>
      </w:r>
    </w:p>
    <w:p w14:paraId="2ED87D95"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выданным авансам – 247 632,5 тыс. рублей (уменьшилась на 1 570 266,6 тыс. рублей, или в 7,3 раза); </w:t>
      </w:r>
    </w:p>
    <w:p w14:paraId="42567D0B"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с подотчетными лицами – 38,3 тыс. рублей (уменьшилась на 0,5 тыс. рублей); </w:t>
      </w:r>
    </w:p>
    <w:p w14:paraId="0B07E684"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расчеты по платежам в бюджеты – 3 648,7 тыс. рублей (уменьшилась на 362,8 тыс. рублей, или на 11,0%).</w:t>
      </w:r>
      <w:r w:rsidRPr="00885375">
        <w:rPr>
          <w:rFonts w:ascii="Times New Roman" w:eastAsia="Times New Roman" w:hAnsi="Times New Roman" w:cs="Times New Roman"/>
          <w:sz w:val="28"/>
          <w:szCs w:val="28"/>
          <w:lang w:eastAsia="ru-RU"/>
        </w:rPr>
        <w:t xml:space="preserve"> </w:t>
      </w:r>
    </w:p>
    <w:p w14:paraId="49230F6C"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8)</w:t>
      </w:r>
      <w:r w:rsidRPr="00885375">
        <w:rPr>
          <w:rFonts w:ascii="Times New Roman" w:eastAsia="Times New Roman" w:hAnsi="Times New Roman" w:cs="Times New Roman"/>
          <w:sz w:val="28"/>
          <w:szCs w:val="28"/>
          <w:lang w:eastAsia="ru-RU"/>
        </w:rPr>
        <w:t xml:space="preserve"> Министерство транспорта и дорожного хозяйства Республики Дагестан – 4 232 248,1 тыс. рублей, что составляет 3,6% от общей суммы дебиторской задолженности. </w:t>
      </w:r>
    </w:p>
    <w:p w14:paraId="61138849"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По сравнению с началом года дебиторская задолженность увеличилась на 932 351,1 тыс. рублей, или на 28,2% (3 299 897,0 тыс. рублей), в том числе:</w:t>
      </w:r>
    </w:p>
    <w:p w14:paraId="4560417E"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85375">
        <w:rPr>
          <w:rFonts w:ascii="Times New Roman" w:eastAsia="Times New Roman" w:hAnsi="Times New Roman" w:cs="Times New Roman"/>
          <w:sz w:val="28"/>
          <w:szCs w:val="28"/>
          <w:lang w:eastAsia="ru-RU"/>
        </w:rPr>
        <w:t xml:space="preserve"> 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4 179 633,6 тыс. рублей (увеличилась на 959 633,6 тыс. рублей); </w:t>
      </w:r>
    </w:p>
    <w:p w14:paraId="18BD6AF9"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выданным авансам – 51 947,7 тыс. рублей (уменьшилась на 23 481,0 тыс. рублей); </w:t>
      </w:r>
    </w:p>
    <w:p w14:paraId="35BD9106"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с подотчетными лицами – 4,2 тыс. рублей (на начало года задолженность отсутствовала); </w:t>
      </w:r>
    </w:p>
    <w:p w14:paraId="4471605B"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bCs/>
          <w:sz w:val="28"/>
          <w:szCs w:val="28"/>
          <w:lang w:eastAsia="ru-RU"/>
        </w:rPr>
        <w:t>расчеты по платежам в бюджеты – 662,6 тыс. рублей (уменьшилась на 3 805,7 тыс. рублей).</w:t>
      </w:r>
      <w:r w:rsidRPr="00885375">
        <w:rPr>
          <w:rFonts w:ascii="Times New Roman" w:eastAsia="Times New Roman" w:hAnsi="Times New Roman" w:cs="Times New Roman"/>
          <w:sz w:val="28"/>
          <w:szCs w:val="28"/>
          <w:lang w:eastAsia="ru-RU"/>
        </w:rPr>
        <w:t xml:space="preserve"> </w:t>
      </w:r>
    </w:p>
    <w:p w14:paraId="4C8A6058"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sz w:val="28"/>
          <w:szCs w:val="28"/>
          <w:lang w:eastAsia="ru-RU"/>
        </w:rPr>
        <w:t>9)</w:t>
      </w:r>
      <w:r w:rsidRPr="00885375">
        <w:rPr>
          <w:rFonts w:ascii="Times New Roman" w:eastAsia="Times New Roman" w:hAnsi="Times New Roman" w:cs="Times New Roman"/>
          <w:b/>
          <w:bCs/>
          <w:color w:val="002060"/>
          <w:sz w:val="28"/>
          <w:szCs w:val="28"/>
          <w:lang w:eastAsia="ru-RU"/>
        </w:rPr>
        <w:t xml:space="preserve"> </w:t>
      </w:r>
      <w:r w:rsidRPr="00885375">
        <w:rPr>
          <w:rFonts w:ascii="Times New Roman" w:eastAsia="Times New Roman" w:hAnsi="Times New Roman" w:cs="Times New Roman"/>
          <w:sz w:val="28"/>
          <w:szCs w:val="28"/>
          <w:lang w:eastAsia="ru-RU"/>
        </w:rPr>
        <w:t xml:space="preserve">Министерство по земельным и имущественным отношениям Республики Дагестан – 1 776 643,6 тыс. рублей, или 1,5% от общей суммы </w:t>
      </w:r>
      <w:r w:rsidRPr="00885375">
        <w:rPr>
          <w:rFonts w:ascii="Times New Roman" w:eastAsia="Times New Roman" w:hAnsi="Times New Roman" w:cs="Times New Roman"/>
          <w:sz w:val="28"/>
          <w:szCs w:val="28"/>
          <w:lang w:eastAsia="ru-RU"/>
        </w:rPr>
        <w:lastRenderedPageBreak/>
        <w:t>дебиторской задолженности. По сравнению с началом года дебиторская задолженность увеличилась на 339 037,6 тыс. рублей, или на 23,6% (1 437 606,0 тыс. рублей).</w:t>
      </w:r>
    </w:p>
    <w:p w14:paraId="739EEF46"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Из общего объема задолженности 1 771 523,3 тыс. рублей, или 99,7% составляет задолженность по доходам, из них задолженность по поступлениям доходов от использования государственного имущества – 1 461 729,0 тыс. рублей.</w:t>
      </w:r>
    </w:p>
    <w:p w14:paraId="334E526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Задолженность по ущербу и иным доходам (штрафы, пени, неустойки) на 1 января 2022 года оставляет 2 867,8 тыс. рублей и по сравнению с задолженностью на начало года осталась без изменения.</w:t>
      </w:r>
    </w:p>
    <w:p w14:paraId="5EBD257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Дебиторская задолженность по платежам в бюджеты (переплата) составляет 2 245,4 тыс. рублей (увеличилась на 580,2 тыс. рублей) и по сравнению с задолженностью на начало года увеличилась на 580,2 тыс. рублей, или в 1,3 раза, из них задолженность </w:t>
      </w:r>
      <w:r w:rsidRPr="00885375">
        <w:rPr>
          <w:rFonts w:ascii="Times New Roman" w:eastAsia="Calibri" w:hAnsi="Times New Roman" w:cs="Times New Roman"/>
          <w:sz w:val="28"/>
          <w:szCs w:val="28"/>
        </w:rPr>
        <w:t>по страховым взносам на обязательное социальное страхование на случай временной нетрудоспособности и в связи с материнством составляет 1 464,8 тыс. рублей, или 65,2% от суммы задолженности по платежам в бюджеты.</w:t>
      </w:r>
      <w:r w:rsidRPr="00885375">
        <w:rPr>
          <w:rFonts w:ascii="Times New Roman" w:eastAsia="Times New Roman" w:hAnsi="Times New Roman" w:cs="Times New Roman"/>
          <w:sz w:val="28"/>
          <w:szCs w:val="28"/>
          <w:lang w:eastAsia="ru-RU"/>
        </w:rPr>
        <w:t xml:space="preserve"> </w:t>
      </w:r>
    </w:p>
    <w:p w14:paraId="1954435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10)</w:t>
      </w:r>
      <w:r w:rsidRPr="00885375">
        <w:rPr>
          <w:rFonts w:ascii="Times New Roman" w:eastAsia="Times New Roman" w:hAnsi="Times New Roman" w:cs="Times New Roman"/>
          <w:color w:val="002060"/>
          <w:sz w:val="28"/>
          <w:szCs w:val="28"/>
          <w:lang w:eastAsia="ru-RU"/>
        </w:rPr>
        <w:t xml:space="preserve"> </w:t>
      </w:r>
      <w:r w:rsidRPr="00885375">
        <w:rPr>
          <w:rFonts w:ascii="Times New Roman" w:eastAsia="Times New Roman" w:hAnsi="Times New Roman" w:cs="Times New Roman"/>
          <w:sz w:val="28"/>
          <w:szCs w:val="28"/>
          <w:lang w:eastAsia="ru-RU"/>
        </w:rPr>
        <w:t>Министерство культуры Республики Дагестан – 1 577 190,8 тыс. рублей, или 1,3% от общей суммы дебиторской задолженности.</w:t>
      </w:r>
    </w:p>
    <w:p w14:paraId="50A74D85"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По сравнению с задолженностью на начало года дебиторская задолженность увеличилась на 197 051,1 тыс. рублей, или на 14,3%, в том числе: </w:t>
      </w:r>
    </w:p>
    <w:p w14:paraId="3D55D204"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1 575 037,3 тыс. рублей (увеличилась на 253 071,6 тыс. рублей); </w:t>
      </w:r>
    </w:p>
    <w:p w14:paraId="2066B01B"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выданным авансам – 2 153,5 тыс. рублей (уменьшилась на 56 020,6 тыс. рублей).</w:t>
      </w:r>
    </w:p>
    <w:p w14:paraId="1E7ECEA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color w:val="002060"/>
          <w:sz w:val="28"/>
          <w:szCs w:val="28"/>
          <w:lang w:eastAsia="ru-RU"/>
        </w:rPr>
        <w:t>11)</w:t>
      </w:r>
      <w:r w:rsidRPr="00885375">
        <w:rPr>
          <w:rFonts w:ascii="Times New Roman" w:eastAsia="Times New Roman" w:hAnsi="Times New Roman" w:cs="Times New Roman"/>
          <w:b/>
          <w:sz w:val="28"/>
          <w:szCs w:val="28"/>
          <w:lang w:eastAsia="ru-RU"/>
        </w:rPr>
        <w:t xml:space="preserve"> </w:t>
      </w:r>
      <w:r w:rsidRPr="00885375">
        <w:rPr>
          <w:rFonts w:ascii="Times New Roman" w:eastAsia="Times New Roman" w:hAnsi="Times New Roman" w:cs="Times New Roman"/>
          <w:sz w:val="28"/>
          <w:szCs w:val="28"/>
          <w:lang w:eastAsia="ru-RU"/>
        </w:rPr>
        <w:t xml:space="preserve">Министерство цифрового развития Республики Дагестан – 1 430 535,8 тыс. рублей, или 1,2% от общей суммы дебиторской задолженности. </w:t>
      </w:r>
    </w:p>
    <w:p w14:paraId="01CBBF02"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По сравнению с началом года дебиторская задолженность увеличилась на 153 364,2 тыс. рублей, или на 9,7%, в том числе: </w:t>
      </w:r>
    </w:p>
    <w:p w14:paraId="006B6262"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доходам (р</w:t>
      </w:r>
      <w:r w:rsidRPr="00885375">
        <w:rPr>
          <w:rFonts w:ascii="Times New Roman" w:eastAsia="Calibri" w:hAnsi="Times New Roman" w:cs="Times New Roman"/>
          <w:sz w:val="28"/>
          <w:szCs w:val="28"/>
        </w:rPr>
        <w:t>асчеты по безвозмездным поступлениям от других бюджетов бюджетной системы Российской Федерации)</w:t>
      </w:r>
      <w:r w:rsidRPr="00885375">
        <w:rPr>
          <w:rFonts w:ascii="Times New Roman" w:eastAsia="Times New Roman" w:hAnsi="Times New Roman" w:cs="Times New Roman"/>
          <w:sz w:val="28"/>
          <w:szCs w:val="28"/>
          <w:lang w:eastAsia="ru-RU"/>
        </w:rPr>
        <w:t xml:space="preserve"> – 1 429 475,9 тыс. рублей (уменьшилась на 153 299,2 тыс. рублей, или на 9,7%); </w:t>
      </w:r>
    </w:p>
    <w:p w14:paraId="32A9F4FD"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выданным авансам – 7,2 тыс. рублей (без изменения); расчеты с подотчетными лицами – 475,2 тыс. рублей (увеличилась на 144,8 тыс. рублей, или на 43,8%); </w:t>
      </w:r>
    </w:p>
    <w:p w14:paraId="3D285EE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платежам в бюджеты – 577,5 тыс. рублей (уменьшилась на 209,9 тыс. рублей, или на 26,6%).</w:t>
      </w:r>
    </w:p>
    <w:p w14:paraId="50CD982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color w:val="002060"/>
          <w:sz w:val="28"/>
          <w:szCs w:val="28"/>
          <w:lang w:eastAsia="ru-RU"/>
        </w:rPr>
        <w:t xml:space="preserve">12) </w:t>
      </w:r>
      <w:r w:rsidRPr="00885375">
        <w:rPr>
          <w:rFonts w:ascii="Times New Roman" w:eastAsia="Times New Roman" w:hAnsi="Times New Roman" w:cs="Times New Roman"/>
          <w:sz w:val="28"/>
          <w:szCs w:val="28"/>
          <w:lang w:eastAsia="ru-RU"/>
        </w:rPr>
        <w:t xml:space="preserve">Министерство энергетики и жилищно-коммунального хозяйства Республики Дагестан – 148 912,2 тыс. рублей. </w:t>
      </w:r>
    </w:p>
    <w:p w14:paraId="7A53C6D1"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По сравнению с началом года дебиторская задолженность увеличилась на 87 87 019,6 тыс. рублей, или в 2,4 раза, в том числе: </w:t>
      </w:r>
    </w:p>
    <w:p w14:paraId="7AFF4346"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885375">
        <w:rPr>
          <w:rFonts w:ascii="Times New Roman" w:eastAsia="Times New Roman" w:hAnsi="Times New Roman" w:cs="Times New Roman"/>
          <w:sz w:val="28"/>
          <w:szCs w:val="28"/>
          <w:lang w:eastAsia="ru-RU"/>
        </w:rPr>
        <w:t xml:space="preserve">расчеты по выданным авансам – 148 484,1тыс. рублей (увеличилась на 87 722,9 тыс. рублей, или в 2,4 раза); </w:t>
      </w:r>
    </w:p>
    <w:p w14:paraId="2DC4BE4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платежам в бюджеты – 428,1 тыс. рублей (уменьшилась на 703,3 тыс. рублей, или в 2,6 раза).</w:t>
      </w:r>
    </w:p>
    <w:p w14:paraId="6FC5832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0744B687" w14:textId="77777777" w:rsidR="00AC76BB" w:rsidRPr="00A96E34"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4.6</w:t>
      </w:r>
      <w:r w:rsidRPr="00A96E34">
        <w:rPr>
          <w:rFonts w:ascii="Times New Roman" w:eastAsia="Times New Roman" w:hAnsi="Times New Roman" w:cs="Times New Roman"/>
          <w:b/>
          <w:color w:val="002060"/>
          <w:sz w:val="28"/>
          <w:szCs w:val="28"/>
          <w:lang w:eastAsia="ru-RU"/>
        </w:rPr>
        <w:t>.2. Кредиторская задолженность</w:t>
      </w:r>
      <w:r>
        <w:rPr>
          <w:rFonts w:ascii="Times New Roman" w:eastAsia="Times New Roman" w:hAnsi="Times New Roman" w:cs="Times New Roman"/>
          <w:b/>
          <w:color w:val="002060"/>
          <w:sz w:val="28"/>
          <w:szCs w:val="28"/>
          <w:lang w:eastAsia="ru-RU"/>
        </w:rPr>
        <w:t>.</w:t>
      </w:r>
    </w:p>
    <w:p w14:paraId="721B003A"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b/>
          <w:color w:val="002060"/>
          <w:sz w:val="28"/>
          <w:szCs w:val="28"/>
          <w:lang w:eastAsia="ru-RU"/>
        </w:rPr>
        <w:t>4.6.</w:t>
      </w:r>
      <w:r w:rsidRPr="00A96E34">
        <w:rPr>
          <w:rFonts w:ascii="Times New Roman" w:eastAsia="Times New Roman" w:hAnsi="Times New Roman" w:cs="Times New Roman"/>
          <w:b/>
          <w:color w:val="002060"/>
          <w:sz w:val="28"/>
          <w:szCs w:val="28"/>
          <w:lang w:eastAsia="ru-RU"/>
        </w:rPr>
        <w:t xml:space="preserve">2.1. </w:t>
      </w:r>
      <w:r w:rsidRPr="00885375">
        <w:rPr>
          <w:rFonts w:ascii="Times New Roman" w:eastAsia="Times New Roman" w:hAnsi="Times New Roman" w:cs="Times New Roman"/>
          <w:bCs/>
          <w:sz w:val="28"/>
          <w:szCs w:val="28"/>
          <w:lang w:eastAsia="ru-RU"/>
        </w:rPr>
        <w:t xml:space="preserve">Общая сумма кредиторской задолженности по состоянию </w:t>
      </w:r>
      <w:r w:rsidRPr="00885375">
        <w:rPr>
          <w:rFonts w:ascii="Times New Roman" w:eastAsia="Times New Roman" w:hAnsi="Times New Roman" w:cs="Times New Roman"/>
          <w:bCs/>
          <w:sz w:val="28"/>
          <w:szCs w:val="28"/>
          <w:lang w:eastAsia="ru-RU"/>
        </w:rPr>
        <w:br/>
        <w:t xml:space="preserve">на 1 января 2021 года на балансе исполнения республиканского бюджета Республики Дагестан значилась в сумме </w:t>
      </w:r>
      <w:r w:rsidRPr="00885375">
        <w:rPr>
          <w:rFonts w:ascii="Times New Roman" w:eastAsia="Times New Roman" w:hAnsi="Times New Roman" w:cs="Times New Roman"/>
          <w:sz w:val="28"/>
          <w:szCs w:val="20"/>
          <w:lang w:eastAsia="ru-RU"/>
        </w:rPr>
        <w:t>7 333 626,5 тыс. рублей, в том числе:</w:t>
      </w:r>
    </w:p>
    <w:p w14:paraId="10E4B13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по доходам – 5 132 355,0 тыс. рублей; </w:t>
      </w:r>
    </w:p>
    <w:p w14:paraId="306EBC6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с подотчетными лицами – 2 458,4 тыс. рублей; </w:t>
      </w:r>
    </w:p>
    <w:p w14:paraId="233DC0B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по принятым обязательствам – 1 826 152,3 тыс. рублей; </w:t>
      </w:r>
    </w:p>
    <w:p w14:paraId="1315E58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по платежам в бюджеты – 371 817,9 тыс. рублей; </w:t>
      </w:r>
    </w:p>
    <w:p w14:paraId="4A13FBE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прочие расчеты с кредиторами – 842,9 тыс. рублей; </w:t>
      </w:r>
    </w:p>
    <w:p w14:paraId="7BB2E6A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b/>
          <w:color w:val="002060"/>
          <w:sz w:val="28"/>
          <w:szCs w:val="28"/>
          <w:lang w:eastAsia="ru-RU"/>
        </w:rPr>
        <w:t>4.6.</w:t>
      </w:r>
      <w:r w:rsidRPr="00A96E34">
        <w:rPr>
          <w:rFonts w:ascii="Times New Roman" w:eastAsia="Times New Roman" w:hAnsi="Times New Roman" w:cs="Times New Roman"/>
          <w:b/>
          <w:color w:val="002060"/>
          <w:sz w:val="28"/>
          <w:szCs w:val="28"/>
          <w:lang w:eastAsia="ru-RU"/>
        </w:rPr>
        <w:t>2.</w:t>
      </w:r>
      <w:r>
        <w:rPr>
          <w:rFonts w:ascii="Times New Roman" w:eastAsia="Times New Roman" w:hAnsi="Times New Roman" w:cs="Times New Roman"/>
          <w:b/>
          <w:color w:val="002060"/>
          <w:sz w:val="28"/>
          <w:szCs w:val="28"/>
          <w:lang w:eastAsia="ru-RU"/>
        </w:rPr>
        <w:t>2</w:t>
      </w:r>
      <w:r w:rsidRPr="00A96E34">
        <w:rPr>
          <w:rFonts w:ascii="Times New Roman" w:eastAsia="Times New Roman" w:hAnsi="Times New Roman" w:cs="Times New Roman"/>
          <w:b/>
          <w:color w:val="002060"/>
          <w:sz w:val="28"/>
          <w:szCs w:val="28"/>
          <w:lang w:eastAsia="ru-RU"/>
        </w:rPr>
        <w:t xml:space="preserve">. </w:t>
      </w:r>
      <w:r w:rsidRPr="00885375">
        <w:rPr>
          <w:rFonts w:ascii="Times New Roman" w:eastAsia="Times New Roman" w:hAnsi="Times New Roman" w:cs="Times New Roman"/>
          <w:sz w:val="28"/>
          <w:szCs w:val="20"/>
          <w:lang w:eastAsia="ru-RU"/>
        </w:rPr>
        <w:t>В течение 2021 года общая сумма кредиторской задолженности увеличилась на 248 196,8 тыс. рублей и на 1 января 2021 года составила 7 581 823,3 тыс. рублей, в том числе:</w:t>
      </w:r>
    </w:p>
    <w:p w14:paraId="1946FDB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доходам – 5 008 792,3 тыс. рублей (123 562,7 тыс. рублей, или на 2,4%);</w:t>
      </w:r>
    </w:p>
    <w:p w14:paraId="538125A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с подотчетными лицами – 2 458,4 тыс. рублей (уменьшилась на 334,8 тыс. рублей, или на 13,6%); </w:t>
      </w:r>
    </w:p>
    <w:p w14:paraId="1C8F853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ущербу и иным доходам – 13,1 тыс. рублей (на начало года задолженность отсутствовала);</w:t>
      </w:r>
    </w:p>
    <w:p w14:paraId="48F746C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принятым обязательствам – 1 974 056,7 тыс. рублей (увеличилась на 147 904,4 тыс. рублей, или на 8,1%);</w:t>
      </w:r>
    </w:p>
    <w:p w14:paraId="516252E6"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по платежам в бюджеты – 596 342,9 тыс. рублей (увеличилась на 224 525,0 тыс. рублей, или на 60,4%); </w:t>
      </w:r>
    </w:p>
    <w:p w14:paraId="441313E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прочие расчеты с кредиторами – 842,9 тыс. рублей (уменьшилась на 348,2 тыс. рублей, или в 1,7 раза).</w:t>
      </w:r>
    </w:p>
    <w:p w14:paraId="2AEF504C"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2060"/>
          <w:sz w:val="28"/>
          <w:szCs w:val="28"/>
          <w:lang w:eastAsia="ru-RU"/>
        </w:rPr>
        <w:t>4.6.</w:t>
      </w:r>
      <w:r w:rsidRPr="00A96E34">
        <w:rPr>
          <w:rFonts w:ascii="Times New Roman" w:eastAsia="Times New Roman" w:hAnsi="Times New Roman" w:cs="Times New Roman"/>
          <w:b/>
          <w:color w:val="002060"/>
          <w:sz w:val="28"/>
          <w:szCs w:val="28"/>
          <w:lang w:eastAsia="ru-RU"/>
        </w:rPr>
        <w:t>2.</w:t>
      </w:r>
      <w:r>
        <w:rPr>
          <w:rFonts w:ascii="Times New Roman" w:eastAsia="Times New Roman" w:hAnsi="Times New Roman" w:cs="Times New Roman"/>
          <w:b/>
          <w:color w:val="002060"/>
          <w:sz w:val="28"/>
          <w:szCs w:val="28"/>
          <w:lang w:eastAsia="ru-RU"/>
        </w:rPr>
        <w:t>3</w:t>
      </w:r>
      <w:r w:rsidRPr="00A96E34">
        <w:rPr>
          <w:rFonts w:ascii="Times New Roman" w:eastAsia="Times New Roman" w:hAnsi="Times New Roman" w:cs="Times New Roman"/>
          <w:b/>
          <w:color w:val="002060"/>
          <w:sz w:val="28"/>
          <w:szCs w:val="28"/>
          <w:lang w:eastAsia="ru-RU"/>
        </w:rPr>
        <w:t xml:space="preserve">. </w:t>
      </w:r>
      <w:r w:rsidRPr="00885375">
        <w:rPr>
          <w:rFonts w:ascii="Times New Roman" w:eastAsia="Times New Roman" w:hAnsi="Times New Roman" w:cs="Times New Roman"/>
          <w:bCs/>
          <w:sz w:val="28"/>
          <w:szCs w:val="28"/>
          <w:lang w:eastAsia="ru-RU"/>
        </w:rPr>
        <w:t>Наибольшую долю в структуре кредиторской задолженности занимают расчеты по доходам (66,1</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Сумма указанной задолженности по сравнению с задолженностью на начало года уменьшилась на 123 562,7 тыс. рублей, или на 2,4</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и составила 5 008 792.3 тыс. рублей.</w:t>
      </w:r>
    </w:p>
    <w:p w14:paraId="39E8431C"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Расчеты по принятым обязательствам в общем объеме кредиторской задолженности составляют 26,0</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Сумма указанной задолженности по сравнению с задолженностью на начало года увеличилась на 147 904,4 тыс. рублей, или на 8,1</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и составила 1 974 056,7 тыс. рублей, из них:</w:t>
      </w:r>
    </w:p>
    <w:p w14:paraId="1E63584C"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заработной плате – 22 243,4 тыс. рублей (увеличилась на 17 964,4 тыс. рублей, или в 5,2 раза);</w:t>
      </w:r>
    </w:p>
    <w:p w14:paraId="643F2E4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начислениям на выплаты по оплате труда – 26,8 тыс. рублей (уменьшилась на 288,9 тыс. рублей, или в 11,8 раза);</w:t>
      </w:r>
    </w:p>
    <w:p w14:paraId="66DE5AD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услугам связи – 178,4 тыс. рублей (уменьшилась на 728,7 тыс. рублей, или в 5,1 раза);</w:t>
      </w:r>
    </w:p>
    <w:p w14:paraId="7B50B5A9"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 по транспортным услугам – 504,0 тыс. рублей (увеличилась на 473,7 </w:t>
      </w:r>
      <w:r w:rsidRPr="00885375">
        <w:rPr>
          <w:rFonts w:ascii="Times New Roman" w:eastAsia="Times New Roman" w:hAnsi="Times New Roman" w:cs="Times New Roman"/>
          <w:sz w:val="28"/>
          <w:szCs w:val="28"/>
          <w:lang w:eastAsia="ru-RU"/>
        </w:rPr>
        <w:lastRenderedPageBreak/>
        <w:t>тыс. рублей, или в 16,6 раза);</w:t>
      </w:r>
    </w:p>
    <w:p w14:paraId="62560B6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коммунальным услугам – 4 995,4 тыс. рублей (уменьшилась на 429,5 тыс. рублей, или на 7,9%);</w:t>
      </w:r>
    </w:p>
    <w:p w14:paraId="19FF732A"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арендной плате за пользование имуществом – 2 752,6 тыс. рублей (уменьшилась на 85,1 тыс. рублей, или на 3,0%);</w:t>
      </w:r>
    </w:p>
    <w:p w14:paraId="77F1CD7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работам, услугам по содержанию имущества – 6 003,4 тыс. рублей (уменьшилась на 4 912,6 тыс. рублей, или на 45,0%);</w:t>
      </w:r>
    </w:p>
    <w:p w14:paraId="1263A1A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прочим работам, услугам – 31 791,7 тыс. рублей (уменьшилась на 178 236,7 тыс. рублей, или 6.6 раза);</w:t>
      </w:r>
    </w:p>
    <w:p w14:paraId="133D344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приобретению основных средств – 941 441,9 тыс. рублей (уменьшилась на 56 760,0 тыс. рублей, или на 5,7%);</w:t>
      </w:r>
    </w:p>
    <w:p w14:paraId="2E0C1D0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приобретению материальных запасов – 30 575,3 тыс. рублей (уменьшилась на 7 162,5 тыс. рублей, или на 19,0%);</w:t>
      </w:r>
    </w:p>
    <w:p w14:paraId="21C27215"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xml:space="preserve">- по пособиям по социальной помощи населению – 930 829,8 тыс. рублей (увеличилась на 402 393,7 тыс. рублей или в 1,8 раза).   </w:t>
      </w:r>
    </w:p>
    <w:p w14:paraId="3B9F4F9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Расчеты по платежам в бюджеты в общем объеме кредиторской задолженности составляют 7,9</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Сумма указанной задолженности по сравнению с задолженностью на начало года увеличилась на 224 525,0 тыс. рублей, или на 60,4</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и составила 596 342,9 тыс. рублей, из них:</w:t>
      </w:r>
    </w:p>
    <w:p w14:paraId="69BE3EE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налогу на доходы физических лиц – 5 123,9 тыс. рублей (увеличилась на 2 867,5 тыс. рублей, или в 2,3 раза);</w:t>
      </w:r>
    </w:p>
    <w:p w14:paraId="427F3FD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страховым взносам на обязательное социальное страхование – 2 196,2 тыс. рублей (увеличилась на 1 746,0 тыс. рублей, или в 4,9 раза);</w:t>
      </w:r>
    </w:p>
    <w:p w14:paraId="26BFF4F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прочим платежам в бюджет – 204 547,9 тыс. рублей (увеличилась на 125 833,9 тыс. рублей, или в 2,6 раза);</w:t>
      </w:r>
    </w:p>
    <w:p w14:paraId="2D26735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страховым взносам на обязательное медицинское и пенсионное страхование – 13 447,0 тыс. рублей (увеличилась на 6 399,7 тыс. рублей, или в 1,9 раза);</w:t>
      </w:r>
    </w:p>
    <w:p w14:paraId="37248E6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налогу на имущество организаций – 370 837,8 тыс. рублей (увеличилась на 87 885,7 тыс. рублей, или на 31,1%);</w:t>
      </w:r>
    </w:p>
    <w:p w14:paraId="1076DFA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 по земельному налогу – 190,0 тыс. рублей (уменьшилась на 207,8 тыс. рублей, или в 2,1 раза).</w:t>
      </w:r>
    </w:p>
    <w:p w14:paraId="3B6FD1C8"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Просроченная кредиторская задолженность по состоянию на 1 января 2022 года отсутствует.</w:t>
      </w:r>
    </w:p>
    <w:p w14:paraId="4BCFA8A4"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2060"/>
          <w:sz w:val="28"/>
          <w:szCs w:val="28"/>
          <w:lang w:eastAsia="ru-RU"/>
        </w:rPr>
        <w:t>4.6.</w:t>
      </w:r>
      <w:r w:rsidRPr="00A96E34">
        <w:rPr>
          <w:rFonts w:ascii="Times New Roman" w:eastAsia="Times New Roman" w:hAnsi="Times New Roman" w:cs="Times New Roman"/>
          <w:b/>
          <w:color w:val="002060"/>
          <w:sz w:val="28"/>
          <w:szCs w:val="28"/>
          <w:lang w:eastAsia="ru-RU"/>
        </w:rPr>
        <w:t>2.</w:t>
      </w:r>
      <w:r>
        <w:rPr>
          <w:rFonts w:ascii="Times New Roman" w:eastAsia="Times New Roman" w:hAnsi="Times New Roman" w:cs="Times New Roman"/>
          <w:b/>
          <w:color w:val="002060"/>
          <w:sz w:val="28"/>
          <w:szCs w:val="28"/>
          <w:lang w:eastAsia="ru-RU"/>
        </w:rPr>
        <w:t>4</w:t>
      </w:r>
      <w:r w:rsidRPr="00A96E34">
        <w:rPr>
          <w:rFonts w:ascii="Times New Roman" w:eastAsia="Times New Roman" w:hAnsi="Times New Roman" w:cs="Times New Roman"/>
          <w:b/>
          <w:color w:val="002060"/>
          <w:sz w:val="28"/>
          <w:szCs w:val="28"/>
          <w:lang w:eastAsia="ru-RU"/>
        </w:rPr>
        <w:t xml:space="preserve">. </w:t>
      </w:r>
      <w:r w:rsidRPr="00885375">
        <w:rPr>
          <w:rFonts w:ascii="Times New Roman" w:eastAsia="Times New Roman" w:hAnsi="Times New Roman" w:cs="Times New Roman"/>
          <w:bCs/>
          <w:sz w:val="28"/>
          <w:szCs w:val="28"/>
          <w:lang w:eastAsia="ru-RU"/>
        </w:rPr>
        <w:t>Наибольшую кредиторскую задолженность на 1 января 2022 года имеют следующие министерства и ведомства</w:t>
      </w:r>
      <w:r>
        <w:rPr>
          <w:rFonts w:ascii="Times New Roman" w:eastAsia="Times New Roman" w:hAnsi="Times New Roman" w:cs="Times New Roman"/>
          <w:bCs/>
          <w:sz w:val="28"/>
          <w:szCs w:val="28"/>
          <w:lang w:eastAsia="ru-RU"/>
        </w:rPr>
        <w:t xml:space="preserve"> Республики Дагестан</w:t>
      </w:r>
      <w:r w:rsidRPr="00885375">
        <w:rPr>
          <w:rFonts w:ascii="Times New Roman" w:eastAsia="Times New Roman" w:hAnsi="Times New Roman" w:cs="Times New Roman"/>
          <w:bCs/>
          <w:sz w:val="28"/>
          <w:szCs w:val="28"/>
          <w:lang w:eastAsia="ru-RU"/>
        </w:rPr>
        <w:t>:</w:t>
      </w:r>
    </w:p>
    <w:p w14:paraId="7885844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1) </w:t>
      </w:r>
      <w:r w:rsidRPr="00885375">
        <w:rPr>
          <w:rFonts w:ascii="Times New Roman" w:eastAsia="Times New Roman" w:hAnsi="Times New Roman" w:cs="Times New Roman"/>
          <w:sz w:val="28"/>
          <w:szCs w:val="28"/>
          <w:lang w:eastAsia="ru-RU"/>
        </w:rPr>
        <w:t>Управление Федеральной налоговой службы по Республике Дагестан – 4 865 518,6 тыс. рублей, что составляет 64,2</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от общего объема кредиторской задолженности. </w:t>
      </w:r>
    </w:p>
    <w:p w14:paraId="352F81F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По сравнению с задолженностью на начало года кредиторская задолженность по налогам и сборам уменьшилась на 74 524,5 тыс. рублей, или на 1,5</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w:t>
      </w:r>
    </w:p>
    <w:p w14:paraId="7A98A33C"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iCs/>
          <w:color w:val="002060"/>
          <w:sz w:val="28"/>
          <w:szCs w:val="28"/>
          <w:lang w:eastAsia="ru-RU"/>
        </w:rPr>
        <w:t>2)</w:t>
      </w:r>
      <w:r w:rsidRPr="00885375">
        <w:rPr>
          <w:rFonts w:ascii="Times New Roman" w:eastAsia="Times New Roman" w:hAnsi="Times New Roman" w:cs="Times New Roman"/>
          <w:iCs/>
          <w:color w:val="002060"/>
          <w:sz w:val="28"/>
          <w:szCs w:val="28"/>
          <w:lang w:eastAsia="ru-RU"/>
        </w:rPr>
        <w:t xml:space="preserve"> </w:t>
      </w:r>
      <w:r w:rsidRPr="00885375">
        <w:rPr>
          <w:rFonts w:ascii="Times New Roman" w:eastAsia="Times New Roman" w:hAnsi="Times New Roman" w:cs="Times New Roman"/>
          <w:iCs/>
          <w:sz w:val="28"/>
          <w:szCs w:val="28"/>
          <w:lang w:eastAsia="ru-RU"/>
        </w:rPr>
        <w:t xml:space="preserve">Министерство труда и социального развития Республики Дагестан – </w:t>
      </w:r>
      <w:r w:rsidRPr="00885375">
        <w:rPr>
          <w:rFonts w:ascii="Times New Roman" w:eastAsia="Times New Roman" w:hAnsi="Times New Roman" w:cs="Times New Roman"/>
          <w:sz w:val="28"/>
          <w:szCs w:val="28"/>
          <w:lang w:eastAsia="ru-RU"/>
        </w:rPr>
        <w:t xml:space="preserve">936 502,2 тыс. рублей, что составляет 12,4% от общего объема кредиторской </w:t>
      </w:r>
      <w:r w:rsidRPr="00885375">
        <w:rPr>
          <w:rFonts w:ascii="Times New Roman" w:eastAsia="Times New Roman" w:hAnsi="Times New Roman" w:cs="Times New Roman"/>
          <w:sz w:val="28"/>
          <w:szCs w:val="28"/>
          <w:lang w:eastAsia="ru-RU"/>
        </w:rPr>
        <w:lastRenderedPageBreak/>
        <w:t xml:space="preserve">задолженности. По сравнению с задолженностью на начало года кредиторская задолженность увеличилась на 503 210,9 тыс. рублей, или в 2,2 раза, в том числе: </w:t>
      </w:r>
    </w:p>
    <w:p w14:paraId="4CBB26D6"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принятым обязательствам – 931 296,9 тыс. рублей, или </w:t>
      </w:r>
      <w:r>
        <w:rPr>
          <w:rFonts w:ascii="Times New Roman" w:eastAsia="Times New Roman" w:hAnsi="Times New Roman" w:cs="Times New Roman"/>
          <w:sz w:val="28"/>
          <w:szCs w:val="28"/>
          <w:lang w:eastAsia="ru-RU"/>
        </w:rPr>
        <w:br/>
      </w:r>
      <w:r w:rsidRPr="00885375">
        <w:rPr>
          <w:rFonts w:ascii="Times New Roman" w:eastAsia="Times New Roman" w:hAnsi="Times New Roman" w:cs="Times New Roman"/>
          <w:sz w:val="28"/>
          <w:szCs w:val="28"/>
          <w:lang w:eastAsia="ru-RU"/>
        </w:rPr>
        <w:t>99,4</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к общей сумме кредиторской задолженности (увеличилась на 510 149,3 тыс. рублей, или в 2,2 раза); </w:t>
      </w:r>
    </w:p>
    <w:p w14:paraId="42CDCB44"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платежам в бюджеты – 5 203,5 тыс. рублей (уменьшилась на 6 934.5 тыс. рублей); </w:t>
      </w:r>
    </w:p>
    <w:p w14:paraId="6BFBBC4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прочие расчеты с кредиторами – 1,7 тыс. рублей (уменьшилась на 4,0 тыс. рублей).</w:t>
      </w:r>
    </w:p>
    <w:p w14:paraId="3372E20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принятым обязательствам, кредиторская задолженность</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оплате труда составляет 468,2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начислениям на оплату труда – 14,8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услугам связи – 34,1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коммунальным услугам – 2,7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прочим работам, услугам – 698,1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материальных запасов – 77,6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пособиям по социальной помощи населению – 929 749,7 тыс. рублей</w:t>
      </w:r>
      <w:r>
        <w:rPr>
          <w:rFonts w:ascii="Times New Roman" w:eastAsia="Times New Roman" w:hAnsi="Times New Roman" w:cs="Times New Roman"/>
          <w:bCs/>
          <w:sz w:val="28"/>
          <w:szCs w:val="28"/>
          <w:lang w:eastAsia="ru-RU"/>
        </w:rPr>
        <w:t xml:space="preserve"> и </w:t>
      </w:r>
      <w:r w:rsidRPr="00885375">
        <w:rPr>
          <w:rFonts w:ascii="Times New Roman" w:eastAsia="Times New Roman" w:hAnsi="Times New Roman" w:cs="Times New Roman"/>
          <w:bCs/>
          <w:sz w:val="28"/>
          <w:szCs w:val="28"/>
          <w:lang w:eastAsia="ru-RU"/>
        </w:rPr>
        <w:t>по иным расходам – 251,8 тыс. рублей.</w:t>
      </w:r>
    </w:p>
    <w:p w14:paraId="5957337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885375">
        <w:rPr>
          <w:rFonts w:ascii="Times New Roman" w:eastAsia="Times New Roman" w:hAnsi="Times New Roman" w:cs="Times New Roman"/>
          <w:b/>
          <w:iCs/>
          <w:color w:val="002060"/>
          <w:sz w:val="28"/>
          <w:szCs w:val="28"/>
          <w:lang w:eastAsia="ru-RU"/>
        </w:rPr>
        <w:t>3)</w:t>
      </w:r>
      <w:r w:rsidRPr="00885375">
        <w:rPr>
          <w:rFonts w:ascii="Times New Roman" w:eastAsia="Times New Roman" w:hAnsi="Times New Roman" w:cs="Times New Roman"/>
          <w:iCs/>
          <w:sz w:val="28"/>
          <w:szCs w:val="28"/>
          <w:lang w:eastAsia="ru-RU"/>
        </w:rPr>
        <w:t xml:space="preserve"> Управление Правительства Республики Дагестан по капитальному строительству (образовано в 2021 году) – 603 232,3 тыс. рублей.</w:t>
      </w:r>
    </w:p>
    <w:p w14:paraId="015D2F4D"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885375">
        <w:rPr>
          <w:rFonts w:ascii="Times New Roman" w:eastAsia="Times New Roman" w:hAnsi="Times New Roman" w:cs="Times New Roman"/>
          <w:iCs/>
          <w:sz w:val="28"/>
          <w:szCs w:val="28"/>
          <w:lang w:eastAsia="ru-RU"/>
        </w:rPr>
        <w:t>Из общего объема кредиторской задолженности, задолженность по принятым обязательствам составляет 560 654,2 тыс. рублей, или 92,9%, из них:</w:t>
      </w:r>
    </w:p>
    <w:p w14:paraId="6EEC47C1"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iCs/>
          <w:sz w:val="28"/>
          <w:szCs w:val="28"/>
          <w:lang w:eastAsia="ru-RU"/>
        </w:rPr>
        <w:t>-</w:t>
      </w:r>
      <w:r w:rsidRPr="00885375">
        <w:rPr>
          <w:rFonts w:ascii="Times New Roman" w:eastAsia="Times New Roman" w:hAnsi="Times New Roman" w:cs="Times New Roman"/>
          <w:iCs/>
          <w:sz w:val="28"/>
          <w:szCs w:val="28"/>
          <w:lang w:eastAsia="ru-RU"/>
        </w:rPr>
        <w:t xml:space="preserve"> </w:t>
      </w:r>
      <w:r w:rsidRPr="00885375">
        <w:rPr>
          <w:rFonts w:ascii="Times New Roman" w:eastAsia="Times New Roman" w:hAnsi="Times New Roman" w:cs="Times New Roman"/>
          <w:bCs/>
          <w:sz w:val="28"/>
          <w:szCs w:val="28"/>
          <w:lang w:eastAsia="ru-RU"/>
        </w:rPr>
        <w:t xml:space="preserve">по услугам связи – 9,8 тыс. рублей; </w:t>
      </w:r>
    </w:p>
    <w:p w14:paraId="7989AC73"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по коммунальным услугам – 278,6 тыс. рублей; </w:t>
      </w:r>
    </w:p>
    <w:p w14:paraId="31A9AE64"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по прочим работам, услугам – 17 271,9 тыс. рублей; </w:t>
      </w:r>
    </w:p>
    <w:p w14:paraId="5593FA7C"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по приобретению основных средств – 543 093,9 тыс. рублей. </w:t>
      </w:r>
    </w:p>
    <w:p w14:paraId="28FD3DD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4) </w:t>
      </w:r>
      <w:r w:rsidRPr="00885375">
        <w:rPr>
          <w:rFonts w:ascii="Times New Roman" w:eastAsia="Times New Roman" w:hAnsi="Times New Roman" w:cs="Times New Roman"/>
          <w:sz w:val="28"/>
          <w:szCs w:val="28"/>
          <w:lang w:eastAsia="ru-RU"/>
        </w:rPr>
        <w:t>Министерство образования и науки Республики Дагестан – 431 128,5 тыс. рублей</w:t>
      </w:r>
      <w:r>
        <w:rPr>
          <w:rFonts w:ascii="Times New Roman" w:eastAsia="Times New Roman" w:hAnsi="Times New Roman" w:cs="Times New Roman"/>
          <w:sz w:val="28"/>
          <w:szCs w:val="28"/>
          <w:lang w:eastAsia="ru-RU"/>
        </w:rPr>
        <w:t>,</w:t>
      </w:r>
      <w:r w:rsidRPr="00885375">
        <w:rPr>
          <w:rFonts w:ascii="Times New Roman" w:eastAsia="Times New Roman" w:hAnsi="Times New Roman" w:cs="Times New Roman"/>
          <w:sz w:val="28"/>
          <w:szCs w:val="28"/>
          <w:lang w:eastAsia="ru-RU"/>
        </w:rPr>
        <w:t xml:space="preserve"> что составляет 12,4% от общего объема кредиторской задолженности.  </w:t>
      </w:r>
    </w:p>
    <w:p w14:paraId="16393B71"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По сравнению с задолженностью на начало года кредиторская задолженность уменьшилась на 131 947,4 тыс. рублей, или на 23,4</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в том числе: </w:t>
      </w:r>
    </w:p>
    <w:p w14:paraId="2CAA2097"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с подотчетными лицами – 1 091,5 тыс. рублей (увеличилась на 10,2 тыс. рублей); </w:t>
      </w:r>
    </w:p>
    <w:p w14:paraId="15B0FFB9"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ущербу и иным доходам – 13,1 тыс. рублей (на начало года задолженность отсутствовала); </w:t>
      </w:r>
    </w:p>
    <w:p w14:paraId="424F1EE5"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принятым обязательствам – 398 304,7 тыс. рублей (уменьшилась на 151 754,4 тыс. рублей, или на 27,6</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w:t>
      </w:r>
    </w:p>
    <w:p w14:paraId="706103FE"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платежам в бюджеты – 31 463,0 тыс. рублей (увеличилась на 19 716,3 тыс. рублей, или в 2,7 раза); </w:t>
      </w:r>
    </w:p>
    <w:p w14:paraId="54E30814"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прочие расчеты с кредиторами – 256,3 тыс. рублей (увеличилась на 67,5 тыс. рублей, или на 35,7</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w:t>
      </w:r>
    </w:p>
    <w:p w14:paraId="24B9DB2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принятым обязательствам, кредиторская задолженность по оплате труда составляет 18 345,6 тыс. рублей, по начислениям на оплату труда – 9,9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по </w:t>
      </w:r>
      <w:r w:rsidRPr="00885375">
        <w:rPr>
          <w:rFonts w:ascii="Times New Roman" w:eastAsia="Times New Roman" w:hAnsi="Times New Roman" w:cs="Times New Roman"/>
          <w:bCs/>
          <w:sz w:val="28"/>
          <w:szCs w:val="28"/>
          <w:lang w:eastAsia="ru-RU"/>
        </w:rPr>
        <w:lastRenderedPageBreak/>
        <w:t>услугам связи – 40,3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коммунальным услугам – 3 766,6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арендной плате за пользование имуществом – 2 550,0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работам, услугам по содержанию имуществом – 2 987,7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прочим работам, услугам – 2 517,0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основных средств – 334 838,8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материальных запасов – 30 131,3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пособиям по социальной помощи населению – 1 066,4 тыс. рублей</w:t>
      </w:r>
      <w:r>
        <w:rPr>
          <w:rFonts w:ascii="Times New Roman" w:eastAsia="Times New Roman" w:hAnsi="Times New Roman" w:cs="Times New Roman"/>
          <w:bCs/>
          <w:sz w:val="28"/>
          <w:szCs w:val="28"/>
          <w:lang w:eastAsia="ru-RU"/>
        </w:rPr>
        <w:t xml:space="preserve"> и </w:t>
      </w:r>
      <w:r w:rsidRPr="00885375">
        <w:rPr>
          <w:rFonts w:ascii="Times New Roman" w:eastAsia="Times New Roman" w:hAnsi="Times New Roman" w:cs="Times New Roman"/>
          <w:bCs/>
          <w:sz w:val="28"/>
          <w:szCs w:val="28"/>
          <w:lang w:eastAsia="ru-RU"/>
        </w:rPr>
        <w:t>по прочим расходам – 2 051,0 тыс. рублей.</w:t>
      </w:r>
    </w:p>
    <w:p w14:paraId="091A4D7B"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5) </w:t>
      </w:r>
      <w:r w:rsidRPr="00885375">
        <w:rPr>
          <w:rFonts w:ascii="Times New Roman" w:eastAsia="Times New Roman" w:hAnsi="Times New Roman" w:cs="Times New Roman"/>
          <w:sz w:val="28"/>
          <w:szCs w:val="28"/>
          <w:lang w:eastAsia="ru-RU"/>
        </w:rPr>
        <w:t>Министерство транспорта и дорожного хозяйства Республики Дагестан – 399 833,4 тыс. рублей, что составляет 5,3</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от общего объема кредиторской задолженности. По сравнению с задолженностью на начало года кредиторская задолженность увеличилась на 126 818,0 тыс. рублей, или на 46,6</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в том числе: </w:t>
      </w:r>
    </w:p>
    <w:p w14:paraId="511B0C06"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принятым обязательствам – 1 449,0 тыс. рублей (уменьшилась на 11 241,8 тыс. рублей); </w:t>
      </w:r>
    </w:p>
    <w:p w14:paraId="15A91FB1"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платежам в бюджеты – 398 384,2 тыс. рублей (увеличилась на 139 065,0 тыс. рублей); </w:t>
      </w:r>
    </w:p>
    <w:p w14:paraId="1431972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прочие расчеты с кредиторами – 0,2 тыс. рублей (уменьшилась на 5,1 тыс. рублей).</w:t>
      </w:r>
    </w:p>
    <w:p w14:paraId="4D80827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принятым обязательствам, кредиторская задолженность по оплате труда составляет 6,4 тыс. рублей, по услугам связи – 6,0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коммунальным услугам – 8,9 тыс. рублей</w:t>
      </w:r>
      <w:r>
        <w:rPr>
          <w:rFonts w:ascii="Times New Roman" w:eastAsia="Times New Roman" w:hAnsi="Times New Roman" w:cs="Times New Roman"/>
          <w:bCs/>
          <w:sz w:val="28"/>
          <w:szCs w:val="28"/>
          <w:lang w:eastAsia="ru-RU"/>
        </w:rPr>
        <w:t>,</w:t>
      </w:r>
      <w:r w:rsidRPr="00885375">
        <w:rPr>
          <w:rFonts w:ascii="Times New Roman" w:eastAsia="Times New Roman" w:hAnsi="Times New Roman" w:cs="Times New Roman"/>
          <w:bCs/>
          <w:sz w:val="28"/>
          <w:szCs w:val="28"/>
          <w:lang w:eastAsia="ru-RU"/>
        </w:rPr>
        <w:t xml:space="preserve"> по работам, услугам по содержанию имущества – 582,3 тыс. рублей</w:t>
      </w:r>
      <w:r>
        <w:rPr>
          <w:rFonts w:ascii="Times New Roman" w:eastAsia="Times New Roman" w:hAnsi="Times New Roman" w:cs="Times New Roman"/>
          <w:bCs/>
          <w:sz w:val="28"/>
          <w:szCs w:val="28"/>
          <w:lang w:eastAsia="ru-RU"/>
        </w:rPr>
        <w:t>,</w:t>
      </w:r>
      <w:r w:rsidRPr="00885375">
        <w:rPr>
          <w:rFonts w:ascii="Times New Roman" w:eastAsia="Times New Roman" w:hAnsi="Times New Roman" w:cs="Times New Roman"/>
          <w:bCs/>
          <w:sz w:val="28"/>
          <w:szCs w:val="28"/>
          <w:lang w:eastAsia="ru-RU"/>
        </w:rPr>
        <w:t xml:space="preserve"> по прочим работам, услугам – 188,5 тыс. рублей</w:t>
      </w:r>
      <w:r>
        <w:rPr>
          <w:rFonts w:ascii="Times New Roman" w:eastAsia="Times New Roman" w:hAnsi="Times New Roman" w:cs="Times New Roman"/>
          <w:bCs/>
          <w:sz w:val="28"/>
          <w:szCs w:val="28"/>
          <w:lang w:eastAsia="ru-RU"/>
        </w:rPr>
        <w:t>,</w:t>
      </w:r>
      <w:r w:rsidRPr="00885375">
        <w:rPr>
          <w:rFonts w:ascii="Times New Roman" w:eastAsia="Times New Roman" w:hAnsi="Times New Roman" w:cs="Times New Roman"/>
          <w:bCs/>
          <w:sz w:val="28"/>
          <w:szCs w:val="28"/>
          <w:lang w:eastAsia="ru-RU"/>
        </w:rPr>
        <w:t xml:space="preserve"> по приобретению основных средств – 618,7 тыс. рублей</w:t>
      </w:r>
      <w:r>
        <w:rPr>
          <w:rFonts w:ascii="Times New Roman" w:eastAsia="Times New Roman" w:hAnsi="Times New Roman" w:cs="Times New Roman"/>
          <w:bCs/>
          <w:sz w:val="28"/>
          <w:szCs w:val="28"/>
          <w:lang w:eastAsia="ru-RU"/>
        </w:rPr>
        <w:t xml:space="preserve"> и</w:t>
      </w:r>
      <w:r w:rsidRPr="00885375">
        <w:rPr>
          <w:rFonts w:ascii="Times New Roman" w:eastAsia="Times New Roman" w:hAnsi="Times New Roman" w:cs="Times New Roman"/>
          <w:bCs/>
          <w:sz w:val="28"/>
          <w:szCs w:val="28"/>
          <w:lang w:eastAsia="ru-RU"/>
        </w:rPr>
        <w:t xml:space="preserve"> по приобретению материальных запасов – 38,1 тыс. рублей.</w:t>
      </w:r>
    </w:p>
    <w:p w14:paraId="561909A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платежам в бюджеты, 339 615,8 тыс. рублей, или 85,2</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составляет задолженность по уплате налога на имущество (увеличилась на 139 065,0 тыс. рублей) и 59 705,0 тыс. рублей, или 19,9</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Pr="00885375">
        <w:rPr>
          <w:rFonts w:ascii="Times New Roman" w:eastAsia="Times New Roman" w:hAnsi="Times New Roman" w:cs="Times New Roman"/>
          <w:bCs/>
          <w:sz w:val="28"/>
          <w:szCs w:val="28"/>
          <w:lang w:eastAsia="ru-RU"/>
        </w:rPr>
        <w:t xml:space="preserve"> задолженность по прочим платежам в бюджет. </w:t>
      </w:r>
    </w:p>
    <w:p w14:paraId="19936ADD"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6) </w:t>
      </w:r>
      <w:r w:rsidRPr="00885375">
        <w:rPr>
          <w:rFonts w:ascii="Times New Roman" w:eastAsia="Times New Roman" w:hAnsi="Times New Roman" w:cs="Times New Roman"/>
          <w:sz w:val="28"/>
          <w:szCs w:val="28"/>
          <w:lang w:eastAsia="ru-RU"/>
        </w:rPr>
        <w:t>Министерство земельных и имущественных отношений Республики Дагестан – 136 408,9 тыс. рублей (уменьшилась на 18 169,8 тыс. рублей, или на 11,7%), из них: по доходам от использования государственного имущества – 135 569,1 тыс. рублей, или 99,4</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от общей суммы кредиторской задолженности (уменьшилась на 17 197,8 тыс. рублей, или на 11,2</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w:t>
      </w:r>
    </w:p>
    <w:p w14:paraId="4777600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sz w:val="28"/>
          <w:szCs w:val="28"/>
          <w:lang w:eastAsia="ru-RU"/>
        </w:rPr>
        <w:t>Основной причиной образования указанной кредиторской задолженности является отсутствие учета начислений арендных платежей по договорам аренды государственного недвижимого имущества и земельных участков.</w:t>
      </w:r>
    </w:p>
    <w:p w14:paraId="49AC9C4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Кредиторская задолженность по принятым обязательствам на 1 января 2022 года составляет 9,1 тыс. рублей и по сравнению с началом года уменьшилась на 1 400,5 тыс. рублей, в том числе: задолженность по оплате труда – 2,9 тыс. рублей, задолженность по коммунальным услугам – 6,2 тыс. рублей.</w:t>
      </w:r>
    </w:p>
    <w:p w14:paraId="7DF51E0B"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7) </w:t>
      </w:r>
      <w:r w:rsidRPr="00885375">
        <w:rPr>
          <w:rFonts w:ascii="Times New Roman" w:eastAsia="Times New Roman" w:hAnsi="Times New Roman" w:cs="Times New Roman"/>
          <w:sz w:val="28"/>
          <w:szCs w:val="28"/>
          <w:lang w:eastAsia="ru-RU"/>
        </w:rPr>
        <w:t xml:space="preserve">Министерство сельского хозяйства Республики Дагестан – 63 891,7 </w:t>
      </w:r>
      <w:r w:rsidRPr="00885375">
        <w:rPr>
          <w:rFonts w:ascii="Times New Roman" w:eastAsia="Times New Roman" w:hAnsi="Times New Roman" w:cs="Times New Roman"/>
          <w:sz w:val="28"/>
          <w:szCs w:val="28"/>
          <w:lang w:eastAsia="ru-RU"/>
        </w:rPr>
        <w:lastRenderedPageBreak/>
        <w:t xml:space="preserve">тыс. рублей. По сравнению с задолженностью на начало года кредиторская задолженность уменьшилась на 160 470,5 тыс. рублей, или в 3,5 раза, в том числе: </w:t>
      </w:r>
    </w:p>
    <w:p w14:paraId="3F8E97AA"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доходам – 52,8 тыс. рублей (на начало года задолженность отсутствовала); </w:t>
      </w:r>
    </w:p>
    <w:p w14:paraId="5C5D1E69"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с подотчетными лицами – 24,4 тыс. рублей (уменьшилась на 13,9 тыс. рублей, или на 36,3%); </w:t>
      </w:r>
    </w:p>
    <w:p w14:paraId="7B64912F"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принятым обязательствам – 3 034,2 тыс. рублей (уменьшилась на 217 106,5 тыс. рублей); </w:t>
      </w:r>
    </w:p>
    <w:p w14:paraId="5C22BF9E"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платежам в бюджеты – 60 771,1 тыс. рублей (увеличилась на 56 591,3 тыс. рублей, или в 14,5 раза); </w:t>
      </w:r>
    </w:p>
    <w:p w14:paraId="3C1E00D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прочие расчеты с кредиторами – 9,1 тыс. рублей (увеличилась на 5,7 тыс. рублей, или в 2,7 раза).</w:t>
      </w:r>
    </w:p>
    <w:p w14:paraId="661410C6"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принятым обязательствам, кредиторская задолженность по услугам связи составляет 39,8 тыс. рублей, по коммунальным услугам – 8,7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основных средств – 2 882,9 тыс. рублей</w:t>
      </w:r>
      <w:r>
        <w:rPr>
          <w:rFonts w:ascii="Times New Roman" w:eastAsia="Times New Roman" w:hAnsi="Times New Roman" w:cs="Times New Roman"/>
          <w:bCs/>
          <w:sz w:val="28"/>
          <w:szCs w:val="28"/>
          <w:lang w:eastAsia="ru-RU"/>
        </w:rPr>
        <w:t xml:space="preserve"> и </w:t>
      </w:r>
      <w:r w:rsidRPr="00885375">
        <w:rPr>
          <w:rFonts w:ascii="Times New Roman" w:eastAsia="Times New Roman" w:hAnsi="Times New Roman" w:cs="Times New Roman"/>
          <w:bCs/>
          <w:sz w:val="28"/>
          <w:szCs w:val="28"/>
          <w:lang w:eastAsia="ru-RU"/>
        </w:rPr>
        <w:t>по приобретению материальных запасов – 102,8 тыс. рублей.</w:t>
      </w:r>
    </w:p>
    <w:p w14:paraId="2AD46AC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платежам в бюджеты, задолженность по налогу на доходы физических лиц составляет 1,8 тыс. рублей</w:t>
      </w:r>
      <w:r>
        <w:rPr>
          <w:rFonts w:ascii="Times New Roman" w:eastAsia="Times New Roman" w:hAnsi="Times New Roman" w:cs="Times New Roman"/>
          <w:bCs/>
          <w:sz w:val="28"/>
          <w:szCs w:val="28"/>
          <w:lang w:eastAsia="ru-RU"/>
        </w:rPr>
        <w:t xml:space="preserve">, </w:t>
      </w:r>
      <w:r w:rsidRPr="00885375">
        <w:rPr>
          <w:rFonts w:ascii="Times New Roman" w:eastAsia="Calibri" w:hAnsi="Times New Roman" w:cs="Times New Roman"/>
          <w:sz w:val="28"/>
          <w:szCs w:val="28"/>
        </w:rPr>
        <w:t>по страховым взносам на обязательное социальное страхование на случай временной нетрудоспособности и в связи с материнством</w:t>
      </w:r>
      <w:r w:rsidRPr="00885375">
        <w:rPr>
          <w:rFonts w:ascii="Times New Roman" w:eastAsia="Times New Roman" w:hAnsi="Times New Roman" w:cs="Times New Roman"/>
          <w:bCs/>
          <w:sz w:val="28"/>
          <w:szCs w:val="28"/>
          <w:lang w:eastAsia="ru-RU"/>
        </w:rPr>
        <w:t xml:space="preserve"> – 31,0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прочим платежам в бюджет – 60 615,2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р</w:t>
      </w:r>
      <w:r w:rsidRPr="00885375">
        <w:rPr>
          <w:rFonts w:ascii="Times New Roman" w:eastAsia="Calibri" w:hAnsi="Times New Roman" w:cs="Times New Roman"/>
          <w:sz w:val="28"/>
          <w:szCs w:val="28"/>
        </w:rPr>
        <w:t>асчеты по страховым взносам на обязательное медицинское страхование в Федеральный ФОМС – 25,4 тыс. рублей</w:t>
      </w:r>
      <w:r>
        <w:rPr>
          <w:rFonts w:ascii="Times New Roman" w:eastAsia="Calibri" w:hAnsi="Times New Roman" w:cs="Times New Roman"/>
          <w:sz w:val="28"/>
          <w:szCs w:val="28"/>
        </w:rPr>
        <w:t xml:space="preserve">, </w:t>
      </w:r>
      <w:r w:rsidRPr="00885375">
        <w:rPr>
          <w:rFonts w:ascii="Times New Roman" w:eastAsia="Calibri" w:hAnsi="Times New Roman" w:cs="Times New Roman"/>
          <w:sz w:val="28"/>
          <w:szCs w:val="28"/>
        </w:rPr>
        <w:t>расчеты по страховым взносам на обязательное пенсионное страхование на выплату страховой части трудовой пенсии – 97,7 тыс. рублей.</w:t>
      </w:r>
      <w:r w:rsidRPr="00885375">
        <w:rPr>
          <w:rFonts w:ascii="Times New Roman" w:eastAsia="Times New Roman" w:hAnsi="Times New Roman" w:cs="Times New Roman"/>
          <w:bCs/>
          <w:sz w:val="28"/>
          <w:szCs w:val="28"/>
          <w:lang w:eastAsia="ru-RU"/>
        </w:rPr>
        <w:t xml:space="preserve">  </w:t>
      </w:r>
    </w:p>
    <w:p w14:paraId="3210140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8) </w:t>
      </w:r>
      <w:r w:rsidRPr="00885375">
        <w:rPr>
          <w:rFonts w:ascii="Times New Roman" w:eastAsia="Times New Roman" w:hAnsi="Times New Roman" w:cs="Times New Roman"/>
          <w:sz w:val="28"/>
          <w:szCs w:val="28"/>
          <w:lang w:eastAsia="ru-RU"/>
        </w:rPr>
        <w:t>Министерство энергетики и жилищно-коммунального хозяйства Республики Дагестан – 39 979,7 тыс. рублей. По сравнению с задолженностью на начало года кредиторская задолженность уменьшилась на 19 170,6 тыс. рублей, или на 32,4</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w:t>
      </w:r>
    </w:p>
    <w:p w14:paraId="2DDD26F0"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Расчеты по принятым обязательствам в общем объеме кредиторской задолженности составляют 99,9%. Сумма указанной задолженности по сравнению с задолженностью на начало года уменьшилась на 19 156,7 тыс. рублей, или на 32,4</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 и составила 39 966,6 тыс. рублей, из них: </w:t>
      </w:r>
    </w:p>
    <w:p w14:paraId="182B893A"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по арендной плате за пользование имуществом – 169,3 тыс. рублей; </w:t>
      </w:r>
    </w:p>
    <w:p w14:paraId="593C26D9"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по приобретению основных средств – 39 748,8 тыс. рублей; </w:t>
      </w:r>
    </w:p>
    <w:p w14:paraId="73AB362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материальных запасов – 48,5 тыс. рублей.</w:t>
      </w:r>
    </w:p>
    <w:p w14:paraId="0A4AA3BC"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bCs/>
          <w:color w:val="002060"/>
          <w:sz w:val="28"/>
          <w:szCs w:val="28"/>
          <w:lang w:eastAsia="ru-RU"/>
        </w:rPr>
        <w:t xml:space="preserve">9) </w:t>
      </w:r>
      <w:r w:rsidRPr="00885375">
        <w:rPr>
          <w:rFonts w:ascii="Times New Roman" w:eastAsia="Times New Roman" w:hAnsi="Times New Roman" w:cs="Times New Roman"/>
          <w:sz w:val="28"/>
          <w:szCs w:val="28"/>
          <w:lang w:eastAsia="ru-RU"/>
        </w:rPr>
        <w:t xml:space="preserve">Министерство промышленности и торговли Республики Дагестан – 33 996,6 тыс. рублей. По сравнению с задолженностью на начало года кредиторская задолженность увеличилась на 7 677,8 тыс. рублей, или на 29,1%, в том числе: </w:t>
      </w:r>
    </w:p>
    <w:p w14:paraId="6C78241C"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задолженность по налогу на имущество организаций – 30 886,6 тыс. рублей (увеличилась на 7 672,2 тыс. рублей, или на 33,0%); </w:t>
      </w:r>
    </w:p>
    <w:p w14:paraId="580E2495" w14:textId="77777777" w:rsidR="00AC76BB" w:rsidRDefault="00AC76BB" w:rsidP="00AC76B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Pr="00885375">
        <w:rPr>
          <w:rFonts w:ascii="Times New Roman" w:eastAsia="Times New Roman" w:hAnsi="Times New Roman" w:cs="Times New Roman"/>
          <w:sz w:val="28"/>
          <w:szCs w:val="28"/>
          <w:lang w:eastAsia="ru-RU"/>
        </w:rPr>
        <w:t>р</w:t>
      </w:r>
      <w:r w:rsidRPr="00885375">
        <w:rPr>
          <w:rFonts w:ascii="Times New Roman" w:eastAsia="Calibri" w:hAnsi="Times New Roman" w:cs="Times New Roman"/>
          <w:sz w:val="28"/>
          <w:szCs w:val="28"/>
        </w:rPr>
        <w:t xml:space="preserve">асчеты по страховым взносам на обязательное пенсионное страхование на выплату страховой части трудовой пенсии – 37,1 тыс. рублей; </w:t>
      </w:r>
    </w:p>
    <w:p w14:paraId="319E3CE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Pr="00885375">
        <w:rPr>
          <w:rFonts w:ascii="Times New Roman" w:eastAsia="Calibri" w:hAnsi="Times New Roman" w:cs="Times New Roman"/>
          <w:sz w:val="28"/>
          <w:szCs w:val="28"/>
        </w:rPr>
        <w:t>расчеты по прочим платежам в бюджет – 3 072,9 тыс. рублей.</w:t>
      </w:r>
    </w:p>
    <w:p w14:paraId="1E922190"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color w:val="002060"/>
          <w:sz w:val="28"/>
          <w:szCs w:val="28"/>
          <w:lang w:eastAsia="ru-RU"/>
        </w:rPr>
        <w:t xml:space="preserve">10) </w:t>
      </w:r>
      <w:r w:rsidRPr="00885375">
        <w:rPr>
          <w:rFonts w:ascii="Times New Roman" w:eastAsia="Times New Roman" w:hAnsi="Times New Roman" w:cs="Times New Roman"/>
          <w:sz w:val="28"/>
          <w:szCs w:val="28"/>
          <w:lang w:eastAsia="ru-RU"/>
        </w:rPr>
        <w:t>Министерство цифрового развития Республики Дагестан – 2 307,8 тыс. рублей. По сравнению с началом года дебиторская задолженность увеличилась на 206,2 тыс. рублей, или на 9,8</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в том числе: </w:t>
      </w:r>
    </w:p>
    <w:p w14:paraId="671E5007"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с подотчетными лицами – 434,1 тыс. рублей (увеличилась на 22,2 тыс. рублей, или на 5,4%); </w:t>
      </w:r>
    </w:p>
    <w:p w14:paraId="10F0F7A9"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принятым обязательствам – 1 642,3 тыс. рублей (без изменения); </w:t>
      </w:r>
    </w:p>
    <w:p w14:paraId="0759BD14"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платежам в бюджеты – 231,5 тыс. рублей (уменьшилась на 184,1 тыс. рублей, или в 4,9 раза).</w:t>
      </w:r>
    </w:p>
    <w:p w14:paraId="18B761F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принятым обязательствам, кредиторская задолженность по услугам связи составляет 19,0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коммунальным услугам – 6,5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арендной плате за пользование имуществом – 33,2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работам, услугам по содержанию имущества – 2,4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прочим работам, услугам – 1 515,3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основных средств – 18,0 тыс. рублей</w:t>
      </w:r>
      <w:r>
        <w:rPr>
          <w:rFonts w:ascii="Times New Roman" w:eastAsia="Times New Roman" w:hAnsi="Times New Roman" w:cs="Times New Roman"/>
          <w:bCs/>
          <w:sz w:val="28"/>
          <w:szCs w:val="28"/>
          <w:lang w:eastAsia="ru-RU"/>
        </w:rPr>
        <w:t xml:space="preserve"> и </w:t>
      </w:r>
      <w:r w:rsidRPr="00885375">
        <w:rPr>
          <w:rFonts w:ascii="Times New Roman" w:eastAsia="Times New Roman" w:hAnsi="Times New Roman" w:cs="Times New Roman"/>
          <w:bCs/>
          <w:sz w:val="28"/>
          <w:szCs w:val="28"/>
          <w:lang w:eastAsia="ru-RU"/>
        </w:rPr>
        <w:t>по приобретению материальных запасов – 47,9 тыс. рублей.</w:t>
      </w:r>
    </w:p>
    <w:p w14:paraId="4E35EEF6"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5375">
        <w:rPr>
          <w:rFonts w:ascii="Times New Roman" w:eastAsia="Times New Roman" w:hAnsi="Times New Roman" w:cs="Times New Roman"/>
          <w:b/>
          <w:color w:val="002060"/>
          <w:sz w:val="28"/>
          <w:szCs w:val="28"/>
          <w:lang w:eastAsia="ru-RU"/>
        </w:rPr>
        <w:t xml:space="preserve">11) </w:t>
      </w:r>
      <w:r w:rsidRPr="00885375">
        <w:rPr>
          <w:rFonts w:ascii="Times New Roman" w:eastAsia="Times New Roman" w:hAnsi="Times New Roman" w:cs="Times New Roman"/>
          <w:sz w:val="28"/>
          <w:szCs w:val="28"/>
          <w:lang w:eastAsia="ru-RU"/>
        </w:rPr>
        <w:t xml:space="preserve">Министерство здравоохранения Республики Дагестан – 19 052,9 тыс. рублей. По сравнению с задолженностью на начало года кредиторская задолженность уменьшилась на 68 047,3 тыс. рублей, или в 4,5 раза, в том числе: </w:t>
      </w:r>
    </w:p>
    <w:p w14:paraId="061D2FFB"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с подотчетными лицами – 3,2 тыс. рублей (увеличилась на 2,6 тыс. рублей); </w:t>
      </w:r>
    </w:p>
    <w:p w14:paraId="28C67724" w14:textId="77777777" w:rsidR="00AC76BB"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расчеты по принятым обязательствам – 12 614,8 тыс. рублей (уменьшилась на 67 179,3 тыс. рублей); </w:t>
      </w:r>
    </w:p>
    <w:p w14:paraId="60D57A7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расчеты по платежам в бюджеты – 6 434,9 тыс. рублей (увеличилась на 538,7 тыс. рублей, или на 7,7</w:t>
      </w:r>
      <w:r>
        <w:rPr>
          <w:rFonts w:ascii="Times New Roman" w:eastAsia="Times New Roman" w:hAnsi="Times New Roman" w:cs="Times New Roman"/>
          <w:sz w:val="28"/>
          <w:szCs w:val="28"/>
          <w:lang w:eastAsia="ru-RU"/>
        </w:rPr>
        <w:t xml:space="preserve"> </w:t>
      </w:r>
      <w:r w:rsidRPr="00885375">
        <w:rPr>
          <w:rFonts w:ascii="Times New Roman" w:eastAsia="Times New Roman" w:hAnsi="Times New Roman" w:cs="Times New Roman"/>
          <w:sz w:val="28"/>
          <w:szCs w:val="28"/>
          <w:lang w:eastAsia="ru-RU"/>
        </w:rPr>
        <w:t xml:space="preserve">%). </w:t>
      </w:r>
    </w:p>
    <w:p w14:paraId="78C71D2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общего объема кредиторской задолженности по принятым обязательствам, кредиторская задолженность по транспортным услугам составляет 30,3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коммунальным услугам – 16,7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работам, услугам по содержанию имущества – 1 291,2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прочим работам, услугам – 234,7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основных средств – 10 931,6 тыс. рублей</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по приобретению материальных запасов – 110,3 тыс. рублей.</w:t>
      </w:r>
    </w:p>
    <w:p w14:paraId="09B5AAA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002060"/>
          <w:sz w:val="28"/>
          <w:szCs w:val="28"/>
          <w:lang w:eastAsia="ru-RU"/>
        </w:rPr>
        <w:t>4.6.3</w:t>
      </w:r>
      <w:r w:rsidRPr="00885375">
        <w:rPr>
          <w:rFonts w:ascii="Times New Roman" w:eastAsia="Times New Roman" w:hAnsi="Times New Roman" w:cs="Times New Roman"/>
          <w:b/>
          <w:color w:val="002060"/>
          <w:sz w:val="28"/>
          <w:szCs w:val="28"/>
          <w:lang w:eastAsia="ru-RU"/>
        </w:rPr>
        <w:t xml:space="preserve">. </w:t>
      </w:r>
      <w:r w:rsidRPr="00885375">
        <w:rPr>
          <w:rFonts w:ascii="Times New Roman" w:eastAsia="Times New Roman" w:hAnsi="Times New Roman" w:cs="Times New Roman"/>
          <w:sz w:val="28"/>
          <w:szCs w:val="28"/>
          <w:lang w:eastAsia="ru-RU"/>
        </w:rPr>
        <w:t>На балансе государственных бюджетных и автономных учреждений Республики Дагестан, подведомственных главным распорядителям бюджетных средств, по состоянию на 1 января 2021 года значилась дебиторская задолженность в</w:t>
      </w:r>
      <w:r w:rsidRPr="00885375">
        <w:rPr>
          <w:rFonts w:ascii="Times New Roman" w:eastAsia="Times New Roman" w:hAnsi="Times New Roman" w:cs="Times New Roman"/>
          <w:bCs/>
          <w:sz w:val="28"/>
          <w:szCs w:val="28"/>
          <w:lang w:eastAsia="ru-RU"/>
        </w:rPr>
        <w:t xml:space="preserve"> общей сумме 2 790 939,3 тыс. рублей, в том числе по счетам бюджетного учета:</w:t>
      </w:r>
    </w:p>
    <w:p w14:paraId="195F669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доходам – 2 330 327,6 тыс. рублей;</w:t>
      </w:r>
    </w:p>
    <w:p w14:paraId="7BF0482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выданным авансам – 170 067,4 тыс. рублей;</w:t>
      </w:r>
    </w:p>
    <w:p w14:paraId="4C0C3BE8"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с подотчетными лицами – 11 896,7 тыс. рублей; </w:t>
      </w:r>
    </w:p>
    <w:p w14:paraId="0C63215B"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lastRenderedPageBreak/>
        <w:t>- расчеты по ущербу и иным доходам – 88 888,0 тыс. рублей;</w:t>
      </w:r>
    </w:p>
    <w:p w14:paraId="52034D04"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прочие расчеты с дебиторами – 12 121,5 тыс. рублей; </w:t>
      </w:r>
    </w:p>
    <w:p w14:paraId="63AE6BB1"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платежам в бюджеты – 177 638,1 тыс. рублей.</w:t>
      </w:r>
    </w:p>
    <w:p w14:paraId="35664BF4"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В течение 2021 года дебиторская задолженность в целом уменьшилась на 780 919,6 тыс. рублей и </w:t>
      </w:r>
      <w:r w:rsidRPr="00885375">
        <w:rPr>
          <w:rFonts w:ascii="Times New Roman" w:eastAsia="Times New Roman" w:hAnsi="Times New Roman" w:cs="Times New Roman"/>
          <w:sz w:val="28"/>
          <w:szCs w:val="20"/>
          <w:lang w:eastAsia="ru-RU"/>
        </w:rPr>
        <w:t>на 1 января 2022 года</w:t>
      </w:r>
      <w:r w:rsidRPr="00885375">
        <w:rPr>
          <w:rFonts w:ascii="Times New Roman" w:eastAsia="Times New Roman" w:hAnsi="Times New Roman" w:cs="Times New Roman"/>
          <w:bCs/>
          <w:sz w:val="28"/>
          <w:szCs w:val="28"/>
          <w:lang w:eastAsia="ru-RU"/>
        </w:rPr>
        <w:t xml:space="preserve"> составила 2 010 019,7 тыс. рублей, в том числе по счетам бюджетного учета: </w:t>
      </w:r>
    </w:p>
    <w:p w14:paraId="307CA3A3"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доходам – 1 615 761,3 тыс. рублей (уменьшилась на 714 566,3 тыс. рублей, или на 30,7</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389E6F72"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выданным авансам – 140 476,8 тыс. рублей (уменьшилась на 29 590,6 тыс. рублей, или на 17,4</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312629FA"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с подотчетными лицами – 13 197,8 тыс. рублей (увеличилась на 1 301,1 тыс. рублей, или на 10,9</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 </w:t>
      </w:r>
    </w:p>
    <w:p w14:paraId="20253330"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ущербу и иным доходам – 89 009,7 тыс. рублей (увеличилась на 121,7 тыс. рублей, или на 0,1</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4E298A55"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прочие расчеты с дебиторами – 13 088,1 тыс. рублей (увеличилась на 966,6 тыс. рублей, или на 8,0%); </w:t>
      </w:r>
    </w:p>
    <w:p w14:paraId="2AACCD2D"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платежам в бюджеты – 138 486,0 тыс. рублей (уменьшилась на 39 152,1 тыс. рублей, или на 22,0</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4247F936"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Из общей суммы дебиторской задолженности на 1 января 2022 года по бюджетным и автономным учреждениям дебиторская задолженность по субсидиям на выполнение государственного задания составляет 35 133,1 тыс. рублей, или 1,7</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от общей суммы задолженности (по сравнению с началом 2021 года указанная задолженность уменьшилась на 30 317,4 тыс. рублей, или на 46,3%), по субсидиям на иные цели – 102 899,7 тыс. рублей, или 10,4</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(уменьшилась на 210 612,9 тыс. рублей, или на 67,2%), по собственным доходам учреждений – 1 009 035,9 тыс. рублей, или 50,3</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(уменьшилась на 36 828,3 тыс. рублей, или на 3,5</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по средствам на обязательное медицинское страхование – 862 951,0 тыс. рублей, или 42,9</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(уменьшилась на 503 144,3 тыс. рублей, или на 36,8</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5E30597E"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b/>
          <w:color w:val="002060"/>
          <w:sz w:val="28"/>
          <w:szCs w:val="28"/>
          <w:lang w:eastAsia="ru-RU"/>
        </w:rPr>
        <w:t>4.6.4.</w:t>
      </w:r>
      <w:r w:rsidRPr="00885375">
        <w:rPr>
          <w:rFonts w:ascii="Times New Roman" w:eastAsia="Times New Roman" w:hAnsi="Times New Roman" w:cs="Times New Roman"/>
          <w:b/>
          <w:color w:val="002060"/>
          <w:sz w:val="28"/>
          <w:szCs w:val="28"/>
          <w:lang w:eastAsia="ru-RU"/>
        </w:rPr>
        <w:t xml:space="preserve"> </w:t>
      </w:r>
      <w:r w:rsidRPr="00885375">
        <w:rPr>
          <w:rFonts w:ascii="Times New Roman" w:eastAsia="Times New Roman" w:hAnsi="Times New Roman" w:cs="Times New Roman"/>
          <w:bCs/>
          <w:sz w:val="28"/>
          <w:szCs w:val="28"/>
          <w:lang w:eastAsia="ru-RU"/>
        </w:rPr>
        <w:t>Общая сумма кредиторской задолженности по бюджетным и автономным учреждениям, подведомственным главным распорядителям бюджетных средств, на 1 января 2021 года значилась в объеме 3 707 483,3</w:t>
      </w:r>
      <w:r w:rsidRPr="00885375">
        <w:rPr>
          <w:rFonts w:ascii="Times New Roman" w:eastAsia="Times New Roman" w:hAnsi="Times New Roman" w:cs="Times New Roman"/>
          <w:sz w:val="28"/>
          <w:szCs w:val="20"/>
          <w:lang w:eastAsia="ru-RU"/>
        </w:rPr>
        <w:t xml:space="preserve"> тыс. рублей, в том числе </w:t>
      </w:r>
      <w:r w:rsidRPr="00885375">
        <w:rPr>
          <w:rFonts w:ascii="Times New Roman" w:eastAsia="Times New Roman" w:hAnsi="Times New Roman" w:cs="Times New Roman"/>
          <w:bCs/>
          <w:sz w:val="28"/>
          <w:szCs w:val="28"/>
          <w:lang w:eastAsia="ru-RU"/>
        </w:rPr>
        <w:t>по счетам бюджетного учета</w:t>
      </w:r>
      <w:r w:rsidRPr="00885375">
        <w:rPr>
          <w:rFonts w:ascii="Times New Roman" w:eastAsia="Times New Roman" w:hAnsi="Times New Roman" w:cs="Times New Roman"/>
          <w:sz w:val="28"/>
          <w:szCs w:val="20"/>
          <w:lang w:eastAsia="ru-RU"/>
        </w:rPr>
        <w:t>:</w:t>
      </w:r>
    </w:p>
    <w:p w14:paraId="7FE61E8C"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доходам – 1 260 260,8 тыс. рублей;</w:t>
      </w:r>
    </w:p>
    <w:p w14:paraId="3A2ED0A7"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расчеты с подотчетными лицами – 23 928,1 тыс. рублей; </w:t>
      </w:r>
    </w:p>
    <w:p w14:paraId="310770C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ущербу и иным доходам – 518,6 тыс. рублей;</w:t>
      </w:r>
    </w:p>
    <w:p w14:paraId="057F7C63"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прочие расчеты с дебиторами – 383,9 тыс. рублей; </w:t>
      </w:r>
    </w:p>
    <w:p w14:paraId="06D38483"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принятым обязательствам – 1 732 838,0 тыс. рублей;</w:t>
      </w:r>
    </w:p>
    <w:p w14:paraId="7B8F3EF2"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платежам в бюджеты – 676 672,6 тыс. рублей;</w:t>
      </w:r>
    </w:p>
    <w:p w14:paraId="416ED44F"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 прочие расчеты с кредиторами – 12 881,3 тыс. рублей. </w:t>
      </w:r>
    </w:p>
    <w:p w14:paraId="53D3A10E"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0"/>
          <w:lang w:eastAsia="ru-RU"/>
        </w:rPr>
      </w:pPr>
      <w:r w:rsidRPr="00885375">
        <w:rPr>
          <w:rFonts w:ascii="Times New Roman" w:eastAsia="Times New Roman" w:hAnsi="Times New Roman" w:cs="Times New Roman"/>
          <w:sz w:val="28"/>
          <w:szCs w:val="20"/>
          <w:lang w:eastAsia="ru-RU"/>
        </w:rPr>
        <w:t xml:space="preserve">В течение 2021 года общая сумма кредиторской задолженности </w:t>
      </w:r>
      <w:r w:rsidRPr="00885375">
        <w:rPr>
          <w:rFonts w:ascii="Times New Roman" w:eastAsia="Times New Roman" w:hAnsi="Times New Roman" w:cs="Times New Roman"/>
          <w:bCs/>
          <w:sz w:val="28"/>
          <w:szCs w:val="28"/>
          <w:lang w:eastAsia="ru-RU"/>
        </w:rPr>
        <w:t>по бюджетным и автономным учреждениям в целом уменьшилась на 725 905,4</w:t>
      </w:r>
      <w:r w:rsidRPr="00885375">
        <w:rPr>
          <w:rFonts w:ascii="Times New Roman" w:eastAsia="Times New Roman" w:hAnsi="Times New Roman" w:cs="Times New Roman"/>
          <w:sz w:val="28"/>
          <w:szCs w:val="20"/>
          <w:lang w:eastAsia="ru-RU"/>
        </w:rPr>
        <w:t xml:space="preserve"> тыс. рублей, или на 19,5</w:t>
      </w:r>
      <w:r>
        <w:rPr>
          <w:rFonts w:ascii="Times New Roman" w:eastAsia="Times New Roman" w:hAnsi="Times New Roman" w:cs="Times New Roman"/>
          <w:sz w:val="28"/>
          <w:szCs w:val="20"/>
          <w:lang w:eastAsia="ru-RU"/>
        </w:rPr>
        <w:t xml:space="preserve"> </w:t>
      </w:r>
      <w:r w:rsidRPr="00885375">
        <w:rPr>
          <w:rFonts w:ascii="Times New Roman" w:eastAsia="Times New Roman" w:hAnsi="Times New Roman" w:cs="Times New Roman"/>
          <w:sz w:val="28"/>
          <w:szCs w:val="20"/>
          <w:lang w:eastAsia="ru-RU"/>
        </w:rPr>
        <w:t xml:space="preserve">% и на 1 января 2022 года составила 2 981 577,9 тыс. </w:t>
      </w:r>
      <w:r w:rsidRPr="00885375">
        <w:rPr>
          <w:rFonts w:ascii="Times New Roman" w:eastAsia="Times New Roman" w:hAnsi="Times New Roman" w:cs="Times New Roman"/>
          <w:sz w:val="28"/>
          <w:szCs w:val="20"/>
          <w:lang w:eastAsia="ru-RU"/>
        </w:rPr>
        <w:lastRenderedPageBreak/>
        <w:t xml:space="preserve">рублей, в том числе </w:t>
      </w:r>
      <w:r w:rsidRPr="00885375">
        <w:rPr>
          <w:rFonts w:ascii="Times New Roman" w:eastAsia="Times New Roman" w:hAnsi="Times New Roman" w:cs="Times New Roman"/>
          <w:bCs/>
          <w:sz w:val="28"/>
          <w:szCs w:val="28"/>
          <w:lang w:eastAsia="ru-RU"/>
        </w:rPr>
        <w:t>по счетам бюджетного учета</w:t>
      </w:r>
      <w:r w:rsidRPr="00885375">
        <w:rPr>
          <w:rFonts w:ascii="Times New Roman" w:eastAsia="Times New Roman" w:hAnsi="Times New Roman" w:cs="Times New Roman"/>
          <w:sz w:val="28"/>
          <w:szCs w:val="20"/>
          <w:lang w:eastAsia="ru-RU"/>
        </w:rPr>
        <w:t>:</w:t>
      </w:r>
    </w:p>
    <w:p w14:paraId="78D6856D"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доходам – 827 693,9 тыс. рублей (уменьшилась на 432 566,9 тыс. рублей, или на 34,3</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58C9A3A7" w14:textId="77777777" w:rsidR="00AC76BB" w:rsidRPr="00885375" w:rsidRDefault="00AC76BB" w:rsidP="00AC76BB">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с подотчетными лицами – 21 362,6 тыс. рублей (уменьшилась на 2 565,5 тыс. рублей, или на 10,7</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 </w:t>
      </w:r>
    </w:p>
    <w:p w14:paraId="4A981DA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ущербу и иным доходам – 68,4 тыс. рублей (уменьшилась на 450,2 тыс. рублей, или в 7,6 раза);</w:t>
      </w:r>
    </w:p>
    <w:p w14:paraId="48B65D4B"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прочие расчеты с дебиторами – 367,7 тыс. рублей (уменьшилась на 16,2 тыс. рублей, или на 4,2</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1725E6FB"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принятым обязательствам – 1 600 362,8 тыс. рублей (уменьшилась на 132 475,2 тыс. рублей, или на 7,6</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241AF1C5"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расчеты по платежам в бюджеты – 517 818,6 тыс. рублей (уменьшилась на 158 854,0 тыс. рублей, или на 23,5</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38B9CA17"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прочие расчеты с кредиторами – 13 903,9 тыс. рублей (увеличилась на 1 022,6 тыс. рублей, или на 7,9</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4A8A9EAF" w14:textId="77777777" w:rsidR="00AC76BB" w:rsidRPr="00885375" w:rsidRDefault="00AC76BB" w:rsidP="00AC76B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5375">
        <w:rPr>
          <w:rFonts w:ascii="Times New Roman" w:eastAsia="Times New Roman" w:hAnsi="Times New Roman" w:cs="Times New Roman"/>
          <w:bCs/>
          <w:sz w:val="28"/>
          <w:szCs w:val="28"/>
          <w:lang w:eastAsia="ru-RU"/>
        </w:rPr>
        <w:t xml:space="preserve">Из общей суммы кредиторской задолженности на 1 января 2022 года по бюджетным и автономным учреждениям кредиторская задолженность по собственным доходам учреждений составляет 269 432,0 тыс. рублей, или </w:t>
      </w:r>
      <w:r>
        <w:rPr>
          <w:rFonts w:ascii="Times New Roman" w:eastAsia="Times New Roman" w:hAnsi="Times New Roman" w:cs="Times New Roman"/>
          <w:bCs/>
          <w:sz w:val="28"/>
          <w:szCs w:val="28"/>
          <w:lang w:eastAsia="ru-RU"/>
        </w:rPr>
        <w:br/>
      </w:r>
      <w:r w:rsidRPr="00885375">
        <w:rPr>
          <w:rFonts w:ascii="Times New Roman" w:eastAsia="Times New Roman" w:hAnsi="Times New Roman" w:cs="Times New Roman"/>
          <w:bCs/>
          <w:sz w:val="28"/>
          <w:szCs w:val="28"/>
          <w:lang w:eastAsia="ru-RU"/>
        </w:rPr>
        <w:t>9,0</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 от общей суммы задолженности (по сравнению с началом 2021 года указанная задолженность уменьшилась на 49 416,8 тыс. рублей, или на </w:t>
      </w:r>
      <w:r>
        <w:rPr>
          <w:rFonts w:ascii="Times New Roman" w:eastAsia="Times New Roman" w:hAnsi="Times New Roman" w:cs="Times New Roman"/>
          <w:bCs/>
          <w:sz w:val="28"/>
          <w:szCs w:val="28"/>
          <w:lang w:eastAsia="ru-RU"/>
        </w:rPr>
        <w:br/>
      </w:r>
      <w:r w:rsidRPr="00885375">
        <w:rPr>
          <w:rFonts w:ascii="Times New Roman" w:eastAsia="Times New Roman" w:hAnsi="Times New Roman" w:cs="Times New Roman"/>
          <w:bCs/>
          <w:sz w:val="28"/>
          <w:szCs w:val="28"/>
          <w:lang w:eastAsia="ru-RU"/>
        </w:rPr>
        <w:t>15,5</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по субсидиям на выполнение государственного задания – 134 660,3 тыс. рублей, или 4,5</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(по сравнению с началом 2021 года указанная задолженность уменьшилась на 53 192,0 тыс. рублей, или на 28,3</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br/>
        <w:t>по субсидиям на иные цели – 193 739,5 тыс. рублей, или 6,5</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(уменьшилась на 552 289,1 тыс. рублей, или в 3,8 раза), по средствам на обязательное медицинское страхование – 2 383 746,1 тыс. рублей, или 80,0</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 (уменьшилась на 71 007,5 тыс. рублей, или на 2,9</w:t>
      </w:r>
      <w:r>
        <w:rPr>
          <w:rFonts w:ascii="Times New Roman" w:eastAsia="Times New Roman" w:hAnsi="Times New Roman" w:cs="Times New Roman"/>
          <w:bCs/>
          <w:sz w:val="28"/>
          <w:szCs w:val="28"/>
          <w:lang w:eastAsia="ru-RU"/>
        </w:rPr>
        <w:t xml:space="preserve"> </w:t>
      </w:r>
      <w:r w:rsidRPr="00885375">
        <w:rPr>
          <w:rFonts w:ascii="Times New Roman" w:eastAsia="Times New Roman" w:hAnsi="Times New Roman" w:cs="Times New Roman"/>
          <w:bCs/>
          <w:sz w:val="28"/>
          <w:szCs w:val="28"/>
          <w:lang w:eastAsia="ru-RU"/>
        </w:rPr>
        <w:t>%).</w:t>
      </w:r>
    </w:p>
    <w:p w14:paraId="06D0726E" w14:textId="05C2A308"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6F51ECF" w14:textId="17A8A793" w:rsidR="00AC76BB" w:rsidRDefault="00AC76BB"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C317E01" w14:textId="51BBD0C4"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D44D854" w14:textId="452BE249"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F94E735" w14:textId="4E76AA2E"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96B7CF4" w14:textId="6BA5791A"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623B9D4" w14:textId="639CDCB2"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3CB7AF9" w14:textId="003961ED"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46E6ECE" w14:textId="0B9DA70A"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A1DD019" w14:textId="24C52208"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9B7434E" w14:textId="469DDC3B"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116958E" w14:textId="4A74456C"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9981C18" w14:textId="0B7AB916"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E1B37D6" w14:textId="753A0B71"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ED5F43F" w14:textId="0107FB05"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A359209" w14:textId="643024FB"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0135E79" w14:textId="77777777" w:rsidR="0053266A" w:rsidRPr="0053266A" w:rsidRDefault="0053266A" w:rsidP="0053266A">
      <w:pPr>
        <w:widowControl w:val="0"/>
        <w:autoSpaceDE w:val="0"/>
        <w:autoSpaceDN w:val="0"/>
        <w:adjustRightInd w:val="0"/>
        <w:spacing w:after="0" w:line="240" w:lineRule="auto"/>
        <w:contextualSpacing/>
        <w:jc w:val="center"/>
        <w:rPr>
          <w:rFonts w:ascii="Times New Roman" w:eastAsia="Times New Roman" w:hAnsi="Times New Roman" w:cs="Times New Roman"/>
          <w:b/>
          <w:color w:val="002060"/>
          <w:sz w:val="28"/>
          <w:szCs w:val="28"/>
          <w:lang w:eastAsia="ru-RU"/>
        </w:rPr>
      </w:pPr>
      <w:r w:rsidRPr="0053266A">
        <w:rPr>
          <w:rFonts w:ascii="Times New Roman" w:eastAsia="Times New Roman" w:hAnsi="Times New Roman" w:cs="Times New Roman"/>
          <w:b/>
          <w:color w:val="002060"/>
          <w:sz w:val="28"/>
          <w:szCs w:val="28"/>
          <w:lang w:eastAsia="ru-RU"/>
        </w:rPr>
        <w:lastRenderedPageBreak/>
        <w:t xml:space="preserve">4.7. Предоставление кредитов юридическим лицам </w:t>
      </w:r>
      <w:r w:rsidRPr="0053266A">
        <w:rPr>
          <w:rFonts w:ascii="Times New Roman" w:eastAsia="Times New Roman" w:hAnsi="Times New Roman" w:cs="Times New Roman"/>
          <w:b/>
          <w:color w:val="002060"/>
          <w:sz w:val="28"/>
          <w:szCs w:val="28"/>
          <w:lang w:eastAsia="ru-RU"/>
        </w:rPr>
        <w:br/>
        <w:t>и муниципальным образованиям, своевременность их возврата</w:t>
      </w:r>
    </w:p>
    <w:p w14:paraId="421C19EE" w14:textId="77777777" w:rsidR="0053266A" w:rsidRPr="0053266A" w:rsidRDefault="0053266A" w:rsidP="0053266A">
      <w:pPr>
        <w:autoSpaceDE w:val="0"/>
        <w:autoSpaceDN w:val="0"/>
        <w:adjustRightInd w:val="0"/>
        <w:spacing w:after="0" w:line="240" w:lineRule="auto"/>
        <w:ind w:firstLine="709"/>
        <w:contextualSpacing/>
        <w:jc w:val="both"/>
        <w:rPr>
          <w:rFonts w:ascii="Times New Roman" w:hAnsi="Times New Roman"/>
          <w:iCs/>
          <w:color w:val="000000"/>
          <w:sz w:val="28"/>
          <w:szCs w:val="28"/>
          <w:lang w:eastAsia="ru-RU"/>
        </w:rPr>
      </w:pPr>
    </w:p>
    <w:p w14:paraId="4B1B8E5C" w14:textId="77777777" w:rsidR="0053266A" w:rsidRPr="0053266A" w:rsidRDefault="0053266A" w:rsidP="0053266A">
      <w:pPr>
        <w:autoSpaceDE w:val="0"/>
        <w:autoSpaceDN w:val="0"/>
        <w:adjustRightInd w:val="0"/>
        <w:spacing w:after="0" w:line="240" w:lineRule="auto"/>
        <w:ind w:firstLine="709"/>
        <w:contextualSpacing/>
        <w:jc w:val="both"/>
        <w:rPr>
          <w:rFonts w:ascii="Times New Roman" w:hAnsi="Times New Roman"/>
          <w:iCs/>
          <w:color w:val="000000"/>
          <w:sz w:val="28"/>
          <w:szCs w:val="28"/>
          <w:lang w:eastAsia="ru-RU"/>
        </w:rPr>
      </w:pPr>
      <w:r w:rsidRPr="0053266A">
        <w:rPr>
          <w:rFonts w:ascii="Times New Roman" w:hAnsi="Times New Roman"/>
          <w:iCs/>
          <w:color w:val="000000"/>
          <w:sz w:val="28"/>
          <w:szCs w:val="28"/>
          <w:lang w:eastAsia="ru-RU"/>
        </w:rPr>
        <w:t>По состоянию на 1 января 2021 года задолженность муниципальных образований и юридических лиц по предоставленным из республиканского бюджета Республики Дагестан кредитам составляла 2 999 839,8 тыс. рублей, в том числе:</w:t>
      </w:r>
    </w:p>
    <w:p w14:paraId="7B314386"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hAnsi="Times New Roman"/>
          <w:iCs/>
          <w:color w:val="000000"/>
          <w:sz w:val="28"/>
          <w:szCs w:val="28"/>
          <w:lang w:eastAsia="ru-RU"/>
        </w:rPr>
      </w:pPr>
      <w:r w:rsidRPr="0053266A">
        <w:rPr>
          <w:rFonts w:ascii="Times New Roman" w:hAnsi="Times New Roman"/>
          <w:iCs/>
          <w:color w:val="000000"/>
          <w:sz w:val="28"/>
          <w:szCs w:val="28"/>
          <w:lang w:eastAsia="ru-RU"/>
        </w:rPr>
        <w:t xml:space="preserve">- по бюджетным кредитам, выданным муниципальным образованиям на обеспечение исполнения иных бюджетных обязательств по вопросам местного значения – </w:t>
      </w:r>
      <w:r w:rsidRPr="0053266A">
        <w:rPr>
          <w:rFonts w:ascii="Times New Roman" w:hAnsi="Times New Roman"/>
          <w:sz w:val="28"/>
          <w:szCs w:val="28"/>
          <w:lang w:eastAsia="ru-RU"/>
        </w:rPr>
        <w:t>2 470 346,1</w:t>
      </w:r>
      <w:r w:rsidRPr="0053266A">
        <w:rPr>
          <w:rFonts w:ascii="Arial" w:hAnsi="Arial"/>
          <w:sz w:val="28"/>
          <w:szCs w:val="28"/>
          <w:lang w:eastAsia="ru-RU"/>
        </w:rPr>
        <w:t xml:space="preserve"> </w:t>
      </w:r>
      <w:r w:rsidRPr="0053266A">
        <w:rPr>
          <w:rFonts w:ascii="Times New Roman" w:hAnsi="Times New Roman"/>
          <w:iCs/>
          <w:color w:val="000000"/>
          <w:sz w:val="28"/>
          <w:szCs w:val="28"/>
          <w:lang w:eastAsia="ru-RU"/>
        </w:rPr>
        <w:t>тыс. рублей;</w:t>
      </w:r>
    </w:p>
    <w:p w14:paraId="2BF85F4C"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53266A">
        <w:rPr>
          <w:rFonts w:ascii="Times New Roman" w:hAnsi="Times New Roman"/>
          <w:iCs/>
          <w:color w:val="000000"/>
          <w:sz w:val="28"/>
          <w:szCs w:val="28"/>
          <w:lang w:eastAsia="ru-RU"/>
        </w:rPr>
        <w:t>- по кредитам, ранее предоставленным юридическим лицам – 529 493,7 тыс. рублей, из них: по кредитам, включенным в постановление Правительства Республики Дагестан от 31 августа 2000 года № 160 «О мерах по обеспечению возврата бюджетных средств, выделенных предприятиям и организациям Республики Дагестан» – 88 806,5 тыс. рублей; по кредитам Бюджета развития Республики Дагестан – 97 522,1 тыс. рублей; по средствам, выделенным Комитету по развитию малого и среднего предпринимательства Республики Дагестан – 33 888,1 тыс. рублей; лизинговые платежи – 46 083,5 тыс. рублей;</w:t>
      </w:r>
      <w:r w:rsidRPr="0053266A">
        <w:rPr>
          <w:rFonts w:ascii="Times New Roman" w:hAnsi="Times New Roman"/>
          <w:iCs/>
          <w:sz w:val="28"/>
          <w:szCs w:val="28"/>
          <w:lang w:eastAsia="ru-RU"/>
        </w:rPr>
        <w:t xml:space="preserve"> по кредитам Фонда поддержки малого предпринимательства Республики Дагестан (1993 год) – 2 667,1 тыс. рублей; по инвестиционным кредитам 71 518,7 тыс. рублей; средства от реализации гуманитарной помощи – 61 523,0 тыс. рублей; по кредитам, выданным предприятиям и организациям Республики Дагестан – 127 484,8 тыс. рублей.</w:t>
      </w:r>
    </w:p>
    <w:p w14:paraId="726CA493" w14:textId="77777777" w:rsidR="0053266A" w:rsidRPr="0053266A" w:rsidRDefault="0053266A" w:rsidP="0053266A">
      <w:pPr>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53266A">
        <w:rPr>
          <w:rFonts w:ascii="Times New Roman" w:hAnsi="Times New Roman"/>
          <w:iCs/>
          <w:sz w:val="28"/>
          <w:szCs w:val="28"/>
          <w:lang w:eastAsia="ru-RU"/>
        </w:rPr>
        <w:t>В течение 2021 года погашено бюджетных кредитов с учетом начисленных процентов на общую сумму 100 149,5 тыс. рублей, в том числе:</w:t>
      </w:r>
    </w:p>
    <w:p w14:paraId="4CF27D8F" w14:textId="77777777" w:rsidR="0053266A" w:rsidRPr="0053266A" w:rsidRDefault="0053266A" w:rsidP="0053266A">
      <w:pPr>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53266A">
        <w:rPr>
          <w:rFonts w:ascii="Times New Roman" w:hAnsi="Times New Roman"/>
          <w:iCs/>
          <w:sz w:val="28"/>
          <w:szCs w:val="28"/>
          <w:lang w:eastAsia="ru-RU"/>
        </w:rPr>
        <w:t>- по кредитам, выданным предприятиям и организациям Республики Дагестан – 3 042,1 тыс. рублей, в том числе: сумма основного долга – 3 041,9 тыс. рублей; проценты за пользование кредитами – 0,2 тыс. рублей;</w:t>
      </w:r>
    </w:p>
    <w:p w14:paraId="0DC7AEFE" w14:textId="77777777" w:rsidR="0053266A" w:rsidRPr="0053266A" w:rsidRDefault="0053266A" w:rsidP="0053266A">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53266A">
        <w:rPr>
          <w:rFonts w:ascii="Times New Roman" w:hAnsi="Times New Roman"/>
          <w:sz w:val="28"/>
          <w:szCs w:val="28"/>
          <w:lang w:eastAsia="ru-RU"/>
        </w:rPr>
        <w:t xml:space="preserve">- по бюджетным кредитам, предоставленным муниципальным образованиям на обеспечение исполнения иных бюджетных обязательств по вопросам местного значения – 97 107,4 тыс. рублей, том числе: основной долг – </w:t>
      </w:r>
      <w:r w:rsidRPr="0053266A">
        <w:rPr>
          <w:rFonts w:ascii="Times New Roman" w:hAnsi="Times New Roman"/>
          <w:iCs/>
          <w:sz w:val="28"/>
          <w:szCs w:val="28"/>
          <w:lang w:eastAsia="ru-RU"/>
        </w:rPr>
        <w:t xml:space="preserve">96 008,6 </w:t>
      </w:r>
      <w:r w:rsidRPr="0053266A">
        <w:rPr>
          <w:rFonts w:ascii="Times New Roman" w:hAnsi="Times New Roman"/>
          <w:sz w:val="28"/>
          <w:szCs w:val="28"/>
          <w:lang w:eastAsia="ru-RU"/>
        </w:rPr>
        <w:t xml:space="preserve">тыс. рублей, проценты за пользование кредитами – 1 098,8 тыс. рублей. </w:t>
      </w:r>
    </w:p>
    <w:p w14:paraId="40910A29" w14:textId="77777777" w:rsidR="0053266A" w:rsidRPr="0053266A" w:rsidRDefault="0053266A" w:rsidP="0053266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Статьей 10 Закона Республики Дагестан «О республиканском бюджете Республики Дагестан на 2021 год и на плановый период 2022 и 2023 годов» установлено, что в 2021 году бюджетные кредиты местным бюджетам предоставляются из республиканского бюджета Республики Дагестан в пределах общего объема бюджетных ассигнований, предусмотренных по источникам финансирования дефицита республиканского бюджета Республики Дагестан на эти цели, в сумме 100 000,0 тыс. рублей на срок до трех лет для частичного покрытия дефицитов местных бюджетов и покрытия временных кассовых разрывов, возникающих при исполнении местных бюджетов, а также для осуществления мероприятий, связанных с ликвидацией последствий стихийных бедствий и техногенных аварий.</w:t>
      </w:r>
    </w:p>
    <w:p w14:paraId="173F901A"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lastRenderedPageBreak/>
        <w:t>Фактически в 2021 году бюджетные кредиты были предоставлены 1</w:t>
      </w:r>
      <w:r w:rsidRPr="0053266A">
        <w:rPr>
          <w:rFonts w:ascii="Times New Roman" w:eastAsia="Times New Roman" w:hAnsi="Times New Roman" w:cs="Times New Roman"/>
          <w:sz w:val="28"/>
          <w:szCs w:val="28"/>
          <w:highlight w:val="yellow"/>
          <w:lang w:eastAsia="ru-RU"/>
        </w:rPr>
        <w:t xml:space="preserve"> </w:t>
      </w:r>
      <w:r w:rsidRPr="0053266A">
        <w:rPr>
          <w:rFonts w:ascii="Times New Roman" w:eastAsia="Times New Roman" w:hAnsi="Times New Roman" w:cs="Times New Roman"/>
          <w:sz w:val="28"/>
          <w:szCs w:val="28"/>
          <w:lang w:eastAsia="ru-RU"/>
        </w:rPr>
        <w:t>муниципальному образованию сроком погашения до трех лет в сумме 64 963,0 тыс. рублей, что составляет 65 % от запланированного объема.</w:t>
      </w:r>
    </w:p>
    <w:p w14:paraId="7C87FAAD" w14:textId="77777777" w:rsidR="0053266A" w:rsidRPr="0053266A" w:rsidRDefault="0053266A" w:rsidP="0053266A">
      <w:pPr>
        <w:autoSpaceDE w:val="0"/>
        <w:autoSpaceDN w:val="0"/>
        <w:adjustRightInd w:val="0"/>
        <w:spacing w:after="0" w:line="240" w:lineRule="auto"/>
        <w:ind w:firstLine="709"/>
        <w:contextualSpacing/>
        <w:jc w:val="both"/>
        <w:rPr>
          <w:rFonts w:ascii="Times New Roman" w:hAnsi="Times New Roman"/>
          <w:iCs/>
          <w:sz w:val="28"/>
          <w:szCs w:val="28"/>
          <w:highlight w:val="yellow"/>
          <w:lang w:eastAsia="ru-RU"/>
        </w:rPr>
      </w:pPr>
      <w:r w:rsidRPr="0053266A">
        <w:rPr>
          <w:rFonts w:ascii="Times New Roman" w:hAnsi="Times New Roman"/>
          <w:iCs/>
          <w:sz w:val="28"/>
          <w:szCs w:val="28"/>
          <w:lang w:eastAsia="ru-RU"/>
        </w:rPr>
        <w:t>В 2021 году общая сумма задолженности по бюджетным кредитам по сравнению с задолженностью на начало года уменьшилась на 34 087,5 тыс. рублей, или на 1,2 % и на 1 января 2022 года составила 2 965 752,3 тыс. рублей, в том числе:</w:t>
      </w:r>
    </w:p>
    <w:p w14:paraId="07A8B8C2"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hAnsi="Times New Roman"/>
          <w:iCs/>
          <w:color w:val="000000"/>
          <w:sz w:val="28"/>
          <w:szCs w:val="28"/>
          <w:lang w:eastAsia="ru-RU"/>
        </w:rPr>
      </w:pPr>
      <w:r w:rsidRPr="0053266A">
        <w:rPr>
          <w:rFonts w:ascii="Times New Roman" w:hAnsi="Times New Roman"/>
          <w:iCs/>
          <w:color w:val="000000"/>
          <w:sz w:val="28"/>
          <w:szCs w:val="28"/>
          <w:lang w:eastAsia="ru-RU"/>
        </w:rPr>
        <w:t>- по бюджетным кредитам, выданным муниципальным образованиям на обеспечение исполнения иных бюджетных обязательств по вопросам местного значения –</w:t>
      </w:r>
      <w:r w:rsidRPr="0053266A">
        <w:rPr>
          <w:rFonts w:ascii="Times New Roman" w:hAnsi="Times New Roman"/>
          <w:sz w:val="28"/>
          <w:szCs w:val="28"/>
          <w:lang w:eastAsia="ru-RU"/>
        </w:rPr>
        <w:t>2 439 300,5</w:t>
      </w:r>
      <w:r w:rsidRPr="0053266A">
        <w:rPr>
          <w:rFonts w:ascii="Arial" w:hAnsi="Arial"/>
          <w:sz w:val="28"/>
          <w:szCs w:val="28"/>
          <w:lang w:eastAsia="ru-RU"/>
        </w:rPr>
        <w:t xml:space="preserve"> </w:t>
      </w:r>
      <w:r w:rsidRPr="0053266A">
        <w:rPr>
          <w:rFonts w:ascii="Times New Roman" w:hAnsi="Times New Roman"/>
          <w:sz w:val="28"/>
          <w:szCs w:val="28"/>
          <w:lang w:eastAsia="ru-RU"/>
        </w:rPr>
        <w:t>т</w:t>
      </w:r>
      <w:r w:rsidRPr="0053266A">
        <w:rPr>
          <w:rFonts w:ascii="Times New Roman" w:hAnsi="Times New Roman"/>
          <w:iCs/>
          <w:color w:val="000000"/>
          <w:sz w:val="28"/>
          <w:szCs w:val="28"/>
          <w:lang w:eastAsia="ru-RU"/>
        </w:rPr>
        <w:t>ыс. рублей;</w:t>
      </w:r>
    </w:p>
    <w:p w14:paraId="6EC4B255" w14:textId="77777777" w:rsidR="0053266A" w:rsidRPr="0053266A" w:rsidRDefault="0053266A" w:rsidP="0053266A">
      <w:pPr>
        <w:autoSpaceDE w:val="0"/>
        <w:autoSpaceDN w:val="0"/>
        <w:adjustRightInd w:val="0"/>
        <w:spacing w:after="0" w:line="240" w:lineRule="auto"/>
        <w:ind w:firstLine="709"/>
        <w:contextualSpacing/>
        <w:jc w:val="both"/>
        <w:rPr>
          <w:rFonts w:ascii="Times New Roman" w:hAnsi="Times New Roman"/>
          <w:iCs/>
          <w:sz w:val="28"/>
          <w:szCs w:val="28"/>
          <w:lang w:eastAsia="ru-RU"/>
        </w:rPr>
      </w:pPr>
      <w:r w:rsidRPr="0053266A">
        <w:rPr>
          <w:rFonts w:ascii="Times New Roman" w:hAnsi="Times New Roman"/>
          <w:iCs/>
          <w:color w:val="000000"/>
          <w:sz w:val="28"/>
          <w:szCs w:val="28"/>
          <w:lang w:eastAsia="ru-RU"/>
        </w:rPr>
        <w:t>- по кредитам, ранее предоставленным юридическим лицам – 526 451,8 тыс. рублей, из них: по кредитам, включенным в постановление Правительства Республики Дагестан от 31 августа 2000 года № 160 «О мерах по обеспечению возврата бюджетных средств, выделенных предприятиям и организациям Республики Дагестан» – 88 806,5 тыс. рублей; по кредитам Бюджета развития Республики Дагестан – 97 522,1 тыс. рублей; по средствам, выделенным Комитету по развитию малого и среднего предпринимательства Республики Дагестан – 33 888,1 тыс. рублей; лизинговые платежи – 46 083,4 тыс. рублей;</w:t>
      </w:r>
      <w:r w:rsidRPr="0053266A">
        <w:rPr>
          <w:rFonts w:ascii="Times New Roman" w:hAnsi="Times New Roman"/>
          <w:iCs/>
          <w:sz w:val="28"/>
          <w:szCs w:val="28"/>
          <w:lang w:eastAsia="ru-RU"/>
        </w:rPr>
        <w:t xml:space="preserve"> по кредитам Фонда поддержки малого предпринимательства Республики Дагестан  (1993 год) – 2 667,1 тыс. рублей; по инвестиционным кредитам 1994-1995 годов – 71 518,7 тыс. рублей; средства от реализации гуманитарной помощи – 61 523,0 тыс. рублей; по кредитам, выданным предприятиям и организациям Республики Дагестан – 124 442,9 тыс. рублей.</w:t>
      </w:r>
    </w:p>
    <w:p w14:paraId="0AFA4824"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2607A1FD" w14:textId="0DDE3F2E"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22A7A24" w14:textId="529C73EB"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717EB17" w14:textId="4BA2C0B3"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DC769B8" w14:textId="697CA69C"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E10ADBF" w14:textId="10E67AFD"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5090676" w14:textId="7649D2CD"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928FF15" w14:textId="04CE7ECE"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0E364D4" w14:textId="2E9FD123"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427076E" w14:textId="2854D287"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91D52D1" w14:textId="54FF0A98"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7464DEC" w14:textId="3F28355F"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49440CD" w14:textId="4686B04B"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8261373" w14:textId="27C4F354"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9B79B1B" w14:textId="23C6407D"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7A4C18C" w14:textId="56A1CBEF"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81972E2" w14:textId="23590086"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875E5E7" w14:textId="4E01A4DC"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01E72E0" w14:textId="1B29C4E2"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C72CCD9" w14:textId="4B2963E4"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2A4FF4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53266A">
        <w:rPr>
          <w:rFonts w:ascii="Times New Roman" w:eastAsia="Times New Roman" w:hAnsi="Times New Roman" w:cs="Times New Roman"/>
          <w:b/>
          <w:bCs/>
          <w:color w:val="002060"/>
          <w:sz w:val="28"/>
          <w:szCs w:val="28"/>
          <w:lang w:eastAsia="ru-RU"/>
        </w:rPr>
        <w:lastRenderedPageBreak/>
        <w:t xml:space="preserve">4.8.  </w:t>
      </w:r>
      <w:r w:rsidRPr="0053266A">
        <w:rPr>
          <w:rFonts w:ascii="Times New Roman" w:eastAsia="Times New Roman" w:hAnsi="Times New Roman" w:cs="Times New Roman"/>
          <w:b/>
          <w:color w:val="002060"/>
          <w:sz w:val="28"/>
          <w:szCs w:val="28"/>
          <w:lang w:eastAsia="ru-RU"/>
        </w:rPr>
        <w:t xml:space="preserve">Состояние и структура государственного </w:t>
      </w:r>
    </w:p>
    <w:p w14:paraId="5EE2083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53266A">
        <w:rPr>
          <w:rFonts w:ascii="Times New Roman" w:eastAsia="Times New Roman" w:hAnsi="Times New Roman" w:cs="Times New Roman"/>
          <w:b/>
          <w:color w:val="002060"/>
          <w:sz w:val="28"/>
          <w:szCs w:val="28"/>
          <w:lang w:eastAsia="ru-RU"/>
        </w:rPr>
        <w:t>и муниципального долга</w:t>
      </w:r>
    </w:p>
    <w:p w14:paraId="2061A2B0" w14:textId="77777777" w:rsidR="0053266A" w:rsidRP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u w:val="single"/>
          <w:lang w:eastAsia="ru-RU"/>
        </w:rPr>
      </w:pPr>
    </w:p>
    <w:p w14:paraId="5CAAEDB6" w14:textId="77777777" w:rsidR="0053266A" w:rsidRP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b/>
          <w:bCs/>
          <w:iCs/>
          <w:color w:val="002060"/>
          <w:sz w:val="28"/>
          <w:szCs w:val="28"/>
          <w:lang w:eastAsia="ru-RU"/>
        </w:rPr>
      </w:pPr>
      <w:r w:rsidRPr="0053266A">
        <w:rPr>
          <w:rFonts w:ascii="Times New Roman" w:eastAsia="Times New Roman" w:hAnsi="Times New Roman" w:cs="Times New Roman"/>
          <w:b/>
          <w:bCs/>
          <w:iCs/>
          <w:color w:val="002060"/>
          <w:sz w:val="28"/>
          <w:szCs w:val="28"/>
          <w:lang w:eastAsia="ru-RU"/>
        </w:rPr>
        <w:t>4.8.1. Государственный долг Республики Дагестан.</w:t>
      </w:r>
    </w:p>
    <w:p w14:paraId="246E4CAA"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b/>
          <w:bCs/>
          <w:color w:val="002060"/>
          <w:sz w:val="28"/>
          <w:szCs w:val="28"/>
          <w:lang w:eastAsia="ru-RU"/>
        </w:rPr>
        <w:t>1)</w:t>
      </w:r>
      <w:r w:rsidRPr="0053266A">
        <w:rPr>
          <w:rFonts w:ascii="Times New Roman" w:eastAsia="Times New Roman" w:hAnsi="Times New Roman" w:cs="Times New Roman"/>
          <w:sz w:val="28"/>
          <w:szCs w:val="28"/>
          <w:lang w:eastAsia="ru-RU"/>
        </w:rPr>
        <w:t xml:space="preserve"> Управление государственным долгом Республики Дагестан в соответствии с Законом Республики Дагестан от 7 июня 2006 года № 33 </w:t>
      </w:r>
      <w:r w:rsidRPr="0053266A">
        <w:rPr>
          <w:rFonts w:ascii="Times New Roman" w:eastAsia="Times New Roman" w:hAnsi="Times New Roman" w:cs="Times New Roman"/>
          <w:sz w:val="28"/>
          <w:szCs w:val="28"/>
          <w:lang w:eastAsia="ru-RU"/>
        </w:rPr>
        <w:br/>
        <w:t>«О Правительстве Республики Дагестан» возложено на Правительство Республики Дагестан, которому предоставлено право распоряжаться кредитными и иными финансовыми ресурсами Республики Дагестан, в установленном законодательством порядке выдавать гарантии для привлечения кредитов и бюджетных ссуд.</w:t>
      </w:r>
    </w:p>
    <w:p w14:paraId="367FDEAA"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В соответствии с Положением Министерство финансов Республики Дагестан в пределах своих полномочий в установленном порядке проводит операции по обслуживанию государственного внутреннего долга Республики Дагестан, управляет государственным внутренним долгом Республики Дагестан, а также осуществляет необходимые меры по совершенствованию его структуры и оптимизации расходов по его обслуживанию.</w:t>
      </w:r>
    </w:p>
    <w:p w14:paraId="628DEF7B" w14:textId="77777777" w:rsidR="0053266A" w:rsidRPr="0053266A" w:rsidRDefault="0053266A" w:rsidP="0053266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b/>
          <w:bCs/>
          <w:color w:val="002060"/>
          <w:sz w:val="28"/>
          <w:szCs w:val="28"/>
          <w:lang w:eastAsia="ru-RU"/>
        </w:rPr>
        <w:t>2)</w:t>
      </w:r>
      <w:r w:rsidRPr="0053266A">
        <w:rPr>
          <w:rFonts w:ascii="Times New Roman" w:eastAsia="Times New Roman" w:hAnsi="Times New Roman" w:cs="Times New Roman"/>
          <w:color w:val="002060"/>
          <w:sz w:val="28"/>
          <w:szCs w:val="28"/>
          <w:lang w:eastAsia="ru-RU"/>
        </w:rPr>
        <w:t xml:space="preserve"> </w:t>
      </w:r>
      <w:r w:rsidRPr="0053266A">
        <w:rPr>
          <w:rFonts w:ascii="Times New Roman" w:eastAsia="Times New Roman" w:hAnsi="Times New Roman" w:cs="Times New Roman"/>
          <w:sz w:val="28"/>
          <w:szCs w:val="28"/>
          <w:lang w:eastAsia="ru-RU"/>
        </w:rPr>
        <w:t xml:space="preserve">В соответствии с пунктом 3 статьи 1 Закона Республики Дагестан от 28 декабря 2020 года № 103 «О республиканском бюджете Республики Дагестан на 2021 год и на плановый период 2022 и 2023 годов» (в редакции Закона от 8 ноября 2021 года № 63) верхний предел государственного внутреннего долга Республики Дагестан на 1 января 2022 года установлен в сумме </w:t>
      </w:r>
      <w:r w:rsidRPr="0053266A">
        <w:rPr>
          <w:rFonts w:ascii="Times New Roman" w:eastAsia="Calibri" w:hAnsi="Times New Roman" w:cs="Times New Roman"/>
          <w:sz w:val="28"/>
          <w:szCs w:val="28"/>
        </w:rPr>
        <w:t xml:space="preserve">8 342 139,9 </w:t>
      </w:r>
      <w:r w:rsidRPr="0053266A">
        <w:rPr>
          <w:rFonts w:ascii="Times New Roman" w:eastAsia="Times New Roman" w:hAnsi="Times New Roman" w:cs="Times New Roman"/>
          <w:sz w:val="28"/>
          <w:szCs w:val="28"/>
          <w:lang w:eastAsia="ru-RU"/>
        </w:rPr>
        <w:t xml:space="preserve">тыс. рублей, в том числе </w:t>
      </w:r>
      <w:r w:rsidRPr="0053266A">
        <w:rPr>
          <w:rFonts w:ascii="Times New Roman" w:eastAsia="Calibri" w:hAnsi="Times New Roman" w:cs="Times New Roman"/>
          <w:sz w:val="28"/>
          <w:szCs w:val="28"/>
        </w:rPr>
        <w:t>верхний предел по государственным гарантиям Республики Дагестан в сумме 0,0 тыс. рублей</w:t>
      </w:r>
      <w:r w:rsidRPr="0053266A">
        <w:rPr>
          <w:rFonts w:ascii="Times New Roman" w:eastAsia="Times New Roman" w:hAnsi="Times New Roman" w:cs="Times New Roman"/>
          <w:sz w:val="28"/>
          <w:szCs w:val="28"/>
          <w:lang w:eastAsia="ru-RU"/>
        </w:rPr>
        <w:t xml:space="preserve">, что согласно положениям пункта 4 статьи 107 Бюджетного кодекса Российской Федерации не превышает установленных ограничений.  </w:t>
      </w:r>
    </w:p>
    <w:p w14:paraId="7A2925B6"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b/>
          <w:bCs/>
          <w:color w:val="002060"/>
          <w:sz w:val="28"/>
          <w:szCs w:val="28"/>
          <w:lang w:eastAsia="ru-RU"/>
        </w:rPr>
        <w:t>3)</w:t>
      </w:r>
      <w:r w:rsidRPr="0053266A">
        <w:rPr>
          <w:rFonts w:ascii="Times New Roman" w:eastAsia="Times New Roman" w:hAnsi="Times New Roman" w:cs="Times New Roman"/>
          <w:color w:val="002060"/>
          <w:sz w:val="28"/>
          <w:szCs w:val="28"/>
          <w:lang w:eastAsia="ru-RU"/>
        </w:rPr>
        <w:t xml:space="preserve"> </w:t>
      </w:r>
      <w:r w:rsidRPr="0053266A">
        <w:rPr>
          <w:rFonts w:ascii="Times New Roman" w:eastAsia="Times New Roman" w:hAnsi="Times New Roman" w:cs="Times New Roman"/>
          <w:sz w:val="28"/>
          <w:szCs w:val="28"/>
          <w:lang w:eastAsia="ru-RU"/>
        </w:rPr>
        <w:t>По состоянию на 1 января 2021 года фактический размер государственного долга Республики Дагестан составлял 8 810 540,0 тыс. рублей.</w:t>
      </w:r>
    </w:p>
    <w:p w14:paraId="1798A3C4" w14:textId="77777777" w:rsidR="0053266A" w:rsidRP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В 2020 году Министерством финансов Российской Федерации в соответствии с дополнительным Соглашением от 24 августа 2020 года </w:t>
      </w:r>
      <w:r w:rsidRPr="0053266A">
        <w:rPr>
          <w:rFonts w:ascii="Times New Roman" w:eastAsia="Times New Roman" w:hAnsi="Times New Roman" w:cs="Times New Roman"/>
          <w:sz w:val="28"/>
          <w:szCs w:val="28"/>
          <w:lang w:eastAsia="ru-RU"/>
        </w:rPr>
        <w:br/>
        <w:t xml:space="preserve">№ 6/7/5/5/5/5/5 проведена реструктуризация обязательств (задолженности) по бюджетным кредитам, предоставленным бюджету Республики Дагестан для частичного покрытия дефицита бюджета Республики Дагестан, в соответствии с Соглашениями, заключенными в 2015-2017 годах. </w:t>
      </w:r>
    </w:p>
    <w:p w14:paraId="55CF585D" w14:textId="77777777" w:rsidR="0053266A" w:rsidRP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По условиям указанного дополнительного Соглашения реструктурированная задолженность по бюджетным кредитам подлежит погашению в период с 2020 по 2029 годы включительно в следующем порядке: в 2020 году – в размере 0 процентов суммы задолженности, в 2021-2024 годах – в размере 5 процентов суммы задолженности ежегодно, в 2025-2029 годах – ежегодно равными долями от остатка суммы задолженности в соответствии с утвержденным графиком. </w:t>
      </w:r>
    </w:p>
    <w:p w14:paraId="0E7DD08A" w14:textId="77777777" w:rsidR="0053266A" w:rsidRP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В 2021 году основной долг по указанным реструктуризированным бюджетным кредитам погашен в сумме 468 400,1 тыс. рублей, а также </w:t>
      </w:r>
      <w:r w:rsidRPr="0053266A">
        <w:rPr>
          <w:rFonts w:ascii="Times New Roman" w:eastAsia="Times New Roman" w:hAnsi="Times New Roman" w:cs="Times New Roman"/>
          <w:sz w:val="28"/>
          <w:szCs w:val="28"/>
          <w:lang w:eastAsia="ru-RU"/>
        </w:rPr>
        <w:lastRenderedPageBreak/>
        <w:t xml:space="preserve">начисленные проценты по ним в сумме 8 870,8 тыс. рублей. </w:t>
      </w:r>
    </w:p>
    <w:p w14:paraId="0BB5EF11" w14:textId="77777777" w:rsidR="0053266A" w:rsidRP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Кредиты от кредитных организаций в 2021 году не привлекались.</w:t>
      </w:r>
    </w:p>
    <w:p w14:paraId="5DA103BD"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Информация об изменении структуры государственного долга Республики Дагестан за 2021 год приведена в следующей таблице.</w:t>
      </w:r>
    </w:p>
    <w:p w14:paraId="05195C14" w14:textId="77777777" w:rsidR="0053266A" w:rsidRPr="0053266A" w:rsidRDefault="0053266A" w:rsidP="0053266A">
      <w:pPr>
        <w:widowControl w:val="0"/>
        <w:autoSpaceDE w:val="0"/>
        <w:autoSpaceDN w:val="0"/>
        <w:adjustRightInd w:val="0"/>
        <w:spacing w:after="0" w:line="240" w:lineRule="auto"/>
        <w:ind w:firstLine="709"/>
        <w:contextualSpacing/>
        <w:jc w:val="right"/>
        <w:rPr>
          <w:rFonts w:ascii="Times New Roman" w:eastAsia="Times New Roman" w:hAnsi="Times New Roman" w:cs="Times New Roman"/>
          <w:b/>
          <w:bCs/>
          <w:color w:val="002060"/>
          <w:sz w:val="24"/>
          <w:szCs w:val="24"/>
          <w:lang w:eastAsia="ru-RU"/>
        </w:rPr>
      </w:pPr>
      <w:r w:rsidRPr="0053266A">
        <w:rPr>
          <w:rFonts w:ascii="Times New Roman" w:eastAsia="Times New Roman" w:hAnsi="Times New Roman" w:cs="Times New Roman"/>
          <w:b/>
          <w:bCs/>
          <w:color w:val="002060"/>
          <w:sz w:val="24"/>
          <w:szCs w:val="24"/>
          <w:lang w:eastAsia="ru-RU"/>
        </w:rPr>
        <w:t>тыс. рублей</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5"/>
        <w:gridCol w:w="1338"/>
        <w:gridCol w:w="1464"/>
        <w:gridCol w:w="1257"/>
        <w:gridCol w:w="1351"/>
      </w:tblGrid>
      <w:tr w:rsidR="0053266A" w:rsidRPr="0053266A" w14:paraId="3CDF6439" w14:textId="77777777" w:rsidTr="00156793">
        <w:trPr>
          <w:tblHeader/>
        </w:trPr>
        <w:tc>
          <w:tcPr>
            <w:tcW w:w="4055" w:type="dxa"/>
            <w:shd w:val="clear" w:color="auto" w:fill="D9E2F3" w:themeFill="accent1" w:themeFillTint="33"/>
          </w:tcPr>
          <w:p w14:paraId="38EE2CC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Долговые обязательства</w:t>
            </w:r>
          </w:p>
        </w:tc>
        <w:tc>
          <w:tcPr>
            <w:tcW w:w="1338" w:type="dxa"/>
            <w:shd w:val="clear" w:color="auto" w:fill="D9E2F3" w:themeFill="accent1" w:themeFillTint="33"/>
          </w:tcPr>
          <w:p w14:paraId="2437B883" w14:textId="77777777" w:rsidR="0053266A" w:rsidRPr="0053266A" w:rsidRDefault="0053266A" w:rsidP="0053266A">
            <w:pPr>
              <w:widowControl w:val="0"/>
              <w:autoSpaceDE w:val="0"/>
              <w:autoSpaceDN w:val="0"/>
              <w:adjustRightInd w:val="0"/>
              <w:spacing w:after="0" w:line="240" w:lineRule="auto"/>
              <w:ind w:left="-110" w:right="-2"/>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Сумма </w:t>
            </w:r>
          </w:p>
          <w:p w14:paraId="08AE4F9C" w14:textId="77777777" w:rsidR="0053266A" w:rsidRPr="0053266A" w:rsidRDefault="0053266A" w:rsidP="0053266A">
            <w:pPr>
              <w:widowControl w:val="0"/>
              <w:autoSpaceDE w:val="0"/>
              <w:autoSpaceDN w:val="0"/>
              <w:adjustRightInd w:val="0"/>
              <w:spacing w:after="0" w:line="240" w:lineRule="auto"/>
              <w:ind w:left="-110" w:right="-2"/>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и дата получения</w:t>
            </w:r>
          </w:p>
        </w:tc>
        <w:tc>
          <w:tcPr>
            <w:tcW w:w="1464" w:type="dxa"/>
            <w:shd w:val="clear" w:color="auto" w:fill="D9E2F3" w:themeFill="accent1" w:themeFillTint="33"/>
          </w:tcPr>
          <w:p w14:paraId="2230DB3B"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Долг на </w:t>
            </w:r>
          </w:p>
          <w:p w14:paraId="47572BD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1 января 2021 года </w:t>
            </w:r>
          </w:p>
        </w:tc>
        <w:tc>
          <w:tcPr>
            <w:tcW w:w="1257" w:type="dxa"/>
            <w:shd w:val="clear" w:color="auto" w:fill="D9E2F3" w:themeFill="accent1" w:themeFillTint="33"/>
          </w:tcPr>
          <w:p w14:paraId="7638D268"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Погашено</w:t>
            </w:r>
          </w:p>
          <w:p w14:paraId="7CECC5A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 за 2021 год</w:t>
            </w:r>
          </w:p>
        </w:tc>
        <w:tc>
          <w:tcPr>
            <w:tcW w:w="1351" w:type="dxa"/>
            <w:shd w:val="clear" w:color="auto" w:fill="D9E2F3" w:themeFill="accent1" w:themeFillTint="33"/>
          </w:tcPr>
          <w:p w14:paraId="2268A59D"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Долг на </w:t>
            </w:r>
          </w:p>
          <w:p w14:paraId="23A6463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1 января 2022 года</w:t>
            </w:r>
          </w:p>
        </w:tc>
      </w:tr>
      <w:tr w:rsidR="0053266A" w:rsidRPr="0053266A" w14:paraId="1A920EAC" w14:textId="77777777" w:rsidTr="00545B6E">
        <w:tc>
          <w:tcPr>
            <w:tcW w:w="4055" w:type="dxa"/>
            <w:vAlign w:val="center"/>
          </w:tcPr>
          <w:p w14:paraId="6114AECE"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1. Соглашение с Минфином РФ от 31.05.2010г. № 01-01-06/06-187 по бюджетному кредиту, выданному из федерального бюджета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Дополнительное соглашение от 21.04.2015 г. № 3.</w:t>
            </w:r>
          </w:p>
        </w:tc>
        <w:tc>
          <w:tcPr>
            <w:tcW w:w="1338" w:type="dxa"/>
            <w:vAlign w:val="center"/>
          </w:tcPr>
          <w:p w14:paraId="7182F55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276 840,0 – 31.05.2010г.</w:t>
            </w:r>
          </w:p>
        </w:tc>
        <w:tc>
          <w:tcPr>
            <w:tcW w:w="1464" w:type="dxa"/>
            <w:vAlign w:val="center"/>
          </w:tcPr>
          <w:p w14:paraId="480B0902"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278 508,62</w:t>
            </w:r>
          </w:p>
        </w:tc>
        <w:tc>
          <w:tcPr>
            <w:tcW w:w="1257" w:type="dxa"/>
            <w:vAlign w:val="center"/>
          </w:tcPr>
          <w:p w14:paraId="6A657C0C"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0,00</w:t>
            </w:r>
          </w:p>
        </w:tc>
        <w:tc>
          <w:tcPr>
            <w:tcW w:w="1351" w:type="dxa"/>
            <w:vAlign w:val="center"/>
          </w:tcPr>
          <w:p w14:paraId="5254CEE5"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278 508,62</w:t>
            </w:r>
          </w:p>
        </w:tc>
      </w:tr>
      <w:tr w:rsidR="0053266A" w:rsidRPr="0053266A" w14:paraId="52264E15" w14:textId="77777777" w:rsidTr="00545B6E">
        <w:tc>
          <w:tcPr>
            <w:tcW w:w="4055" w:type="dxa"/>
            <w:vAlign w:val="center"/>
          </w:tcPr>
          <w:p w14:paraId="70498A0A"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2. Соглашение с Минфином РФ от 17.06.2011г.  № 01-01-06/06-123 по бюджетному кредиту, выданному из федерального бюджета Республике Дагестан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Дополнительное соглашение от 21.04.2015г. № 3.</w:t>
            </w:r>
          </w:p>
        </w:tc>
        <w:tc>
          <w:tcPr>
            <w:tcW w:w="1338" w:type="dxa"/>
            <w:vAlign w:val="center"/>
          </w:tcPr>
          <w:p w14:paraId="50418C4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100 000,0 – 17.06.2011г.</w:t>
            </w:r>
          </w:p>
        </w:tc>
        <w:tc>
          <w:tcPr>
            <w:tcW w:w="1464" w:type="dxa"/>
            <w:vAlign w:val="center"/>
          </w:tcPr>
          <w:p w14:paraId="7DAE85BB"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100 828,77</w:t>
            </w:r>
          </w:p>
        </w:tc>
        <w:tc>
          <w:tcPr>
            <w:tcW w:w="1257" w:type="dxa"/>
            <w:vAlign w:val="center"/>
          </w:tcPr>
          <w:p w14:paraId="2B4D5B42"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0,00</w:t>
            </w:r>
          </w:p>
        </w:tc>
        <w:tc>
          <w:tcPr>
            <w:tcW w:w="1351" w:type="dxa"/>
            <w:vAlign w:val="center"/>
          </w:tcPr>
          <w:p w14:paraId="51B2C46C"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100 828,77</w:t>
            </w:r>
          </w:p>
        </w:tc>
      </w:tr>
      <w:tr w:rsidR="0053266A" w:rsidRPr="0053266A" w14:paraId="457991E7" w14:textId="77777777" w:rsidTr="00545B6E">
        <w:tc>
          <w:tcPr>
            <w:tcW w:w="4055" w:type="dxa"/>
            <w:vAlign w:val="center"/>
          </w:tcPr>
          <w:p w14:paraId="228E5638"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3.  Соглашение с Минфином РФ от 08.06.2015г. № 01-01-06/06-76 по бюджетному кредиту, выданному из федерального бюджета для частичного покрытия дефицита бюджета Республики Дагестан в 2015 году. Дополнительное соглашение от 25.12.2017г. № 2</w:t>
            </w:r>
          </w:p>
        </w:tc>
        <w:tc>
          <w:tcPr>
            <w:tcW w:w="1338" w:type="dxa"/>
            <w:vAlign w:val="center"/>
          </w:tcPr>
          <w:p w14:paraId="498E6CF9"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2 500 000,0 – 08.06.2015г.</w:t>
            </w:r>
          </w:p>
        </w:tc>
        <w:tc>
          <w:tcPr>
            <w:tcW w:w="1464" w:type="dxa"/>
          </w:tcPr>
          <w:p w14:paraId="77F762FF"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2 250 000,00</w:t>
            </w:r>
          </w:p>
        </w:tc>
        <w:tc>
          <w:tcPr>
            <w:tcW w:w="1257" w:type="dxa"/>
          </w:tcPr>
          <w:p w14:paraId="689DC8F8"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- 125 000,00</w:t>
            </w:r>
          </w:p>
        </w:tc>
        <w:tc>
          <w:tcPr>
            <w:tcW w:w="1351" w:type="dxa"/>
          </w:tcPr>
          <w:p w14:paraId="0833C783"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2 125 000,00</w:t>
            </w:r>
          </w:p>
        </w:tc>
      </w:tr>
      <w:tr w:rsidR="0053266A" w:rsidRPr="0053266A" w14:paraId="1D44A836" w14:textId="77777777" w:rsidTr="00545B6E">
        <w:tc>
          <w:tcPr>
            <w:tcW w:w="4055" w:type="dxa"/>
            <w:vAlign w:val="center"/>
          </w:tcPr>
          <w:p w14:paraId="63DF364A"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4.  Соглашение с Минфином РФ от 26.08.2015г. № 01-01-06/06-123 по бюджетному кредиту, выданному из федерального бюджета для частичного покрытия дефицита бюджета Республики Дагестан в 2015 году. Дополнительное соглашение от 25.12.2017г. № 3</w:t>
            </w:r>
          </w:p>
        </w:tc>
        <w:tc>
          <w:tcPr>
            <w:tcW w:w="1338" w:type="dxa"/>
            <w:vAlign w:val="center"/>
          </w:tcPr>
          <w:p w14:paraId="053299E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2 646 040,0 – 26.08.2015г.</w:t>
            </w:r>
          </w:p>
        </w:tc>
        <w:tc>
          <w:tcPr>
            <w:tcW w:w="1464" w:type="dxa"/>
          </w:tcPr>
          <w:p w14:paraId="01466D9D"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2 381 436,00</w:t>
            </w:r>
          </w:p>
        </w:tc>
        <w:tc>
          <w:tcPr>
            <w:tcW w:w="1257" w:type="dxa"/>
          </w:tcPr>
          <w:p w14:paraId="05E7D2D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- 132 302,00</w:t>
            </w:r>
          </w:p>
        </w:tc>
        <w:tc>
          <w:tcPr>
            <w:tcW w:w="1351" w:type="dxa"/>
          </w:tcPr>
          <w:p w14:paraId="29903B6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2 249 134,00</w:t>
            </w:r>
          </w:p>
        </w:tc>
      </w:tr>
      <w:tr w:rsidR="0053266A" w:rsidRPr="0053266A" w14:paraId="687EEFE7" w14:textId="77777777" w:rsidTr="00545B6E">
        <w:tc>
          <w:tcPr>
            <w:tcW w:w="4055" w:type="dxa"/>
            <w:vAlign w:val="center"/>
          </w:tcPr>
          <w:p w14:paraId="6DF5F179"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5.  Соглашение с Минфином РФ от 24.02.2016г. № 01-01-06/06-34 по бюджетному кредиту, выданному из федерального бюджета для частичного покрытия дефицита бюджета Республики Дагестан в 2016 году. Дополнительное соглашение от 25.12.2017г. № 1</w:t>
            </w:r>
          </w:p>
        </w:tc>
        <w:tc>
          <w:tcPr>
            <w:tcW w:w="1338" w:type="dxa"/>
            <w:vAlign w:val="center"/>
          </w:tcPr>
          <w:p w14:paraId="0F3DACF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1 732 232,0 – 24.02.2016г.</w:t>
            </w:r>
          </w:p>
        </w:tc>
        <w:tc>
          <w:tcPr>
            <w:tcW w:w="1464" w:type="dxa"/>
          </w:tcPr>
          <w:p w14:paraId="4C20BD6B"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1 559 008,80</w:t>
            </w:r>
          </w:p>
          <w:p w14:paraId="1F0F953A"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7" w:type="dxa"/>
          </w:tcPr>
          <w:p w14:paraId="33DCA65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- 86 611,60</w:t>
            </w:r>
          </w:p>
        </w:tc>
        <w:tc>
          <w:tcPr>
            <w:tcW w:w="1351" w:type="dxa"/>
          </w:tcPr>
          <w:p w14:paraId="32E724E3"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1 472 397,20</w:t>
            </w:r>
          </w:p>
        </w:tc>
      </w:tr>
      <w:tr w:rsidR="0053266A" w:rsidRPr="0053266A" w14:paraId="1229E401" w14:textId="77777777" w:rsidTr="00545B6E">
        <w:tc>
          <w:tcPr>
            <w:tcW w:w="4055" w:type="dxa"/>
            <w:vAlign w:val="center"/>
          </w:tcPr>
          <w:p w14:paraId="68C67025"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6. Соглашение с Минфином РФ от 09.08.2016г. № 01-01-06/06-160 по бюджетному кредиту, выданному из федерального бюджета для частичного покрытия дефицита бюджета Республики Дагестан в 2016 году. Дополнительное соглашение от 25.12.2017г. № 1</w:t>
            </w:r>
          </w:p>
        </w:tc>
        <w:tc>
          <w:tcPr>
            <w:tcW w:w="1338" w:type="dxa"/>
            <w:vAlign w:val="center"/>
          </w:tcPr>
          <w:p w14:paraId="1FC9259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205 639,0 – 11.08.2016г.</w:t>
            </w:r>
          </w:p>
        </w:tc>
        <w:tc>
          <w:tcPr>
            <w:tcW w:w="1464" w:type="dxa"/>
          </w:tcPr>
          <w:p w14:paraId="02B4E0A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185 075,10</w:t>
            </w:r>
          </w:p>
          <w:p w14:paraId="701A969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70F3236"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7" w:type="dxa"/>
          </w:tcPr>
          <w:p w14:paraId="2D06240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- 10 281,95</w:t>
            </w:r>
          </w:p>
        </w:tc>
        <w:tc>
          <w:tcPr>
            <w:tcW w:w="1351" w:type="dxa"/>
          </w:tcPr>
          <w:p w14:paraId="5F9FDA6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174 793,15</w:t>
            </w:r>
          </w:p>
          <w:p w14:paraId="128BA44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3266A" w:rsidRPr="0053266A" w14:paraId="150F4301" w14:textId="77777777" w:rsidTr="00545B6E">
        <w:tc>
          <w:tcPr>
            <w:tcW w:w="4055" w:type="dxa"/>
            <w:vAlign w:val="center"/>
          </w:tcPr>
          <w:p w14:paraId="6C1CB448"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 xml:space="preserve">7. Соглашение с Минфином РФ от 11.05.2017г. № 01-01-06/06-142 по бюджетному кредиту, выданному из </w:t>
            </w:r>
            <w:r w:rsidRPr="0053266A">
              <w:rPr>
                <w:rFonts w:ascii="Times New Roman" w:eastAsia="Times New Roman" w:hAnsi="Times New Roman" w:cs="Times New Roman"/>
                <w:color w:val="000000"/>
                <w:sz w:val="20"/>
                <w:szCs w:val="20"/>
                <w:lang w:eastAsia="ru-RU"/>
              </w:rPr>
              <w:lastRenderedPageBreak/>
              <w:t xml:space="preserve">федерального бюджета для частичного покрытия дефицита бюджета Республики Дагестан в 2017 году. Дополнительное соглашение от 25.12.2017г. № 1 </w:t>
            </w:r>
          </w:p>
        </w:tc>
        <w:tc>
          <w:tcPr>
            <w:tcW w:w="1338" w:type="dxa"/>
            <w:vAlign w:val="center"/>
          </w:tcPr>
          <w:p w14:paraId="243D17A8"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lastRenderedPageBreak/>
              <w:t>971 891,0 – 15.05.2017г.</w:t>
            </w:r>
          </w:p>
        </w:tc>
        <w:tc>
          <w:tcPr>
            <w:tcW w:w="1464" w:type="dxa"/>
          </w:tcPr>
          <w:p w14:paraId="56C1584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874 701,90</w:t>
            </w:r>
          </w:p>
        </w:tc>
        <w:tc>
          <w:tcPr>
            <w:tcW w:w="1257" w:type="dxa"/>
          </w:tcPr>
          <w:p w14:paraId="52648A3D"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- 48 594,55</w:t>
            </w:r>
          </w:p>
        </w:tc>
        <w:tc>
          <w:tcPr>
            <w:tcW w:w="1351" w:type="dxa"/>
          </w:tcPr>
          <w:p w14:paraId="761815F5"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826 107,35</w:t>
            </w:r>
          </w:p>
        </w:tc>
      </w:tr>
      <w:tr w:rsidR="0053266A" w:rsidRPr="0053266A" w14:paraId="6D969B84" w14:textId="77777777" w:rsidTr="00545B6E">
        <w:tc>
          <w:tcPr>
            <w:tcW w:w="4055" w:type="dxa"/>
            <w:vAlign w:val="center"/>
          </w:tcPr>
          <w:p w14:paraId="058A3F87"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 xml:space="preserve">8. Соглашение с Минфином РФ от 06.09.2017г. № 01-01-06/06-237 по бюджетному кредиту, выданному из федерального бюджета для частичного покрытия дефицита бюджета Республики Дагестан в 2017 году. Дополнительное соглашение от 25.12.2017г. № 1 </w:t>
            </w:r>
          </w:p>
        </w:tc>
        <w:tc>
          <w:tcPr>
            <w:tcW w:w="1338" w:type="dxa"/>
            <w:vAlign w:val="center"/>
          </w:tcPr>
          <w:p w14:paraId="23B3E06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401 645,0 – 08.09.2017г.</w:t>
            </w:r>
          </w:p>
        </w:tc>
        <w:tc>
          <w:tcPr>
            <w:tcW w:w="1464" w:type="dxa"/>
          </w:tcPr>
          <w:p w14:paraId="46B5B34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361 480,50-</w:t>
            </w:r>
          </w:p>
          <w:p w14:paraId="43AA8F8B"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57" w:type="dxa"/>
          </w:tcPr>
          <w:p w14:paraId="0151938D"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- 20 082,25 </w:t>
            </w:r>
          </w:p>
        </w:tc>
        <w:tc>
          <w:tcPr>
            <w:tcW w:w="1351" w:type="dxa"/>
          </w:tcPr>
          <w:p w14:paraId="319649B6"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341 398,25</w:t>
            </w:r>
          </w:p>
        </w:tc>
      </w:tr>
      <w:tr w:rsidR="0053266A" w:rsidRPr="0053266A" w14:paraId="0D442A89" w14:textId="77777777" w:rsidTr="00545B6E">
        <w:tc>
          <w:tcPr>
            <w:tcW w:w="4055" w:type="dxa"/>
            <w:vAlign w:val="bottom"/>
          </w:tcPr>
          <w:p w14:paraId="45D8F879"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 xml:space="preserve">9. Соглашение с Минфином РФ от 21.12.2017г. № 01-01-06/06-364 по бюджетному кредиту, выданному из федерального бюджета для частичного покрытия дефицита бюджета Республики Дагестан в 2017 году. Дополнительное соглашение от 25.12.2017г. № 1 </w:t>
            </w:r>
          </w:p>
        </w:tc>
        <w:tc>
          <w:tcPr>
            <w:tcW w:w="1338" w:type="dxa"/>
            <w:vAlign w:val="center"/>
          </w:tcPr>
          <w:p w14:paraId="2FC11033"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3266A">
              <w:rPr>
                <w:rFonts w:ascii="Times New Roman" w:eastAsia="Times New Roman" w:hAnsi="Times New Roman" w:cs="Times New Roman"/>
                <w:color w:val="000000"/>
                <w:sz w:val="20"/>
                <w:szCs w:val="20"/>
                <w:lang w:eastAsia="ru-RU"/>
              </w:rPr>
              <w:t>910 555,9 – 22.12.2017г.</w:t>
            </w:r>
          </w:p>
        </w:tc>
        <w:tc>
          <w:tcPr>
            <w:tcW w:w="1464" w:type="dxa"/>
          </w:tcPr>
          <w:p w14:paraId="1C9750F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819 500,31</w:t>
            </w:r>
          </w:p>
        </w:tc>
        <w:tc>
          <w:tcPr>
            <w:tcW w:w="1257" w:type="dxa"/>
          </w:tcPr>
          <w:p w14:paraId="740AD94B"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- 45 527,80</w:t>
            </w:r>
          </w:p>
        </w:tc>
        <w:tc>
          <w:tcPr>
            <w:tcW w:w="1351" w:type="dxa"/>
          </w:tcPr>
          <w:p w14:paraId="5F3EF4DA"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773 972,51</w:t>
            </w:r>
          </w:p>
        </w:tc>
      </w:tr>
      <w:tr w:rsidR="0053266A" w:rsidRPr="0053266A" w14:paraId="741E5D36" w14:textId="77777777" w:rsidTr="00545B6E">
        <w:trPr>
          <w:trHeight w:val="158"/>
        </w:trPr>
        <w:tc>
          <w:tcPr>
            <w:tcW w:w="4055" w:type="dxa"/>
          </w:tcPr>
          <w:p w14:paraId="0B208D5C"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53266A">
              <w:rPr>
                <w:rFonts w:ascii="Times New Roman" w:eastAsia="Times New Roman" w:hAnsi="Times New Roman" w:cs="Times New Roman"/>
                <w:b/>
                <w:bCs/>
                <w:color w:val="000000"/>
                <w:sz w:val="20"/>
                <w:szCs w:val="20"/>
                <w:lang w:eastAsia="ru-RU"/>
              </w:rPr>
              <w:t>Всего</w:t>
            </w:r>
          </w:p>
        </w:tc>
        <w:tc>
          <w:tcPr>
            <w:tcW w:w="1338" w:type="dxa"/>
          </w:tcPr>
          <w:p w14:paraId="7ADBAFC0" w14:textId="77777777" w:rsidR="0053266A" w:rsidRPr="0053266A" w:rsidRDefault="0053266A" w:rsidP="0053266A">
            <w:pPr>
              <w:widowControl w:val="0"/>
              <w:autoSpaceDE w:val="0"/>
              <w:autoSpaceDN w:val="0"/>
              <w:adjustRightInd w:val="0"/>
              <w:spacing w:after="0" w:line="240" w:lineRule="auto"/>
              <w:ind w:firstLine="709"/>
              <w:rPr>
                <w:rFonts w:ascii="Times New Roman" w:eastAsia="Times New Roman" w:hAnsi="Times New Roman" w:cs="Times New Roman"/>
                <w:sz w:val="20"/>
                <w:szCs w:val="20"/>
                <w:lang w:eastAsia="ru-RU"/>
              </w:rPr>
            </w:pPr>
          </w:p>
        </w:tc>
        <w:tc>
          <w:tcPr>
            <w:tcW w:w="1464" w:type="dxa"/>
          </w:tcPr>
          <w:p w14:paraId="58F254D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8 810 540,0</w:t>
            </w:r>
          </w:p>
        </w:tc>
        <w:tc>
          <w:tcPr>
            <w:tcW w:w="1257" w:type="dxa"/>
          </w:tcPr>
          <w:p w14:paraId="63AD416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- 468 400,14</w:t>
            </w:r>
          </w:p>
        </w:tc>
        <w:tc>
          <w:tcPr>
            <w:tcW w:w="1351" w:type="dxa"/>
          </w:tcPr>
          <w:p w14:paraId="08B3C87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bCs/>
                <w:sz w:val="20"/>
                <w:szCs w:val="20"/>
                <w:lang w:eastAsia="ru-RU"/>
              </w:rPr>
              <w:t>8 342 139,86</w:t>
            </w:r>
          </w:p>
        </w:tc>
      </w:tr>
    </w:tbl>
    <w:p w14:paraId="4BEAD49B"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0AEB1F0B" w14:textId="77777777" w:rsidR="0053266A" w:rsidRPr="0053266A" w:rsidRDefault="0053266A" w:rsidP="0053266A">
      <w:pPr>
        <w:widowControl w:val="0"/>
        <w:autoSpaceDE w:val="0"/>
        <w:autoSpaceDN w:val="0"/>
        <w:adjustRightInd w:val="0"/>
        <w:spacing w:after="0" w:line="340" w:lineRule="exact"/>
        <w:ind w:firstLine="708"/>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По состоянию на 1 января 2022 года размер государственного внутреннего долга Республики Дагестан составил 8 342 139,9 тыс. рублей. </w:t>
      </w:r>
    </w:p>
    <w:p w14:paraId="7912AF93" w14:textId="77777777" w:rsidR="0053266A" w:rsidRPr="0053266A" w:rsidRDefault="0053266A" w:rsidP="0053266A">
      <w:pPr>
        <w:widowControl w:val="0"/>
        <w:autoSpaceDE w:val="0"/>
        <w:autoSpaceDN w:val="0"/>
        <w:adjustRightInd w:val="0"/>
        <w:spacing w:after="0" w:line="340" w:lineRule="exact"/>
        <w:ind w:firstLine="708"/>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Указанные долговые обязательства в полном объеме учтены в государственной долговой книге Республики Дагестан.</w:t>
      </w:r>
    </w:p>
    <w:p w14:paraId="5CE69EA6" w14:textId="77777777" w:rsidR="0053266A" w:rsidRPr="0053266A" w:rsidRDefault="0053266A" w:rsidP="0053266A">
      <w:pPr>
        <w:widowControl w:val="0"/>
        <w:autoSpaceDE w:val="0"/>
        <w:autoSpaceDN w:val="0"/>
        <w:adjustRightInd w:val="0"/>
        <w:spacing w:after="0" w:line="340" w:lineRule="exact"/>
        <w:rPr>
          <w:rFonts w:ascii="Times New Roman" w:eastAsia="Times New Roman" w:hAnsi="Times New Roman" w:cs="Times New Roman"/>
          <w:sz w:val="20"/>
          <w:szCs w:val="20"/>
          <w:lang w:eastAsia="ru-RU"/>
        </w:rPr>
      </w:pPr>
    </w:p>
    <w:p w14:paraId="16613713" w14:textId="77777777" w:rsidR="0053266A" w:rsidRPr="0053266A" w:rsidRDefault="0053266A" w:rsidP="0053266A">
      <w:pPr>
        <w:widowControl w:val="0"/>
        <w:autoSpaceDE w:val="0"/>
        <w:autoSpaceDN w:val="0"/>
        <w:adjustRightInd w:val="0"/>
        <w:spacing w:after="0" w:line="340" w:lineRule="exact"/>
        <w:ind w:firstLine="709"/>
        <w:contextualSpacing/>
        <w:jc w:val="both"/>
        <w:rPr>
          <w:rFonts w:ascii="Times New Roman" w:eastAsia="Times New Roman" w:hAnsi="Times New Roman" w:cs="Times New Roman"/>
          <w:b/>
          <w:bCs/>
          <w:iCs/>
          <w:color w:val="002060"/>
          <w:sz w:val="28"/>
          <w:szCs w:val="28"/>
          <w:lang w:eastAsia="ru-RU"/>
        </w:rPr>
      </w:pPr>
      <w:r w:rsidRPr="0053266A">
        <w:rPr>
          <w:rFonts w:ascii="Times New Roman" w:eastAsia="Times New Roman" w:hAnsi="Times New Roman" w:cs="Times New Roman"/>
          <w:b/>
          <w:bCs/>
          <w:iCs/>
          <w:color w:val="002060"/>
          <w:sz w:val="28"/>
          <w:szCs w:val="28"/>
          <w:lang w:eastAsia="ru-RU"/>
        </w:rPr>
        <w:t>4.8.2. Муниципальный долг</w:t>
      </w:r>
    </w:p>
    <w:p w14:paraId="2A8A958B"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b/>
          <w:color w:val="002060"/>
          <w:sz w:val="28"/>
          <w:szCs w:val="28"/>
          <w:lang w:eastAsia="ru-RU"/>
        </w:rPr>
        <w:t>1)</w:t>
      </w:r>
      <w:r w:rsidRPr="0053266A">
        <w:rPr>
          <w:rFonts w:ascii="Times New Roman" w:eastAsia="Times New Roman" w:hAnsi="Times New Roman" w:cs="Times New Roman"/>
          <w:sz w:val="28"/>
          <w:szCs w:val="28"/>
          <w:lang w:eastAsia="ru-RU"/>
        </w:rPr>
        <w:t xml:space="preserve"> Объем муниципального долга по состоянию на 1 января 2021 года составлял 2 567 352,7 тыс. рублей, в том числе:</w:t>
      </w:r>
    </w:p>
    <w:p w14:paraId="2197AD78"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бюджетные кредиты –2 471 895,1 тыс. рублей;</w:t>
      </w:r>
    </w:p>
    <w:p w14:paraId="52E6A25E"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муниципальные гарантии – 95 457,6 тыс. рублей.</w:t>
      </w:r>
    </w:p>
    <w:p w14:paraId="74EFDED1"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b/>
          <w:color w:val="002060"/>
          <w:sz w:val="28"/>
          <w:szCs w:val="28"/>
          <w:lang w:eastAsia="ru-RU"/>
        </w:rPr>
        <w:t>2)</w:t>
      </w:r>
      <w:r w:rsidRPr="0053266A">
        <w:rPr>
          <w:rFonts w:ascii="Times New Roman" w:eastAsia="Times New Roman" w:hAnsi="Times New Roman" w:cs="Times New Roman"/>
          <w:sz w:val="28"/>
          <w:szCs w:val="28"/>
          <w:lang w:eastAsia="ru-RU"/>
        </w:rPr>
        <w:t xml:space="preserve"> В течение 2021 года объем муниципального долга уменьшился на 6 193,3 тыс. рублей и на 1 января 2022 года составил 2 509 610,4 тыс. рублей, в том числе:</w:t>
      </w:r>
    </w:p>
    <w:p w14:paraId="3143DCA1"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бюджетные кредиты – 2 439 300,5 тыс. рублей (уменьшились на 31 045,6 тыс. рублей, из них предоставлено в 2021 году бюджетных кредитов на сумму 64 963,0 тыс. рублей, погашено – 96 008,6 тыс. рублей;</w:t>
      </w:r>
    </w:p>
    <w:p w14:paraId="1373EB20" w14:textId="77777777" w:rsidR="0053266A" w:rsidRPr="0053266A" w:rsidRDefault="0053266A" w:rsidP="0053266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муниципальные гарантии –70 309,9 тыс. рублей (уменьшились на 25 147,7 тыс. рублей).</w:t>
      </w:r>
    </w:p>
    <w:p w14:paraId="610FEDE9" w14:textId="77777777" w:rsidR="0053266A" w:rsidRP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b/>
          <w:color w:val="002060"/>
          <w:sz w:val="28"/>
          <w:szCs w:val="28"/>
          <w:lang w:eastAsia="ru-RU"/>
        </w:rPr>
        <w:t>3)</w:t>
      </w:r>
      <w:r w:rsidRPr="0053266A">
        <w:rPr>
          <w:rFonts w:ascii="Times New Roman" w:eastAsia="Times New Roman" w:hAnsi="Times New Roman" w:cs="Times New Roman"/>
          <w:sz w:val="28"/>
          <w:szCs w:val="28"/>
          <w:lang w:eastAsia="ru-RU"/>
        </w:rPr>
        <w:t xml:space="preserve"> В 2021 году обеспечено погашение процентов, начисленных по бюджетным кредитам, выделенным из республиканского бюджета Республики Дагестан муниципальным образованиям в сумме 1 098,8 тыс. рублей. </w:t>
      </w:r>
    </w:p>
    <w:p w14:paraId="3B26E1D4" w14:textId="1F6A74F5" w:rsidR="0053266A" w:rsidRDefault="0053266A"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Состояние муниципального долга, а также задолженность муниципальных образований по бюджетным кредитам приведены в следующей таблице.</w:t>
      </w:r>
    </w:p>
    <w:p w14:paraId="5215ABB3" w14:textId="2468E3EC" w:rsidR="00902DE0" w:rsidRDefault="00902DE0"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6FC8BCE" w14:textId="77777777" w:rsidR="00902DE0" w:rsidRPr="0053266A" w:rsidRDefault="00902DE0" w:rsidP="0053266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360" w:type="dxa"/>
        <w:tblInd w:w="108" w:type="dxa"/>
        <w:tblLayout w:type="fixed"/>
        <w:tblLook w:val="04A0" w:firstRow="1" w:lastRow="0" w:firstColumn="1" w:lastColumn="0" w:noHBand="0" w:noVBand="1"/>
      </w:tblPr>
      <w:tblGrid>
        <w:gridCol w:w="567"/>
        <w:gridCol w:w="2133"/>
        <w:gridCol w:w="1260"/>
        <w:gridCol w:w="327"/>
        <w:gridCol w:w="933"/>
        <w:gridCol w:w="484"/>
        <w:gridCol w:w="776"/>
        <w:gridCol w:w="1440"/>
        <w:gridCol w:w="1440"/>
      </w:tblGrid>
      <w:tr w:rsidR="0053266A" w:rsidRPr="0053266A" w14:paraId="3C4D3402" w14:textId="77777777" w:rsidTr="00545B6E">
        <w:trPr>
          <w:trHeight w:val="330"/>
        </w:trPr>
        <w:tc>
          <w:tcPr>
            <w:tcW w:w="567" w:type="dxa"/>
            <w:tcBorders>
              <w:top w:val="nil"/>
              <w:left w:val="nil"/>
              <w:bottom w:val="single" w:sz="4" w:space="0" w:color="auto"/>
              <w:right w:val="nil"/>
            </w:tcBorders>
            <w:shd w:val="clear" w:color="auto" w:fill="auto"/>
            <w:noWrap/>
            <w:vAlign w:val="bottom"/>
          </w:tcPr>
          <w:p w14:paraId="5DB26837" w14:textId="77777777" w:rsidR="0053266A" w:rsidRPr="0053266A" w:rsidRDefault="0053266A" w:rsidP="0053266A">
            <w:pPr>
              <w:widowControl w:val="0"/>
              <w:autoSpaceDE w:val="0"/>
              <w:autoSpaceDN w:val="0"/>
              <w:adjustRightInd w:val="0"/>
              <w:spacing w:after="0" w:line="240" w:lineRule="auto"/>
              <w:rPr>
                <w:rFonts w:ascii="Arial CYR" w:eastAsia="Times New Roman" w:hAnsi="Arial CYR" w:cs="Arial CYR"/>
                <w:sz w:val="26"/>
                <w:szCs w:val="26"/>
                <w:lang w:eastAsia="ru-RU"/>
              </w:rPr>
            </w:pPr>
            <w:r w:rsidRPr="0053266A">
              <w:rPr>
                <w:rFonts w:ascii="Arial CYR" w:eastAsia="Times New Roman" w:hAnsi="Arial CYR" w:cs="Arial CYR"/>
                <w:sz w:val="26"/>
                <w:szCs w:val="26"/>
                <w:lang w:eastAsia="ru-RU"/>
              </w:rPr>
              <w:lastRenderedPageBreak/>
              <w:t> </w:t>
            </w:r>
          </w:p>
        </w:tc>
        <w:tc>
          <w:tcPr>
            <w:tcW w:w="2133" w:type="dxa"/>
            <w:tcBorders>
              <w:top w:val="nil"/>
              <w:left w:val="nil"/>
              <w:bottom w:val="nil"/>
              <w:right w:val="nil"/>
            </w:tcBorders>
            <w:shd w:val="clear" w:color="auto" w:fill="auto"/>
            <w:noWrap/>
            <w:vAlign w:val="bottom"/>
          </w:tcPr>
          <w:p w14:paraId="2054FCE5" w14:textId="77777777" w:rsidR="0053266A" w:rsidRPr="0053266A" w:rsidRDefault="0053266A" w:rsidP="0053266A">
            <w:pPr>
              <w:widowControl w:val="0"/>
              <w:autoSpaceDE w:val="0"/>
              <w:autoSpaceDN w:val="0"/>
              <w:adjustRightInd w:val="0"/>
              <w:spacing w:after="0" w:line="240" w:lineRule="auto"/>
              <w:rPr>
                <w:rFonts w:ascii="Arial CYR" w:eastAsia="Times New Roman" w:hAnsi="Arial CYR" w:cs="Arial CYR"/>
                <w:sz w:val="26"/>
                <w:szCs w:val="26"/>
                <w:lang w:eastAsia="ru-RU"/>
              </w:rPr>
            </w:pPr>
          </w:p>
        </w:tc>
        <w:tc>
          <w:tcPr>
            <w:tcW w:w="1587" w:type="dxa"/>
            <w:gridSpan w:val="2"/>
            <w:tcBorders>
              <w:top w:val="nil"/>
              <w:left w:val="nil"/>
              <w:bottom w:val="single" w:sz="4" w:space="0" w:color="auto"/>
              <w:right w:val="nil"/>
            </w:tcBorders>
            <w:shd w:val="clear" w:color="auto" w:fill="auto"/>
            <w:noWrap/>
            <w:vAlign w:val="bottom"/>
          </w:tcPr>
          <w:p w14:paraId="77769AC8"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w:t>
            </w:r>
          </w:p>
        </w:tc>
        <w:tc>
          <w:tcPr>
            <w:tcW w:w="1417" w:type="dxa"/>
            <w:gridSpan w:val="2"/>
            <w:tcBorders>
              <w:top w:val="nil"/>
              <w:left w:val="nil"/>
              <w:bottom w:val="single" w:sz="4" w:space="0" w:color="auto"/>
              <w:right w:val="nil"/>
            </w:tcBorders>
            <w:shd w:val="clear" w:color="auto" w:fill="auto"/>
            <w:noWrap/>
            <w:vAlign w:val="bottom"/>
          </w:tcPr>
          <w:p w14:paraId="1C1CD056"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w:t>
            </w:r>
          </w:p>
        </w:tc>
        <w:tc>
          <w:tcPr>
            <w:tcW w:w="776" w:type="dxa"/>
            <w:tcBorders>
              <w:top w:val="nil"/>
              <w:left w:val="nil"/>
              <w:bottom w:val="single" w:sz="4" w:space="0" w:color="auto"/>
              <w:right w:val="nil"/>
            </w:tcBorders>
            <w:shd w:val="clear" w:color="auto" w:fill="auto"/>
            <w:noWrap/>
            <w:vAlign w:val="bottom"/>
          </w:tcPr>
          <w:p w14:paraId="18713974"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w:t>
            </w:r>
          </w:p>
        </w:tc>
        <w:tc>
          <w:tcPr>
            <w:tcW w:w="2880" w:type="dxa"/>
            <w:gridSpan w:val="2"/>
            <w:tcBorders>
              <w:top w:val="nil"/>
              <w:left w:val="nil"/>
              <w:bottom w:val="single" w:sz="4" w:space="0" w:color="auto"/>
              <w:right w:val="nil"/>
            </w:tcBorders>
            <w:shd w:val="clear" w:color="auto" w:fill="auto"/>
            <w:noWrap/>
            <w:vAlign w:val="bottom"/>
          </w:tcPr>
          <w:p w14:paraId="4AB5D22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color w:val="002060"/>
                <w:sz w:val="20"/>
                <w:szCs w:val="20"/>
                <w:lang w:eastAsia="ru-RU"/>
              </w:rPr>
              <w:t>тыс. рублей</w:t>
            </w:r>
          </w:p>
        </w:tc>
      </w:tr>
      <w:tr w:rsidR="0053266A" w:rsidRPr="0053266A" w14:paraId="55C06B2A" w14:textId="77777777" w:rsidTr="00156793">
        <w:trPr>
          <w:trHeight w:val="315"/>
        </w:trPr>
        <w:tc>
          <w:tcPr>
            <w:tcW w:w="567" w:type="dxa"/>
            <w:vMerge w:val="restart"/>
            <w:tcBorders>
              <w:top w:val="nil"/>
              <w:left w:val="single" w:sz="4" w:space="0" w:color="auto"/>
              <w:bottom w:val="single" w:sz="4" w:space="0" w:color="auto"/>
              <w:right w:val="single" w:sz="4" w:space="0" w:color="auto"/>
            </w:tcBorders>
            <w:shd w:val="clear" w:color="auto" w:fill="D9E2F3" w:themeFill="accent1" w:themeFillTint="33"/>
          </w:tcPr>
          <w:p w14:paraId="78D10FE2"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 </w:t>
            </w:r>
          </w:p>
        </w:tc>
        <w:tc>
          <w:tcPr>
            <w:tcW w:w="2133"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5B452B"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Наименование муниципального образования</w:t>
            </w:r>
          </w:p>
        </w:tc>
        <w:tc>
          <w:tcPr>
            <w:tcW w:w="3780" w:type="dxa"/>
            <w:gridSpan w:val="5"/>
            <w:tcBorders>
              <w:top w:val="single" w:sz="4" w:space="0" w:color="auto"/>
              <w:left w:val="nil"/>
              <w:bottom w:val="single" w:sz="4" w:space="0" w:color="auto"/>
              <w:right w:val="single" w:sz="4" w:space="0" w:color="auto"/>
            </w:tcBorders>
            <w:shd w:val="clear" w:color="auto" w:fill="D9E2F3" w:themeFill="accent1" w:themeFillTint="33"/>
          </w:tcPr>
          <w:p w14:paraId="53794408"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Объем муниципального долга</w:t>
            </w:r>
          </w:p>
        </w:tc>
        <w:tc>
          <w:tcPr>
            <w:tcW w:w="2880" w:type="dxa"/>
            <w:gridSpan w:val="2"/>
            <w:tcBorders>
              <w:top w:val="single" w:sz="4" w:space="0" w:color="auto"/>
              <w:left w:val="nil"/>
              <w:bottom w:val="single" w:sz="4" w:space="0" w:color="auto"/>
              <w:right w:val="single" w:sz="4" w:space="0" w:color="auto"/>
            </w:tcBorders>
            <w:shd w:val="clear" w:color="auto" w:fill="D9E2F3" w:themeFill="accent1" w:themeFillTint="33"/>
          </w:tcPr>
          <w:p w14:paraId="6E33D6B2"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в том числе задолженность по бюджетным кредитам</w:t>
            </w:r>
          </w:p>
        </w:tc>
      </w:tr>
      <w:tr w:rsidR="0053266A" w:rsidRPr="0053266A" w14:paraId="14A9DC7B" w14:textId="77777777" w:rsidTr="00156793">
        <w:trPr>
          <w:trHeight w:val="132"/>
        </w:trPr>
        <w:tc>
          <w:tcPr>
            <w:tcW w:w="567" w:type="dxa"/>
            <w:vMerge/>
            <w:tcBorders>
              <w:top w:val="nil"/>
              <w:left w:val="single" w:sz="4" w:space="0" w:color="auto"/>
              <w:bottom w:val="single" w:sz="4" w:space="0" w:color="auto"/>
              <w:right w:val="single" w:sz="4" w:space="0" w:color="auto"/>
            </w:tcBorders>
            <w:shd w:val="clear" w:color="auto" w:fill="D9E2F3" w:themeFill="accent1" w:themeFillTint="33"/>
            <w:vAlign w:val="center"/>
          </w:tcPr>
          <w:p w14:paraId="51DC17E1"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2133"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8CE29E"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1260" w:type="dxa"/>
            <w:tcBorders>
              <w:top w:val="nil"/>
              <w:left w:val="nil"/>
              <w:bottom w:val="single" w:sz="4" w:space="0" w:color="auto"/>
              <w:right w:val="single" w:sz="4" w:space="0" w:color="auto"/>
            </w:tcBorders>
            <w:shd w:val="clear" w:color="auto" w:fill="D9E2F3" w:themeFill="accent1" w:themeFillTint="33"/>
          </w:tcPr>
          <w:p w14:paraId="4EDE6CA3"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на</w:t>
            </w:r>
          </w:p>
          <w:p w14:paraId="45FA8D9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1 января</w:t>
            </w:r>
          </w:p>
          <w:p w14:paraId="3817CF86"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2021 года</w:t>
            </w:r>
          </w:p>
        </w:tc>
        <w:tc>
          <w:tcPr>
            <w:tcW w:w="1260" w:type="dxa"/>
            <w:gridSpan w:val="2"/>
            <w:tcBorders>
              <w:top w:val="nil"/>
              <w:left w:val="nil"/>
              <w:bottom w:val="single" w:sz="4" w:space="0" w:color="auto"/>
              <w:right w:val="single" w:sz="4" w:space="0" w:color="auto"/>
            </w:tcBorders>
            <w:shd w:val="clear" w:color="auto" w:fill="D9E2F3" w:themeFill="accent1" w:themeFillTint="33"/>
          </w:tcPr>
          <w:p w14:paraId="04811B7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на</w:t>
            </w:r>
          </w:p>
          <w:p w14:paraId="6806E776"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1 января</w:t>
            </w:r>
          </w:p>
          <w:p w14:paraId="6BEA8E2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2022 года</w:t>
            </w:r>
          </w:p>
        </w:tc>
        <w:tc>
          <w:tcPr>
            <w:tcW w:w="1260" w:type="dxa"/>
            <w:gridSpan w:val="2"/>
            <w:tcBorders>
              <w:top w:val="nil"/>
              <w:left w:val="nil"/>
              <w:bottom w:val="single" w:sz="4" w:space="0" w:color="auto"/>
              <w:right w:val="single" w:sz="4" w:space="0" w:color="auto"/>
            </w:tcBorders>
            <w:shd w:val="clear" w:color="auto" w:fill="D9E2F3" w:themeFill="accent1" w:themeFillTint="33"/>
          </w:tcPr>
          <w:p w14:paraId="205C6AC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изменения (+ -)</w:t>
            </w:r>
          </w:p>
        </w:tc>
        <w:tc>
          <w:tcPr>
            <w:tcW w:w="1440" w:type="dxa"/>
            <w:tcBorders>
              <w:top w:val="nil"/>
              <w:left w:val="nil"/>
              <w:bottom w:val="single" w:sz="4" w:space="0" w:color="auto"/>
              <w:right w:val="single" w:sz="4" w:space="0" w:color="auto"/>
            </w:tcBorders>
            <w:shd w:val="clear" w:color="auto" w:fill="D9E2F3" w:themeFill="accent1" w:themeFillTint="33"/>
          </w:tcPr>
          <w:p w14:paraId="14790A78"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на</w:t>
            </w:r>
          </w:p>
          <w:p w14:paraId="02935D96"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1 января</w:t>
            </w:r>
          </w:p>
          <w:p w14:paraId="6A79FB9C"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2021 года</w:t>
            </w:r>
          </w:p>
        </w:tc>
        <w:tc>
          <w:tcPr>
            <w:tcW w:w="1440" w:type="dxa"/>
            <w:tcBorders>
              <w:top w:val="nil"/>
              <w:left w:val="nil"/>
              <w:bottom w:val="single" w:sz="4" w:space="0" w:color="auto"/>
              <w:right w:val="single" w:sz="4" w:space="0" w:color="auto"/>
            </w:tcBorders>
            <w:shd w:val="clear" w:color="auto" w:fill="D9E2F3" w:themeFill="accent1" w:themeFillTint="33"/>
          </w:tcPr>
          <w:p w14:paraId="64B691BF"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на</w:t>
            </w:r>
          </w:p>
          <w:p w14:paraId="4B0249D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1 января</w:t>
            </w:r>
          </w:p>
          <w:p w14:paraId="31D6B35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2022 года</w:t>
            </w:r>
          </w:p>
        </w:tc>
      </w:tr>
      <w:tr w:rsidR="0053266A" w:rsidRPr="0053266A" w14:paraId="0F842C9F" w14:textId="77777777" w:rsidTr="00545B6E">
        <w:trPr>
          <w:trHeight w:val="109"/>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37C1B0C"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w:t>
            </w:r>
          </w:p>
        </w:tc>
        <w:tc>
          <w:tcPr>
            <w:tcW w:w="2133" w:type="dxa"/>
            <w:tcBorders>
              <w:top w:val="nil"/>
              <w:left w:val="nil"/>
              <w:bottom w:val="single" w:sz="4" w:space="0" w:color="auto"/>
              <w:right w:val="single" w:sz="4" w:space="0" w:color="auto"/>
            </w:tcBorders>
            <w:shd w:val="clear" w:color="auto" w:fill="auto"/>
            <w:vAlign w:val="bottom"/>
          </w:tcPr>
          <w:p w14:paraId="5B267652"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Агульский</w:t>
            </w:r>
          </w:p>
        </w:tc>
        <w:tc>
          <w:tcPr>
            <w:tcW w:w="1260" w:type="dxa"/>
            <w:tcBorders>
              <w:top w:val="nil"/>
              <w:left w:val="nil"/>
              <w:bottom w:val="single" w:sz="4" w:space="0" w:color="auto"/>
              <w:right w:val="single" w:sz="4" w:space="0" w:color="auto"/>
            </w:tcBorders>
            <w:shd w:val="clear" w:color="auto" w:fill="auto"/>
            <w:noWrap/>
            <w:vAlign w:val="bottom"/>
          </w:tcPr>
          <w:p w14:paraId="6D96154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396,4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1BA6D4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317,9  </w:t>
            </w:r>
          </w:p>
        </w:tc>
        <w:tc>
          <w:tcPr>
            <w:tcW w:w="1260" w:type="dxa"/>
            <w:gridSpan w:val="2"/>
            <w:tcBorders>
              <w:top w:val="nil"/>
              <w:left w:val="nil"/>
              <w:bottom w:val="single" w:sz="4" w:space="0" w:color="auto"/>
              <w:right w:val="single" w:sz="4" w:space="0" w:color="auto"/>
            </w:tcBorders>
            <w:shd w:val="clear" w:color="auto" w:fill="auto"/>
            <w:noWrap/>
            <w:vAlign w:val="bottom"/>
          </w:tcPr>
          <w:p w14:paraId="57FF10A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- 78,5  </w:t>
            </w:r>
          </w:p>
        </w:tc>
        <w:tc>
          <w:tcPr>
            <w:tcW w:w="1440" w:type="dxa"/>
            <w:tcBorders>
              <w:top w:val="nil"/>
              <w:left w:val="nil"/>
              <w:bottom w:val="single" w:sz="4" w:space="0" w:color="auto"/>
              <w:right w:val="single" w:sz="4" w:space="0" w:color="auto"/>
            </w:tcBorders>
            <w:shd w:val="clear" w:color="000000" w:fill="FFFFFF"/>
            <w:noWrap/>
            <w:vAlign w:val="bottom"/>
          </w:tcPr>
          <w:p w14:paraId="6F2E20D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57AFD4D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0EE7A20" w14:textId="77777777" w:rsidTr="00545B6E">
        <w:trPr>
          <w:trHeight w:val="156"/>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CB0894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w:t>
            </w:r>
          </w:p>
        </w:tc>
        <w:tc>
          <w:tcPr>
            <w:tcW w:w="2133" w:type="dxa"/>
            <w:tcBorders>
              <w:top w:val="nil"/>
              <w:left w:val="nil"/>
              <w:bottom w:val="single" w:sz="4" w:space="0" w:color="auto"/>
              <w:right w:val="single" w:sz="4" w:space="0" w:color="auto"/>
            </w:tcBorders>
            <w:shd w:val="clear" w:color="auto" w:fill="auto"/>
            <w:vAlign w:val="bottom"/>
          </w:tcPr>
          <w:p w14:paraId="7B90625A"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Акушинский</w:t>
            </w:r>
          </w:p>
        </w:tc>
        <w:tc>
          <w:tcPr>
            <w:tcW w:w="1260" w:type="dxa"/>
            <w:tcBorders>
              <w:top w:val="nil"/>
              <w:left w:val="nil"/>
              <w:bottom w:val="single" w:sz="4" w:space="0" w:color="auto"/>
              <w:right w:val="single" w:sz="4" w:space="0" w:color="auto"/>
            </w:tcBorders>
            <w:shd w:val="clear" w:color="auto" w:fill="auto"/>
            <w:noWrap/>
            <w:vAlign w:val="bottom"/>
          </w:tcPr>
          <w:p w14:paraId="6D1A21E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46 946,0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E93D45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45 742,0  </w:t>
            </w:r>
          </w:p>
        </w:tc>
        <w:tc>
          <w:tcPr>
            <w:tcW w:w="1260" w:type="dxa"/>
            <w:gridSpan w:val="2"/>
            <w:tcBorders>
              <w:top w:val="nil"/>
              <w:left w:val="nil"/>
              <w:bottom w:val="single" w:sz="4" w:space="0" w:color="auto"/>
              <w:right w:val="single" w:sz="4" w:space="0" w:color="auto"/>
            </w:tcBorders>
            <w:shd w:val="clear" w:color="auto" w:fill="auto"/>
            <w:noWrap/>
            <w:vAlign w:val="bottom"/>
          </w:tcPr>
          <w:p w14:paraId="2846E33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- 1 204,0  </w:t>
            </w:r>
          </w:p>
        </w:tc>
        <w:tc>
          <w:tcPr>
            <w:tcW w:w="1440" w:type="dxa"/>
            <w:tcBorders>
              <w:top w:val="nil"/>
              <w:left w:val="nil"/>
              <w:bottom w:val="single" w:sz="4" w:space="0" w:color="auto"/>
              <w:right w:val="single" w:sz="4" w:space="0" w:color="auto"/>
            </w:tcBorders>
            <w:shd w:val="clear" w:color="000000" w:fill="FFFFFF"/>
            <w:noWrap/>
            <w:vAlign w:val="bottom"/>
          </w:tcPr>
          <w:p w14:paraId="42871F8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46 946,0 </w:t>
            </w:r>
          </w:p>
        </w:tc>
        <w:tc>
          <w:tcPr>
            <w:tcW w:w="1440" w:type="dxa"/>
            <w:tcBorders>
              <w:top w:val="nil"/>
              <w:left w:val="nil"/>
              <w:bottom w:val="single" w:sz="4" w:space="0" w:color="auto"/>
              <w:right w:val="single" w:sz="4" w:space="0" w:color="auto"/>
            </w:tcBorders>
            <w:shd w:val="clear" w:color="000000" w:fill="FFFFFF"/>
            <w:noWrap/>
            <w:vAlign w:val="bottom"/>
          </w:tcPr>
          <w:p w14:paraId="54D2400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45 742,0 </w:t>
            </w:r>
          </w:p>
        </w:tc>
      </w:tr>
      <w:tr w:rsidR="0053266A" w:rsidRPr="0053266A" w14:paraId="735C943B" w14:textId="77777777" w:rsidTr="00545B6E">
        <w:trPr>
          <w:trHeight w:val="202"/>
        </w:trPr>
        <w:tc>
          <w:tcPr>
            <w:tcW w:w="567" w:type="dxa"/>
            <w:tcBorders>
              <w:top w:val="nil"/>
              <w:left w:val="single" w:sz="4" w:space="0" w:color="auto"/>
              <w:bottom w:val="single" w:sz="4" w:space="0" w:color="auto"/>
              <w:right w:val="single" w:sz="4" w:space="0" w:color="auto"/>
            </w:tcBorders>
            <w:shd w:val="clear" w:color="auto" w:fill="auto"/>
            <w:noWrap/>
            <w:vAlign w:val="bottom"/>
          </w:tcPr>
          <w:p w14:paraId="77CFD89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w:t>
            </w:r>
          </w:p>
        </w:tc>
        <w:tc>
          <w:tcPr>
            <w:tcW w:w="2133" w:type="dxa"/>
            <w:tcBorders>
              <w:top w:val="nil"/>
              <w:left w:val="nil"/>
              <w:bottom w:val="single" w:sz="4" w:space="0" w:color="auto"/>
              <w:right w:val="single" w:sz="4" w:space="0" w:color="auto"/>
            </w:tcBorders>
            <w:shd w:val="clear" w:color="auto" w:fill="auto"/>
            <w:vAlign w:val="bottom"/>
          </w:tcPr>
          <w:p w14:paraId="7BB5172E"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Ахвахский</w:t>
            </w:r>
          </w:p>
        </w:tc>
        <w:tc>
          <w:tcPr>
            <w:tcW w:w="1260" w:type="dxa"/>
            <w:tcBorders>
              <w:top w:val="nil"/>
              <w:left w:val="nil"/>
              <w:bottom w:val="single" w:sz="4" w:space="0" w:color="auto"/>
              <w:right w:val="single" w:sz="4" w:space="0" w:color="auto"/>
            </w:tcBorders>
            <w:shd w:val="clear" w:color="auto" w:fill="auto"/>
            <w:noWrap/>
            <w:vAlign w:val="bottom"/>
          </w:tcPr>
          <w:p w14:paraId="6D47498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62DBB53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21C34F8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5CCFAEE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26750C1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03D472A0" w14:textId="77777777" w:rsidTr="00545B6E">
        <w:trPr>
          <w:trHeight w:val="234"/>
        </w:trPr>
        <w:tc>
          <w:tcPr>
            <w:tcW w:w="567" w:type="dxa"/>
            <w:tcBorders>
              <w:top w:val="nil"/>
              <w:left w:val="single" w:sz="4" w:space="0" w:color="auto"/>
              <w:bottom w:val="single" w:sz="4" w:space="0" w:color="auto"/>
              <w:right w:val="single" w:sz="4" w:space="0" w:color="auto"/>
            </w:tcBorders>
            <w:shd w:val="clear" w:color="auto" w:fill="auto"/>
            <w:vAlign w:val="bottom"/>
          </w:tcPr>
          <w:p w14:paraId="41AF9425"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w:t>
            </w:r>
          </w:p>
        </w:tc>
        <w:tc>
          <w:tcPr>
            <w:tcW w:w="2133" w:type="dxa"/>
            <w:tcBorders>
              <w:top w:val="nil"/>
              <w:left w:val="nil"/>
              <w:bottom w:val="single" w:sz="4" w:space="0" w:color="auto"/>
              <w:right w:val="single" w:sz="4" w:space="0" w:color="auto"/>
            </w:tcBorders>
            <w:shd w:val="clear" w:color="auto" w:fill="auto"/>
            <w:vAlign w:val="bottom"/>
          </w:tcPr>
          <w:p w14:paraId="07D31AE6"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Ахтынский</w:t>
            </w:r>
          </w:p>
        </w:tc>
        <w:tc>
          <w:tcPr>
            <w:tcW w:w="1260" w:type="dxa"/>
            <w:tcBorders>
              <w:top w:val="nil"/>
              <w:left w:val="nil"/>
              <w:bottom w:val="single" w:sz="4" w:space="0" w:color="auto"/>
              <w:right w:val="single" w:sz="4" w:space="0" w:color="auto"/>
            </w:tcBorders>
            <w:shd w:val="clear" w:color="auto" w:fill="auto"/>
            <w:noWrap/>
            <w:vAlign w:val="bottom"/>
          </w:tcPr>
          <w:p w14:paraId="48BB99A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32 918,7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6002B36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31 705,8 </w:t>
            </w:r>
          </w:p>
        </w:tc>
        <w:tc>
          <w:tcPr>
            <w:tcW w:w="1260" w:type="dxa"/>
            <w:gridSpan w:val="2"/>
            <w:tcBorders>
              <w:top w:val="nil"/>
              <w:left w:val="nil"/>
              <w:bottom w:val="single" w:sz="4" w:space="0" w:color="auto"/>
              <w:right w:val="single" w:sz="4" w:space="0" w:color="auto"/>
            </w:tcBorders>
            <w:shd w:val="clear" w:color="auto" w:fill="auto"/>
            <w:noWrap/>
            <w:vAlign w:val="bottom"/>
          </w:tcPr>
          <w:p w14:paraId="62A9231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- 1 212,9  </w:t>
            </w:r>
          </w:p>
        </w:tc>
        <w:tc>
          <w:tcPr>
            <w:tcW w:w="1440" w:type="dxa"/>
            <w:tcBorders>
              <w:top w:val="nil"/>
              <w:left w:val="nil"/>
              <w:bottom w:val="single" w:sz="4" w:space="0" w:color="auto"/>
              <w:right w:val="single" w:sz="4" w:space="0" w:color="auto"/>
            </w:tcBorders>
            <w:shd w:val="clear" w:color="000000" w:fill="FFFFFF"/>
            <w:noWrap/>
            <w:vAlign w:val="bottom"/>
          </w:tcPr>
          <w:p w14:paraId="0DB373A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30 712,0 </w:t>
            </w:r>
          </w:p>
        </w:tc>
        <w:tc>
          <w:tcPr>
            <w:tcW w:w="1440" w:type="dxa"/>
            <w:tcBorders>
              <w:top w:val="nil"/>
              <w:left w:val="nil"/>
              <w:bottom w:val="single" w:sz="4" w:space="0" w:color="auto"/>
              <w:right w:val="single" w:sz="4" w:space="0" w:color="auto"/>
            </w:tcBorders>
            <w:shd w:val="clear" w:color="000000" w:fill="FFFFFF"/>
            <w:noWrap/>
            <w:vAlign w:val="bottom"/>
          </w:tcPr>
          <w:p w14:paraId="3867DEA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29 924,0 </w:t>
            </w:r>
          </w:p>
        </w:tc>
      </w:tr>
      <w:tr w:rsidR="0053266A" w:rsidRPr="0053266A" w14:paraId="19E2E894" w14:textId="77777777" w:rsidTr="00545B6E">
        <w:trPr>
          <w:trHeight w:val="138"/>
        </w:trPr>
        <w:tc>
          <w:tcPr>
            <w:tcW w:w="567" w:type="dxa"/>
            <w:tcBorders>
              <w:top w:val="nil"/>
              <w:left w:val="single" w:sz="4" w:space="0" w:color="auto"/>
              <w:bottom w:val="single" w:sz="4" w:space="0" w:color="auto"/>
              <w:right w:val="single" w:sz="4" w:space="0" w:color="auto"/>
            </w:tcBorders>
            <w:shd w:val="clear" w:color="auto" w:fill="auto"/>
            <w:vAlign w:val="bottom"/>
          </w:tcPr>
          <w:p w14:paraId="083E171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5</w:t>
            </w:r>
          </w:p>
        </w:tc>
        <w:tc>
          <w:tcPr>
            <w:tcW w:w="2133" w:type="dxa"/>
            <w:tcBorders>
              <w:top w:val="nil"/>
              <w:left w:val="nil"/>
              <w:bottom w:val="single" w:sz="4" w:space="0" w:color="auto"/>
              <w:right w:val="single" w:sz="4" w:space="0" w:color="auto"/>
            </w:tcBorders>
            <w:shd w:val="clear" w:color="auto" w:fill="auto"/>
            <w:vAlign w:val="bottom"/>
          </w:tcPr>
          <w:p w14:paraId="51082186"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Бабаюртовский</w:t>
            </w:r>
          </w:p>
        </w:tc>
        <w:tc>
          <w:tcPr>
            <w:tcW w:w="1260" w:type="dxa"/>
            <w:tcBorders>
              <w:top w:val="nil"/>
              <w:left w:val="nil"/>
              <w:bottom w:val="single" w:sz="4" w:space="0" w:color="auto"/>
              <w:right w:val="single" w:sz="4" w:space="0" w:color="auto"/>
            </w:tcBorders>
            <w:shd w:val="clear" w:color="auto" w:fill="auto"/>
            <w:noWrap/>
            <w:vAlign w:val="bottom"/>
          </w:tcPr>
          <w:p w14:paraId="3FFAE18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2 295,8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6ABD03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1 307,4 </w:t>
            </w:r>
          </w:p>
        </w:tc>
        <w:tc>
          <w:tcPr>
            <w:tcW w:w="1260" w:type="dxa"/>
            <w:gridSpan w:val="2"/>
            <w:tcBorders>
              <w:top w:val="nil"/>
              <w:left w:val="nil"/>
              <w:bottom w:val="single" w:sz="4" w:space="0" w:color="auto"/>
              <w:right w:val="single" w:sz="4" w:space="0" w:color="auto"/>
            </w:tcBorders>
            <w:shd w:val="clear" w:color="auto" w:fill="auto"/>
            <w:noWrap/>
            <w:vAlign w:val="bottom"/>
          </w:tcPr>
          <w:p w14:paraId="585EA5D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- 988,4  </w:t>
            </w:r>
          </w:p>
        </w:tc>
        <w:tc>
          <w:tcPr>
            <w:tcW w:w="1440" w:type="dxa"/>
            <w:tcBorders>
              <w:top w:val="nil"/>
              <w:left w:val="nil"/>
              <w:bottom w:val="single" w:sz="4" w:space="0" w:color="auto"/>
              <w:right w:val="single" w:sz="4" w:space="0" w:color="auto"/>
            </w:tcBorders>
            <w:shd w:val="clear" w:color="000000" w:fill="FFFFFF"/>
            <w:noWrap/>
            <w:vAlign w:val="bottom"/>
          </w:tcPr>
          <w:p w14:paraId="420D123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0A81353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8602359" w14:textId="77777777" w:rsidTr="00545B6E">
        <w:trPr>
          <w:trHeight w:val="183"/>
        </w:trPr>
        <w:tc>
          <w:tcPr>
            <w:tcW w:w="567" w:type="dxa"/>
            <w:tcBorders>
              <w:top w:val="nil"/>
              <w:left w:val="single" w:sz="4" w:space="0" w:color="auto"/>
              <w:bottom w:val="single" w:sz="4" w:space="0" w:color="auto"/>
              <w:right w:val="single" w:sz="4" w:space="0" w:color="auto"/>
            </w:tcBorders>
            <w:shd w:val="clear" w:color="auto" w:fill="auto"/>
            <w:vAlign w:val="bottom"/>
          </w:tcPr>
          <w:p w14:paraId="310143B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6</w:t>
            </w:r>
          </w:p>
        </w:tc>
        <w:tc>
          <w:tcPr>
            <w:tcW w:w="2133" w:type="dxa"/>
            <w:tcBorders>
              <w:top w:val="nil"/>
              <w:left w:val="nil"/>
              <w:bottom w:val="single" w:sz="4" w:space="0" w:color="auto"/>
              <w:right w:val="single" w:sz="4" w:space="0" w:color="auto"/>
            </w:tcBorders>
            <w:shd w:val="clear" w:color="auto" w:fill="auto"/>
            <w:vAlign w:val="bottom"/>
          </w:tcPr>
          <w:p w14:paraId="188EB38C"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Ботлихский</w:t>
            </w:r>
          </w:p>
        </w:tc>
        <w:tc>
          <w:tcPr>
            <w:tcW w:w="1260" w:type="dxa"/>
            <w:tcBorders>
              <w:top w:val="nil"/>
              <w:left w:val="nil"/>
              <w:bottom w:val="single" w:sz="4" w:space="0" w:color="auto"/>
              <w:right w:val="single" w:sz="4" w:space="0" w:color="auto"/>
            </w:tcBorders>
            <w:shd w:val="clear" w:color="auto" w:fill="auto"/>
            <w:noWrap/>
            <w:vAlign w:val="bottom"/>
          </w:tcPr>
          <w:p w14:paraId="358AB7F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15 322,3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25C0116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11 491,7 </w:t>
            </w:r>
          </w:p>
        </w:tc>
        <w:tc>
          <w:tcPr>
            <w:tcW w:w="1260" w:type="dxa"/>
            <w:gridSpan w:val="2"/>
            <w:tcBorders>
              <w:top w:val="nil"/>
              <w:left w:val="nil"/>
              <w:bottom w:val="single" w:sz="4" w:space="0" w:color="auto"/>
              <w:right w:val="single" w:sz="4" w:space="0" w:color="auto"/>
            </w:tcBorders>
            <w:shd w:val="clear" w:color="auto" w:fill="auto"/>
            <w:noWrap/>
            <w:vAlign w:val="bottom"/>
          </w:tcPr>
          <w:p w14:paraId="5467E59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- 3 830,6  </w:t>
            </w:r>
          </w:p>
        </w:tc>
        <w:tc>
          <w:tcPr>
            <w:tcW w:w="1440" w:type="dxa"/>
            <w:tcBorders>
              <w:top w:val="nil"/>
              <w:left w:val="nil"/>
              <w:bottom w:val="single" w:sz="4" w:space="0" w:color="auto"/>
              <w:right w:val="single" w:sz="4" w:space="0" w:color="auto"/>
            </w:tcBorders>
            <w:shd w:val="clear" w:color="000000" w:fill="FFFFFF"/>
            <w:noWrap/>
            <w:vAlign w:val="bottom"/>
          </w:tcPr>
          <w:p w14:paraId="30DEED6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15 322,3 </w:t>
            </w:r>
          </w:p>
        </w:tc>
        <w:tc>
          <w:tcPr>
            <w:tcW w:w="1440" w:type="dxa"/>
            <w:tcBorders>
              <w:top w:val="nil"/>
              <w:left w:val="nil"/>
              <w:bottom w:val="single" w:sz="4" w:space="0" w:color="auto"/>
              <w:right w:val="single" w:sz="4" w:space="0" w:color="auto"/>
            </w:tcBorders>
            <w:shd w:val="clear" w:color="000000" w:fill="FFFFFF"/>
            <w:noWrap/>
            <w:vAlign w:val="bottom"/>
          </w:tcPr>
          <w:p w14:paraId="734565D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11 491,7 </w:t>
            </w:r>
          </w:p>
        </w:tc>
      </w:tr>
      <w:tr w:rsidR="0053266A" w:rsidRPr="0053266A" w14:paraId="41A33E2B" w14:textId="77777777" w:rsidTr="00545B6E">
        <w:trPr>
          <w:trHeight w:val="88"/>
        </w:trPr>
        <w:tc>
          <w:tcPr>
            <w:tcW w:w="567" w:type="dxa"/>
            <w:tcBorders>
              <w:top w:val="nil"/>
              <w:left w:val="single" w:sz="4" w:space="0" w:color="auto"/>
              <w:bottom w:val="single" w:sz="4" w:space="0" w:color="auto"/>
              <w:right w:val="single" w:sz="4" w:space="0" w:color="auto"/>
            </w:tcBorders>
            <w:shd w:val="clear" w:color="auto" w:fill="auto"/>
            <w:vAlign w:val="bottom"/>
          </w:tcPr>
          <w:p w14:paraId="2B38E32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7</w:t>
            </w:r>
          </w:p>
        </w:tc>
        <w:tc>
          <w:tcPr>
            <w:tcW w:w="2133" w:type="dxa"/>
            <w:tcBorders>
              <w:top w:val="nil"/>
              <w:left w:val="nil"/>
              <w:bottom w:val="single" w:sz="4" w:space="0" w:color="auto"/>
              <w:right w:val="single" w:sz="4" w:space="0" w:color="auto"/>
            </w:tcBorders>
            <w:shd w:val="clear" w:color="auto" w:fill="auto"/>
            <w:vAlign w:val="bottom"/>
          </w:tcPr>
          <w:p w14:paraId="406E1BA4"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Буйнакский</w:t>
            </w:r>
          </w:p>
        </w:tc>
        <w:tc>
          <w:tcPr>
            <w:tcW w:w="1260" w:type="dxa"/>
            <w:tcBorders>
              <w:top w:val="nil"/>
              <w:left w:val="nil"/>
              <w:bottom w:val="single" w:sz="4" w:space="0" w:color="auto"/>
              <w:right w:val="single" w:sz="4" w:space="0" w:color="auto"/>
            </w:tcBorders>
            <w:shd w:val="clear" w:color="auto" w:fill="auto"/>
            <w:noWrap/>
            <w:vAlign w:val="bottom"/>
          </w:tcPr>
          <w:p w14:paraId="5B27345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3 629,5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0A0F348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1 920,0 </w:t>
            </w:r>
          </w:p>
        </w:tc>
        <w:tc>
          <w:tcPr>
            <w:tcW w:w="1260" w:type="dxa"/>
            <w:gridSpan w:val="2"/>
            <w:tcBorders>
              <w:top w:val="nil"/>
              <w:left w:val="nil"/>
              <w:bottom w:val="single" w:sz="4" w:space="0" w:color="auto"/>
              <w:right w:val="single" w:sz="4" w:space="0" w:color="auto"/>
            </w:tcBorders>
            <w:shd w:val="clear" w:color="auto" w:fill="auto"/>
            <w:noWrap/>
            <w:vAlign w:val="bottom"/>
          </w:tcPr>
          <w:p w14:paraId="045E4FB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- 1 709,5  </w:t>
            </w:r>
          </w:p>
        </w:tc>
        <w:tc>
          <w:tcPr>
            <w:tcW w:w="1440" w:type="dxa"/>
            <w:tcBorders>
              <w:top w:val="nil"/>
              <w:left w:val="nil"/>
              <w:bottom w:val="single" w:sz="4" w:space="0" w:color="auto"/>
              <w:right w:val="single" w:sz="4" w:space="0" w:color="auto"/>
            </w:tcBorders>
            <w:shd w:val="clear" w:color="000000" w:fill="FFFFFF"/>
            <w:noWrap/>
            <w:vAlign w:val="bottom"/>
          </w:tcPr>
          <w:p w14:paraId="31242BC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53B0D33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CF7B3A0" w14:textId="77777777" w:rsidTr="00545B6E">
        <w:trPr>
          <w:trHeight w:val="133"/>
        </w:trPr>
        <w:tc>
          <w:tcPr>
            <w:tcW w:w="567" w:type="dxa"/>
            <w:tcBorders>
              <w:top w:val="nil"/>
              <w:left w:val="single" w:sz="4" w:space="0" w:color="auto"/>
              <w:bottom w:val="single" w:sz="4" w:space="0" w:color="auto"/>
              <w:right w:val="single" w:sz="4" w:space="0" w:color="auto"/>
            </w:tcBorders>
            <w:shd w:val="clear" w:color="auto" w:fill="auto"/>
            <w:vAlign w:val="bottom"/>
          </w:tcPr>
          <w:p w14:paraId="2E94CE0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8</w:t>
            </w:r>
          </w:p>
        </w:tc>
        <w:tc>
          <w:tcPr>
            <w:tcW w:w="2133" w:type="dxa"/>
            <w:tcBorders>
              <w:top w:val="nil"/>
              <w:left w:val="nil"/>
              <w:bottom w:val="single" w:sz="4" w:space="0" w:color="auto"/>
              <w:right w:val="single" w:sz="4" w:space="0" w:color="auto"/>
            </w:tcBorders>
            <w:shd w:val="clear" w:color="auto" w:fill="auto"/>
            <w:vAlign w:val="bottom"/>
          </w:tcPr>
          <w:p w14:paraId="1DB0337E"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Гергебильский</w:t>
            </w:r>
          </w:p>
        </w:tc>
        <w:tc>
          <w:tcPr>
            <w:tcW w:w="1260" w:type="dxa"/>
            <w:tcBorders>
              <w:top w:val="nil"/>
              <w:left w:val="nil"/>
              <w:bottom w:val="single" w:sz="4" w:space="0" w:color="auto"/>
              <w:right w:val="single" w:sz="4" w:space="0" w:color="auto"/>
            </w:tcBorders>
            <w:shd w:val="clear" w:color="auto" w:fill="auto"/>
            <w:noWrap/>
            <w:vAlign w:val="bottom"/>
          </w:tcPr>
          <w:p w14:paraId="0BB4198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16 000,0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745199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15 600,0 </w:t>
            </w:r>
          </w:p>
        </w:tc>
        <w:tc>
          <w:tcPr>
            <w:tcW w:w="1260" w:type="dxa"/>
            <w:gridSpan w:val="2"/>
            <w:tcBorders>
              <w:top w:val="nil"/>
              <w:left w:val="nil"/>
              <w:bottom w:val="single" w:sz="4" w:space="0" w:color="auto"/>
              <w:right w:val="single" w:sz="4" w:space="0" w:color="auto"/>
            </w:tcBorders>
            <w:shd w:val="clear" w:color="auto" w:fill="auto"/>
            <w:noWrap/>
            <w:vAlign w:val="bottom"/>
          </w:tcPr>
          <w:p w14:paraId="50F3170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- 400,0  </w:t>
            </w:r>
          </w:p>
        </w:tc>
        <w:tc>
          <w:tcPr>
            <w:tcW w:w="1440" w:type="dxa"/>
            <w:tcBorders>
              <w:top w:val="nil"/>
              <w:left w:val="nil"/>
              <w:bottom w:val="single" w:sz="4" w:space="0" w:color="auto"/>
              <w:right w:val="single" w:sz="4" w:space="0" w:color="auto"/>
            </w:tcBorders>
            <w:shd w:val="clear" w:color="000000" w:fill="FFFFFF"/>
            <w:noWrap/>
            <w:vAlign w:val="bottom"/>
          </w:tcPr>
          <w:p w14:paraId="18C8818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16 000,0 </w:t>
            </w:r>
          </w:p>
        </w:tc>
        <w:tc>
          <w:tcPr>
            <w:tcW w:w="1440" w:type="dxa"/>
            <w:tcBorders>
              <w:top w:val="nil"/>
              <w:left w:val="nil"/>
              <w:bottom w:val="single" w:sz="4" w:space="0" w:color="auto"/>
              <w:right w:val="single" w:sz="4" w:space="0" w:color="auto"/>
            </w:tcBorders>
            <w:shd w:val="clear" w:color="000000" w:fill="FFFFFF"/>
            <w:noWrap/>
            <w:vAlign w:val="bottom"/>
          </w:tcPr>
          <w:p w14:paraId="5F1ED5A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15 600,0 </w:t>
            </w:r>
          </w:p>
        </w:tc>
      </w:tr>
      <w:tr w:rsidR="0053266A" w:rsidRPr="0053266A" w14:paraId="47F42F2A" w14:textId="77777777" w:rsidTr="00545B6E">
        <w:trPr>
          <w:trHeight w:val="180"/>
        </w:trPr>
        <w:tc>
          <w:tcPr>
            <w:tcW w:w="567" w:type="dxa"/>
            <w:tcBorders>
              <w:top w:val="nil"/>
              <w:left w:val="single" w:sz="4" w:space="0" w:color="auto"/>
              <w:bottom w:val="single" w:sz="4" w:space="0" w:color="auto"/>
              <w:right w:val="single" w:sz="4" w:space="0" w:color="auto"/>
            </w:tcBorders>
            <w:shd w:val="clear" w:color="auto" w:fill="auto"/>
            <w:vAlign w:val="bottom"/>
          </w:tcPr>
          <w:p w14:paraId="05B2C4F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9</w:t>
            </w:r>
          </w:p>
        </w:tc>
        <w:tc>
          <w:tcPr>
            <w:tcW w:w="2133" w:type="dxa"/>
            <w:tcBorders>
              <w:top w:val="nil"/>
              <w:left w:val="nil"/>
              <w:bottom w:val="single" w:sz="4" w:space="0" w:color="auto"/>
              <w:right w:val="single" w:sz="4" w:space="0" w:color="auto"/>
            </w:tcBorders>
            <w:shd w:val="clear" w:color="auto" w:fill="auto"/>
            <w:vAlign w:val="bottom"/>
          </w:tcPr>
          <w:p w14:paraId="3639ED6D"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Гумбетовский</w:t>
            </w:r>
          </w:p>
        </w:tc>
        <w:tc>
          <w:tcPr>
            <w:tcW w:w="1260" w:type="dxa"/>
            <w:tcBorders>
              <w:top w:val="nil"/>
              <w:left w:val="nil"/>
              <w:bottom w:val="single" w:sz="4" w:space="0" w:color="auto"/>
              <w:right w:val="single" w:sz="4" w:space="0" w:color="auto"/>
            </w:tcBorders>
            <w:shd w:val="clear" w:color="auto" w:fill="auto"/>
            <w:noWrap/>
            <w:vAlign w:val="bottom"/>
          </w:tcPr>
          <w:p w14:paraId="675637F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1 756,4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71AD5EC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1 756,4 </w:t>
            </w:r>
          </w:p>
        </w:tc>
        <w:tc>
          <w:tcPr>
            <w:tcW w:w="1260" w:type="dxa"/>
            <w:gridSpan w:val="2"/>
            <w:tcBorders>
              <w:top w:val="nil"/>
              <w:left w:val="nil"/>
              <w:bottom w:val="single" w:sz="4" w:space="0" w:color="auto"/>
              <w:right w:val="single" w:sz="4" w:space="0" w:color="auto"/>
            </w:tcBorders>
            <w:shd w:val="clear" w:color="auto" w:fill="auto"/>
            <w:noWrap/>
            <w:vAlign w:val="bottom"/>
          </w:tcPr>
          <w:p w14:paraId="231B1CD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622F394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48B44CD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B39CA9A" w14:textId="77777777" w:rsidTr="00545B6E">
        <w:trPr>
          <w:trHeight w:val="70"/>
        </w:trPr>
        <w:tc>
          <w:tcPr>
            <w:tcW w:w="567" w:type="dxa"/>
            <w:tcBorders>
              <w:top w:val="nil"/>
              <w:left w:val="single" w:sz="4" w:space="0" w:color="auto"/>
              <w:bottom w:val="single" w:sz="4" w:space="0" w:color="auto"/>
              <w:right w:val="single" w:sz="4" w:space="0" w:color="auto"/>
            </w:tcBorders>
            <w:shd w:val="clear" w:color="auto" w:fill="auto"/>
            <w:vAlign w:val="bottom"/>
          </w:tcPr>
          <w:p w14:paraId="7DC2496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10</w:t>
            </w:r>
          </w:p>
        </w:tc>
        <w:tc>
          <w:tcPr>
            <w:tcW w:w="2133" w:type="dxa"/>
            <w:tcBorders>
              <w:top w:val="nil"/>
              <w:left w:val="nil"/>
              <w:bottom w:val="single" w:sz="4" w:space="0" w:color="auto"/>
              <w:right w:val="single" w:sz="4" w:space="0" w:color="auto"/>
            </w:tcBorders>
            <w:shd w:val="clear" w:color="auto" w:fill="auto"/>
            <w:vAlign w:val="bottom"/>
          </w:tcPr>
          <w:p w14:paraId="2186EAE2"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Гунибский</w:t>
            </w:r>
          </w:p>
        </w:tc>
        <w:tc>
          <w:tcPr>
            <w:tcW w:w="1260" w:type="dxa"/>
            <w:tcBorders>
              <w:top w:val="nil"/>
              <w:left w:val="nil"/>
              <w:bottom w:val="single" w:sz="4" w:space="0" w:color="auto"/>
              <w:right w:val="single" w:sz="4" w:space="0" w:color="auto"/>
            </w:tcBorders>
            <w:shd w:val="clear" w:color="auto" w:fill="auto"/>
            <w:noWrap/>
            <w:vAlign w:val="bottom"/>
          </w:tcPr>
          <w:p w14:paraId="4FED9A5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60 786,0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69461AC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56 279,0 </w:t>
            </w:r>
          </w:p>
        </w:tc>
        <w:tc>
          <w:tcPr>
            <w:tcW w:w="1260" w:type="dxa"/>
            <w:gridSpan w:val="2"/>
            <w:tcBorders>
              <w:top w:val="nil"/>
              <w:left w:val="nil"/>
              <w:bottom w:val="single" w:sz="4" w:space="0" w:color="auto"/>
              <w:right w:val="single" w:sz="4" w:space="0" w:color="auto"/>
            </w:tcBorders>
            <w:shd w:val="clear" w:color="auto" w:fill="auto"/>
            <w:noWrap/>
            <w:vAlign w:val="bottom"/>
          </w:tcPr>
          <w:p w14:paraId="417EEA3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- 4 507,0  </w:t>
            </w:r>
          </w:p>
        </w:tc>
        <w:tc>
          <w:tcPr>
            <w:tcW w:w="1440" w:type="dxa"/>
            <w:tcBorders>
              <w:top w:val="nil"/>
              <w:left w:val="nil"/>
              <w:bottom w:val="single" w:sz="4" w:space="0" w:color="auto"/>
              <w:right w:val="single" w:sz="4" w:space="0" w:color="auto"/>
            </w:tcBorders>
            <w:shd w:val="clear" w:color="000000" w:fill="FFFFFF"/>
            <w:noWrap/>
            <w:vAlign w:val="bottom"/>
          </w:tcPr>
          <w:p w14:paraId="3CECEFB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40 800,0 </w:t>
            </w:r>
          </w:p>
        </w:tc>
        <w:tc>
          <w:tcPr>
            <w:tcW w:w="1440" w:type="dxa"/>
            <w:tcBorders>
              <w:top w:val="nil"/>
              <w:left w:val="nil"/>
              <w:bottom w:val="single" w:sz="4" w:space="0" w:color="auto"/>
              <w:right w:val="single" w:sz="4" w:space="0" w:color="auto"/>
            </w:tcBorders>
            <w:shd w:val="clear" w:color="000000" w:fill="FFFFFF"/>
            <w:noWrap/>
            <w:vAlign w:val="bottom"/>
          </w:tcPr>
          <w:p w14:paraId="68B60DB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39 780,0 </w:t>
            </w:r>
          </w:p>
        </w:tc>
      </w:tr>
      <w:tr w:rsidR="0053266A" w:rsidRPr="0053266A" w14:paraId="1651D882" w14:textId="77777777" w:rsidTr="00545B6E">
        <w:trPr>
          <w:trHeight w:val="116"/>
        </w:trPr>
        <w:tc>
          <w:tcPr>
            <w:tcW w:w="567" w:type="dxa"/>
            <w:tcBorders>
              <w:top w:val="nil"/>
              <w:left w:val="single" w:sz="4" w:space="0" w:color="auto"/>
              <w:bottom w:val="single" w:sz="4" w:space="0" w:color="auto"/>
              <w:right w:val="single" w:sz="4" w:space="0" w:color="auto"/>
            </w:tcBorders>
            <w:shd w:val="clear" w:color="auto" w:fill="auto"/>
            <w:vAlign w:val="bottom"/>
          </w:tcPr>
          <w:p w14:paraId="631E3F99"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11</w:t>
            </w:r>
          </w:p>
        </w:tc>
        <w:tc>
          <w:tcPr>
            <w:tcW w:w="2133" w:type="dxa"/>
            <w:tcBorders>
              <w:top w:val="nil"/>
              <w:left w:val="nil"/>
              <w:bottom w:val="single" w:sz="4" w:space="0" w:color="auto"/>
              <w:right w:val="single" w:sz="4" w:space="0" w:color="auto"/>
            </w:tcBorders>
            <w:shd w:val="clear" w:color="auto" w:fill="auto"/>
            <w:vAlign w:val="bottom"/>
          </w:tcPr>
          <w:p w14:paraId="1A7ABFA1"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Дахадаевский</w:t>
            </w:r>
          </w:p>
        </w:tc>
        <w:tc>
          <w:tcPr>
            <w:tcW w:w="1260" w:type="dxa"/>
            <w:tcBorders>
              <w:top w:val="nil"/>
              <w:left w:val="nil"/>
              <w:bottom w:val="single" w:sz="4" w:space="0" w:color="auto"/>
              <w:right w:val="single" w:sz="4" w:space="0" w:color="auto"/>
            </w:tcBorders>
            <w:shd w:val="clear" w:color="auto" w:fill="auto"/>
            <w:noWrap/>
            <w:vAlign w:val="bottom"/>
          </w:tcPr>
          <w:p w14:paraId="72163E4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14 092,7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5A6126B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9 849,7 </w:t>
            </w:r>
          </w:p>
        </w:tc>
        <w:tc>
          <w:tcPr>
            <w:tcW w:w="1260" w:type="dxa"/>
            <w:gridSpan w:val="2"/>
            <w:tcBorders>
              <w:top w:val="nil"/>
              <w:left w:val="nil"/>
              <w:bottom w:val="single" w:sz="4" w:space="0" w:color="auto"/>
              <w:right w:val="single" w:sz="4" w:space="0" w:color="auto"/>
            </w:tcBorders>
            <w:shd w:val="clear" w:color="auto" w:fill="auto"/>
            <w:noWrap/>
            <w:vAlign w:val="bottom"/>
          </w:tcPr>
          <w:p w14:paraId="5C17991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- 4 243,0  </w:t>
            </w:r>
          </w:p>
        </w:tc>
        <w:tc>
          <w:tcPr>
            <w:tcW w:w="1440" w:type="dxa"/>
            <w:tcBorders>
              <w:top w:val="nil"/>
              <w:left w:val="nil"/>
              <w:bottom w:val="single" w:sz="4" w:space="0" w:color="auto"/>
              <w:right w:val="single" w:sz="4" w:space="0" w:color="auto"/>
            </w:tcBorders>
            <w:shd w:val="clear" w:color="000000" w:fill="FFFFFF"/>
            <w:noWrap/>
            <w:vAlign w:val="bottom"/>
          </w:tcPr>
          <w:p w14:paraId="1058FA4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8 000,0 </w:t>
            </w:r>
          </w:p>
        </w:tc>
        <w:tc>
          <w:tcPr>
            <w:tcW w:w="1440" w:type="dxa"/>
            <w:tcBorders>
              <w:top w:val="nil"/>
              <w:left w:val="nil"/>
              <w:bottom w:val="single" w:sz="4" w:space="0" w:color="auto"/>
              <w:right w:val="single" w:sz="4" w:space="0" w:color="auto"/>
            </w:tcBorders>
            <w:shd w:val="clear" w:color="000000" w:fill="FFFFFF"/>
            <w:noWrap/>
            <w:vAlign w:val="bottom"/>
          </w:tcPr>
          <w:p w14:paraId="4087018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7 800,0 </w:t>
            </w:r>
          </w:p>
        </w:tc>
      </w:tr>
      <w:tr w:rsidR="0053266A" w:rsidRPr="0053266A" w14:paraId="2EC15738" w14:textId="77777777" w:rsidTr="00545B6E">
        <w:trPr>
          <w:trHeight w:val="162"/>
        </w:trPr>
        <w:tc>
          <w:tcPr>
            <w:tcW w:w="567" w:type="dxa"/>
            <w:tcBorders>
              <w:top w:val="nil"/>
              <w:left w:val="single" w:sz="4" w:space="0" w:color="auto"/>
              <w:bottom w:val="single" w:sz="4" w:space="0" w:color="auto"/>
              <w:right w:val="single" w:sz="4" w:space="0" w:color="auto"/>
            </w:tcBorders>
            <w:shd w:val="clear" w:color="auto" w:fill="auto"/>
            <w:vAlign w:val="bottom"/>
          </w:tcPr>
          <w:p w14:paraId="5CEBA58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12</w:t>
            </w:r>
          </w:p>
        </w:tc>
        <w:tc>
          <w:tcPr>
            <w:tcW w:w="2133" w:type="dxa"/>
            <w:tcBorders>
              <w:top w:val="nil"/>
              <w:left w:val="nil"/>
              <w:bottom w:val="single" w:sz="4" w:space="0" w:color="auto"/>
              <w:right w:val="single" w:sz="4" w:space="0" w:color="auto"/>
            </w:tcBorders>
            <w:shd w:val="clear" w:color="auto" w:fill="auto"/>
            <w:vAlign w:val="bottom"/>
          </w:tcPr>
          <w:p w14:paraId="57391B21"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Дербентский</w:t>
            </w:r>
          </w:p>
        </w:tc>
        <w:tc>
          <w:tcPr>
            <w:tcW w:w="1260" w:type="dxa"/>
            <w:tcBorders>
              <w:top w:val="nil"/>
              <w:left w:val="nil"/>
              <w:bottom w:val="single" w:sz="4" w:space="0" w:color="auto"/>
              <w:right w:val="single" w:sz="4" w:space="0" w:color="auto"/>
            </w:tcBorders>
            <w:shd w:val="clear" w:color="auto" w:fill="auto"/>
            <w:noWrap/>
            <w:vAlign w:val="bottom"/>
          </w:tcPr>
          <w:p w14:paraId="44D2B5F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4 557,0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629B19D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3 137,7 </w:t>
            </w:r>
          </w:p>
        </w:tc>
        <w:tc>
          <w:tcPr>
            <w:tcW w:w="1260" w:type="dxa"/>
            <w:gridSpan w:val="2"/>
            <w:tcBorders>
              <w:top w:val="nil"/>
              <w:left w:val="nil"/>
              <w:bottom w:val="single" w:sz="4" w:space="0" w:color="auto"/>
              <w:right w:val="single" w:sz="4" w:space="0" w:color="auto"/>
            </w:tcBorders>
            <w:shd w:val="clear" w:color="auto" w:fill="auto"/>
            <w:noWrap/>
            <w:vAlign w:val="bottom"/>
          </w:tcPr>
          <w:p w14:paraId="733C5DB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- 1 419,3  </w:t>
            </w:r>
          </w:p>
        </w:tc>
        <w:tc>
          <w:tcPr>
            <w:tcW w:w="1440" w:type="dxa"/>
            <w:tcBorders>
              <w:top w:val="nil"/>
              <w:left w:val="nil"/>
              <w:bottom w:val="single" w:sz="4" w:space="0" w:color="auto"/>
              <w:right w:val="single" w:sz="4" w:space="0" w:color="auto"/>
            </w:tcBorders>
            <w:shd w:val="clear" w:color="000000" w:fill="FFFFFF"/>
            <w:noWrap/>
            <w:vAlign w:val="bottom"/>
          </w:tcPr>
          <w:p w14:paraId="6DE54B2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auto" w:fill="auto"/>
            <w:noWrap/>
            <w:vAlign w:val="bottom"/>
          </w:tcPr>
          <w:p w14:paraId="10808D8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7237B161" w14:textId="77777777" w:rsidTr="00545B6E">
        <w:trPr>
          <w:trHeight w:val="70"/>
        </w:trPr>
        <w:tc>
          <w:tcPr>
            <w:tcW w:w="567" w:type="dxa"/>
            <w:tcBorders>
              <w:top w:val="nil"/>
              <w:left w:val="single" w:sz="4" w:space="0" w:color="auto"/>
              <w:bottom w:val="single" w:sz="4" w:space="0" w:color="auto"/>
              <w:right w:val="single" w:sz="4" w:space="0" w:color="auto"/>
            </w:tcBorders>
            <w:shd w:val="clear" w:color="auto" w:fill="auto"/>
            <w:vAlign w:val="bottom"/>
          </w:tcPr>
          <w:p w14:paraId="4A3BD28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13</w:t>
            </w:r>
          </w:p>
        </w:tc>
        <w:tc>
          <w:tcPr>
            <w:tcW w:w="2133" w:type="dxa"/>
            <w:tcBorders>
              <w:top w:val="nil"/>
              <w:left w:val="nil"/>
              <w:bottom w:val="single" w:sz="4" w:space="0" w:color="auto"/>
              <w:right w:val="single" w:sz="4" w:space="0" w:color="auto"/>
            </w:tcBorders>
            <w:shd w:val="clear" w:color="auto" w:fill="auto"/>
            <w:vAlign w:val="bottom"/>
          </w:tcPr>
          <w:p w14:paraId="7407DD41"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Докузпаринский</w:t>
            </w:r>
          </w:p>
        </w:tc>
        <w:tc>
          <w:tcPr>
            <w:tcW w:w="1260" w:type="dxa"/>
            <w:tcBorders>
              <w:top w:val="nil"/>
              <w:left w:val="nil"/>
              <w:bottom w:val="single" w:sz="4" w:space="0" w:color="auto"/>
              <w:right w:val="single" w:sz="4" w:space="0" w:color="auto"/>
            </w:tcBorders>
            <w:shd w:val="clear" w:color="auto" w:fill="auto"/>
            <w:noWrap/>
            <w:vAlign w:val="bottom"/>
          </w:tcPr>
          <w:p w14:paraId="6CBFF58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B3A4F7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2707A74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6BAA26B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799C09F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7BC5A30" w14:textId="77777777" w:rsidTr="00545B6E">
        <w:trPr>
          <w:trHeight w:val="112"/>
        </w:trPr>
        <w:tc>
          <w:tcPr>
            <w:tcW w:w="567" w:type="dxa"/>
            <w:tcBorders>
              <w:top w:val="nil"/>
              <w:left w:val="single" w:sz="4" w:space="0" w:color="auto"/>
              <w:bottom w:val="single" w:sz="4" w:space="0" w:color="auto"/>
              <w:right w:val="single" w:sz="4" w:space="0" w:color="auto"/>
            </w:tcBorders>
            <w:shd w:val="clear" w:color="auto" w:fill="auto"/>
            <w:vAlign w:val="bottom"/>
          </w:tcPr>
          <w:p w14:paraId="5D9CD64A"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14</w:t>
            </w:r>
          </w:p>
        </w:tc>
        <w:tc>
          <w:tcPr>
            <w:tcW w:w="2133" w:type="dxa"/>
            <w:tcBorders>
              <w:top w:val="nil"/>
              <w:left w:val="nil"/>
              <w:bottom w:val="single" w:sz="4" w:space="0" w:color="auto"/>
              <w:right w:val="single" w:sz="4" w:space="0" w:color="auto"/>
            </w:tcBorders>
            <w:shd w:val="clear" w:color="auto" w:fill="auto"/>
            <w:vAlign w:val="bottom"/>
          </w:tcPr>
          <w:p w14:paraId="64D5BF0E"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Казбековский</w:t>
            </w:r>
          </w:p>
        </w:tc>
        <w:tc>
          <w:tcPr>
            <w:tcW w:w="1260" w:type="dxa"/>
            <w:tcBorders>
              <w:top w:val="nil"/>
              <w:left w:val="nil"/>
              <w:bottom w:val="single" w:sz="4" w:space="0" w:color="auto"/>
              <w:right w:val="single" w:sz="4" w:space="0" w:color="auto"/>
            </w:tcBorders>
            <w:shd w:val="clear" w:color="auto" w:fill="auto"/>
            <w:noWrap/>
            <w:vAlign w:val="bottom"/>
          </w:tcPr>
          <w:p w14:paraId="770F64A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795,0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24967D4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556,4 </w:t>
            </w:r>
          </w:p>
        </w:tc>
        <w:tc>
          <w:tcPr>
            <w:tcW w:w="1260" w:type="dxa"/>
            <w:gridSpan w:val="2"/>
            <w:tcBorders>
              <w:top w:val="nil"/>
              <w:left w:val="nil"/>
              <w:bottom w:val="single" w:sz="4" w:space="0" w:color="auto"/>
              <w:right w:val="single" w:sz="4" w:space="0" w:color="auto"/>
            </w:tcBorders>
            <w:shd w:val="clear" w:color="auto" w:fill="auto"/>
            <w:noWrap/>
            <w:vAlign w:val="bottom"/>
          </w:tcPr>
          <w:p w14:paraId="3C51797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- 238,6  </w:t>
            </w:r>
          </w:p>
        </w:tc>
        <w:tc>
          <w:tcPr>
            <w:tcW w:w="1440" w:type="dxa"/>
            <w:tcBorders>
              <w:top w:val="nil"/>
              <w:left w:val="nil"/>
              <w:bottom w:val="single" w:sz="4" w:space="0" w:color="auto"/>
              <w:right w:val="single" w:sz="4" w:space="0" w:color="auto"/>
            </w:tcBorders>
            <w:shd w:val="clear" w:color="000000" w:fill="FFFFFF"/>
            <w:noWrap/>
            <w:vAlign w:val="bottom"/>
          </w:tcPr>
          <w:p w14:paraId="1CAEA90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7397F5C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3B12A6D" w14:textId="77777777" w:rsidTr="00545B6E">
        <w:trPr>
          <w:trHeight w:val="157"/>
        </w:trPr>
        <w:tc>
          <w:tcPr>
            <w:tcW w:w="567" w:type="dxa"/>
            <w:tcBorders>
              <w:top w:val="nil"/>
              <w:left w:val="single" w:sz="4" w:space="0" w:color="auto"/>
              <w:bottom w:val="single" w:sz="4" w:space="0" w:color="auto"/>
              <w:right w:val="single" w:sz="4" w:space="0" w:color="auto"/>
            </w:tcBorders>
            <w:shd w:val="clear" w:color="auto" w:fill="auto"/>
            <w:vAlign w:val="bottom"/>
          </w:tcPr>
          <w:p w14:paraId="7FDCB22F"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15</w:t>
            </w:r>
          </w:p>
        </w:tc>
        <w:tc>
          <w:tcPr>
            <w:tcW w:w="2133" w:type="dxa"/>
            <w:tcBorders>
              <w:top w:val="nil"/>
              <w:left w:val="nil"/>
              <w:bottom w:val="single" w:sz="4" w:space="0" w:color="auto"/>
              <w:right w:val="single" w:sz="4" w:space="0" w:color="auto"/>
            </w:tcBorders>
            <w:shd w:val="clear" w:color="auto" w:fill="auto"/>
            <w:vAlign w:val="bottom"/>
          </w:tcPr>
          <w:p w14:paraId="50ACB19B"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Кайтагский</w:t>
            </w:r>
          </w:p>
        </w:tc>
        <w:tc>
          <w:tcPr>
            <w:tcW w:w="1260" w:type="dxa"/>
            <w:tcBorders>
              <w:top w:val="nil"/>
              <w:left w:val="nil"/>
              <w:bottom w:val="single" w:sz="4" w:space="0" w:color="auto"/>
              <w:right w:val="single" w:sz="4" w:space="0" w:color="auto"/>
            </w:tcBorders>
            <w:shd w:val="clear" w:color="auto" w:fill="auto"/>
            <w:noWrap/>
            <w:vAlign w:val="bottom"/>
          </w:tcPr>
          <w:p w14:paraId="0C265CF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6C8C7B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4FA2B7D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307345F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5150CC0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DD1493A" w14:textId="77777777" w:rsidTr="00545B6E">
        <w:trPr>
          <w:trHeight w:val="190"/>
        </w:trPr>
        <w:tc>
          <w:tcPr>
            <w:tcW w:w="567" w:type="dxa"/>
            <w:tcBorders>
              <w:top w:val="nil"/>
              <w:left w:val="single" w:sz="4" w:space="0" w:color="auto"/>
              <w:bottom w:val="single" w:sz="4" w:space="0" w:color="auto"/>
              <w:right w:val="single" w:sz="4" w:space="0" w:color="auto"/>
            </w:tcBorders>
            <w:shd w:val="clear" w:color="auto" w:fill="auto"/>
            <w:vAlign w:val="bottom"/>
          </w:tcPr>
          <w:p w14:paraId="5EB55C4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16</w:t>
            </w:r>
          </w:p>
        </w:tc>
        <w:tc>
          <w:tcPr>
            <w:tcW w:w="2133" w:type="dxa"/>
            <w:tcBorders>
              <w:top w:val="nil"/>
              <w:left w:val="nil"/>
              <w:bottom w:val="single" w:sz="4" w:space="0" w:color="auto"/>
              <w:right w:val="single" w:sz="4" w:space="0" w:color="auto"/>
            </w:tcBorders>
            <w:shd w:val="clear" w:color="auto" w:fill="auto"/>
            <w:vAlign w:val="bottom"/>
          </w:tcPr>
          <w:p w14:paraId="6EA30BD4"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Карабудахкентский</w:t>
            </w:r>
          </w:p>
        </w:tc>
        <w:tc>
          <w:tcPr>
            <w:tcW w:w="1260" w:type="dxa"/>
            <w:tcBorders>
              <w:top w:val="nil"/>
              <w:left w:val="nil"/>
              <w:bottom w:val="single" w:sz="4" w:space="0" w:color="auto"/>
              <w:right w:val="single" w:sz="4" w:space="0" w:color="auto"/>
            </w:tcBorders>
            <w:shd w:val="clear" w:color="auto" w:fill="auto"/>
            <w:noWrap/>
            <w:vAlign w:val="bottom"/>
          </w:tcPr>
          <w:p w14:paraId="0009A8A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32 760,0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0D9799B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31 920,0 </w:t>
            </w:r>
          </w:p>
        </w:tc>
        <w:tc>
          <w:tcPr>
            <w:tcW w:w="1260" w:type="dxa"/>
            <w:gridSpan w:val="2"/>
            <w:tcBorders>
              <w:top w:val="nil"/>
              <w:left w:val="nil"/>
              <w:bottom w:val="single" w:sz="4" w:space="0" w:color="auto"/>
              <w:right w:val="single" w:sz="4" w:space="0" w:color="auto"/>
            </w:tcBorders>
            <w:shd w:val="clear" w:color="auto" w:fill="auto"/>
            <w:noWrap/>
            <w:vAlign w:val="bottom"/>
          </w:tcPr>
          <w:p w14:paraId="0BEF9CF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- 840,0  </w:t>
            </w:r>
          </w:p>
        </w:tc>
        <w:tc>
          <w:tcPr>
            <w:tcW w:w="1440" w:type="dxa"/>
            <w:tcBorders>
              <w:top w:val="nil"/>
              <w:left w:val="nil"/>
              <w:bottom w:val="single" w:sz="4" w:space="0" w:color="auto"/>
              <w:right w:val="single" w:sz="4" w:space="0" w:color="auto"/>
            </w:tcBorders>
            <w:shd w:val="clear" w:color="000000" w:fill="FFFFFF"/>
            <w:noWrap/>
            <w:vAlign w:val="bottom"/>
          </w:tcPr>
          <w:p w14:paraId="0264FDA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32 760,0 </w:t>
            </w:r>
          </w:p>
        </w:tc>
        <w:tc>
          <w:tcPr>
            <w:tcW w:w="1440" w:type="dxa"/>
            <w:tcBorders>
              <w:top w:val="nil"/>
              <w:left w:val="nil"/>
              <w:bottom w:val="single" w:sz="4" w:space="0" w:color="auto"/>
              <w:right w:val="single" w:sz="4" w:space="0" w:color="auto"/>
            </w:tcBorders>
            <w:shd w:val="clear" w:color="000000" w:fill="FFFFFF"/>
            <w:noWrap/>
            <w:vAlign w:val="bottom"/>
          </w:tcPr>
          <w:p w14:paraId="7762A14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31 920,0 </w:t>
            </w:r>
          </w:p>
        </w:tc>
      </w:tr>
      <w:tr w:rsidR="0053266A" w:rsidRPr="0053266A" w14:paraId="28590194" w14:textId="77777777" w:rsidTr="00545B6E">
        <w:trPr>
          <w:trHeight w:val="94"/>
        </w:trPr>
        <w:tc>
          <w:tcPr>
            <w:tcW w:w="567" w:type="dxa"/>
            <w:tcBorders>
              <w:top w:val="nil"/>
              <w:left w:val="single" w:sz="4" w:space="0" w:color="auto"/>
              <w:bottom w:val="single" w:sz="4" w:space="0" w:color="auto"/>
              <w:right w:val="single" w:sz="4" w:space="0" w:color="auto"/>
            </w:tcBorders>
            <w:shd w:val="clear" w:color="auto" w:fill="auto"/>
            <w:vAlign w:val="bottom"/>
          </w:tcPr>
          <w:p w14:paraId="00F2EBCC"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17</w:t>
            </w:r>
          </w:p>
        </w:tc>
        <w:tc>
          <w:tcPr>
            <w:tcW w:w="2133" w:type="dxa"/>
            <w:tcBorders>
              <w:top w:val="nil"/>
              <w:left w:val="nil"/>
              <w:bottom w:val="single" w:sz="4" w:space="0" w:color="auto"/>
              <w:right w:val="single" w:sz="4" w:space="0" w:color="auto"/>
            </w:tcBorders>
            <w:shd w:val="clear" w:color="auto" w:fill="auto"/>
            <w:vAlign w:val="bottom"/>
          </w:tcPr>
          <w:p w14:paraId="024CADA8"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Каякентский</w:t>
            </w:r>
          </w:p>
        </w:tc>
        <w:tc>
          <w:tcPr>
            <w:tcW w:w="1260" w:type="dxa"/>
            <w:tcBorders>
              <w:top w:val="nil"/>
              <w:left w:val="nil"/>
              <w:bottom w:val="single" w:sz="4" w:space="0" w:color="auto"/>
              <w:right w:val="single" w:sz="4" w:space="0" w:color="auto"/>
            </w:tcBorders>
            <w:shd w:val="clear" w:color="auto" w:fill="auto"/>
            <w:noWrap/>
            <w:vAlign w:val="bottom"/>
          </w:tcPr>
          <w:p w14:paraId="52AEB08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34 222,0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2B69CE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33 344,0 </w:t>
            </w:r>
          </w:p>
        </w:tc>
        <w:tc>
          <w:tcPr>
            <w:tcW w:w="1260" w:type="dxa"/>
            <w:gridSpan w:val="2"/>
            <w:tcBorders>
              <w:top w:val="nil"/>
              <w:left w:val="nil"/>
              <w:bottom w:val="single" w:sz="4" w:space="0" w:color="auto"/>
              <w:right w:val="single" w:sz="4" w:space="0" w:color="auto"/>
            </w:tcBorders>
            <w:shd w:val="clear" w:color="auto" w:fill="auto"/>
            <w:noWrap/>
            <w:vAlign w:val="bottom"/>
          </w:tcPr>
          <w:p w14:paraId="02AEB04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- 878,0  </w:t>
            </w:r>
          </w:p>
        </w:tc>
        <w:tc>
          <w:tcPr>
            <w:tcW w:w="1440" w:type="dxa"/>
            <w:tcBorders>
              <w:top w:val="nil"/>
              <w:left w:val="nil"/>
              <w:bottom w:val="single" w:sz="4" w:space="0" w:color="auto"/>
              <w:right w:val="single" w:sz="4" w:space="0" w:color="auto"/>
            </w:tcBorders>
            <w:shd w:val="clear" w:color="000000" w:fill="FFFFFF"/>
            <w:noWrap/>
            <w:vAlign w:val="bottom"/>
          </w:tcPr>
          <w:p w14:paraId="02AC48A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34 222,0 </w:t>
            </w:r>
          </w:p>
        </w:tc>
        <w:tc>
          <w:tcPr>
            <w:tcW w:w="1440" w:type="dxa"/>
            <w:tcBorders>
              <w:top w:val="nil"/>
              <w:left w:val="nil"/>
              <w:bottom w:val="single" w:sz="4" w:space="0" w:color="auto"/>
              <w:right w:val="single" w:sz="4" w:space="0" w:color="auto"/>
            </w:tcBorders>
            <w:shd w:val="clear" w:color="000000" w:fill="FFFFFF"/>
            <w:noWrap/>
            <w:vAlign w:val="bottom"/>
          </w:tcPr>
          <w:p w14:paraId="266C6B3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33 344,0 </w:t>
            </w:r>
          </w:p>
        </w:tc>
      </w:tr>
      <w:tr w:rsidR="0053266A" w:rsidRPr="0053266A" w14:paraId="015FF53C" w14:textId="77777777" w:rsidTr="00545B6E">
        <w:trPr>
          <w:trHeight w:val="139"/>
        </w:trPr>
        <w:tc>
          <w:tcPr>
            <w:tcW w:w="567" w:type="dxa"/>
            <w:tcBorders>
              <w:top w:val="nil"/>
              <w:left w:val="single" w:sz="4" w:space="0" w:color="auto"/>
              <w:bottom w:val="single" w:sz="4" w:space="0" w:color="auto"/>
              <w:right w:val="single" w:sz="4" w:space="0" w:color="auto"/>
            </w:tcBorders>
            <w:shd w:val="clear" w:color="auto" w:fill="auto"/>
            <w:vAlign w:val="bottom"/>
          </w:tcPr>
          <w:p w14:paraId="799E413C"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18</w:t>
            </w:r>
          </w:p>
        </w:tc>
        <w:tc>
          <w:tcPr>
            <w:tcW w:w="2133" w:type="dxa"/>
            <w:tcBorders>
              <w:top w:val="nil"/>
              <w:left w:val="nil"/>
              <w:bottom w:val="single" w:sz="4" w:space="0" w:color="auto"/>
              <w:right w:val="single" w:sz="4" w:space="0" w:color="auto"/>
            </w:tcBorders>
            <w:shd w:val="clear" w:color="auto" w:fill="auto"/>
            <w:vAlign w:val="bottom"/>
          </w:tcPr>
          <w:p w14:paraId="47399D06"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Кизилюртовский</w:t>
            </w:r>
          </w:p>
        </w:tc>
        <w:tc>
          <w:tcPr>
            <w:tcW w:w="1260" w:type="dxa"/>
            <w:tcBorders>
              <w:top w:val="nil"/>
              <w:left w:val="nil"/>
              <w:bottom w:val="single" w:sz="4" w:space="0" w:color="auto"/>
              <w:right w:val="single" w:sz="4" w:space="0" w:color="auto"/>
            </w:tcBorders>
            <w:shd w:val="clear" w:color="auto" w:fill="auto"/>
            <w:noWrap/>
            <w:vAlign w:val="bottom"/>
          </w:tcPr>
          <w:p w14:paraId="0849BD5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0FF12AA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31FE8BD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0D48311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258F313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C036EE7" w14:textId="77777777" w:rsidTr="00545B6E">
        <w:trPr>
          <w:trHeight w:val="186"/>
        </w:trPr>
        <w:tc>
          <w:tcPr>
            <w:tcW w:w="567" w:type="dxa"/>
            <w:tcBorders>
              <w:top w:val="nil"/>
              <w:left w:val="single" w:sz="4" w:space="0" w:color="auto"/>
              <w:bottom w:val="single" w:sz="4" w:space="0" w:color="auto"/>
              <w:right w:val="single" w:sz="4" w:space="0" w:color="auto"/>
            </w:tcBorders>
            <w:shd w:val="clear" w:color="auto" w:fill="auto"/>
            <w:vAlign w:val="bottom"/>
          </w:tcPr>
          <w:p w14:paraId="594FA1A3"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19</w:t>
            </w:r>
          </w:p>
        </w:tc>
        <w:tc>
          <w:tcPr>
            <w:tcW w:w="2133" w:type="dxa"/>
            <w:tcBorders>
              <w:top w:val="nil"/>
              <w:left w:val="nil"/>
              <w:bottom w:val="single" w:sz="4" w:space="0" w:color="auto"/>
              <w:right w:val="single" w:sz="4" w:space="0" w:color="auto"/>
            </w:tcBorders>
            <w:shd w:val="clear" w:color="auto" w:fill="auto"/>
            <w:vAlign w:val="bottom"/>
          </w:tcPr>
          <w:p w14:paraId="5EF8D5D0"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Кизлярский</w:t>
            </w:r>
          </w:p>
        </w:tc>
        <w:tc>
          <w:tcPr>
            <w:tcW w:w="1260" w:type="dxa"/>
            <w:tcBorders>
              <w:top w:val="nil"/>
              <w:left w:val="nil"/>
              <w:bottom w:val="single" w:sz="4" w:space="0" w:color="auto"/>
              <w:right w:val="single" w:sz="4" w:space="0" w:color="auto"/>
            </w:tcBorders>
            <w:shd w:val="clear" w:color="auto" w:fill="auto"/>
            <w:noWrap/>
            <w:vAlign w:val="bottom"/>
          </w:tcPr>
          <w:p w14:paraId="0B2F6B9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29 600,0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53EA62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28 860,0 </w:t>
            </w:r>
          </w:p>
        </w:tc>
        <w:tc>
          <w:tcPr>
            <w:tcW w:w="1260" w:type="dxa"/>
            <w:gridSpan w:val="2"/>
            <w:tcBorders>
              <w:top w:val="nil"/>
              <w:left w:val="nil"/>
              <w:bottom w:val="single" w:sz="4" w:space="0" w:color="auto"/>
              <w:right w:val="single" w:sz="4" w:space="0" w:color="auto"/>
            </w:tcBorders>
            <w:shd w:val="clear" w:color="auto" w:fill="auto"/>
            <w:noWrap/>
            <w:vAlign w:val="bottom"/>
          </w:tcPr>
          <w:p w14:paraId="3F79893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- 740,0  </w:t>
            </w:r>
          </w:p>
        </w:tc>
        <w:tc>
          <w:tcPr>
            <w:tcW w:w="1440" w:type="dxa"/>
            <w:tcBorders>
              <w:top w:val="nil"/>
              <w:left w:val="nil"/>
              <w:bottom w:val="single" w:sz="4" w:space="0" w:color="auto"/>
              <w:right w:val="single" w:sz="4" w:space="0" w:color="auto"/>
            </w:tcBorders>
            <w:shd w:val="clear" w:color="000000" w:fill="FFFFFF"/>
            <w:noWrap/>
            <w:vAlign w:val="bottom"/>
          </w:tcPr>
          <w:p w14:paraId="3491519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29 600,0 </w:t>
            </w:r>
          </w:p>
        </w:tc>
        <w:tc>
          <w:tcPr>
            <w:tcW w:w="1440" w:type="dxa"/>
            <w:tcBorders>
              <w:top w:val="nil"/>
              <w:left w:val="nil"/>
              <w:bottom w:val="single" w:sz="4" w:space="0" w:color="auto"/>
              <w:right w:val="single" w:sz="4" w:space="0" w:color="auto"/>
            </w:tcBorders>
            <w:shd w:val="clear" w:color="000000" w:fill="FFFFFF"/>
            <w:noWrap/>
            <w:vAlign w:val="bottom"/>
          </w:tcPr>
          <w:p w14:paraId="45F4664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28 860,0 </w:t>
            </w:r>
          </w:p>
        </w:tc>
      </w:tr>
      <w:tr w:rsidR="0053266A" w:rsidRPr="0053266A" w14:paraId="19191582" w14:textId="77777777" w:rsidTr="00545B6E">
        <w:trPr>
          <w:trHeight w:val="89"/>
        </w:trPr>
        <w:tc>
          <w:tcPr>
            <w:tcW w:w="567" w:type="dxa"/>
            <w:tcBorders>
              <w:top w:val="nil"/>
              <w:left w:val="single" w:sz="4" w:space="0" w:color="auto"/>
              <w:bottom w:val="single" w:sz="4" w:space="0" w:color="auto"/>
              <w:right w:val="single" w:sz="4" w:space="0" w:color="auto"/>
            </w:tcBorders>
            <w:shd w:val="clear" w:color="auto" w:fill="auto"/>
            <w:vAlign w:val="bottom"/>
          </w:tcPr>
          <w:p w14:paraId="3AC282F6"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20</w:t>
            </w:r>
          </w:p>
        </w:tc>
        <w:tc>
          <w:tcPr>
            <w:tcW w:w="2133" w:type="dxa"/>
            <w:tcBorders>
              <w:top w:val="nil"/>
              <w:left w:val="nil"/>
              <w:bottom w:val="single" w:sz="4" w:space="0" w:color="auto"/>
              <w:right w:val="single" w:sz="4" w:space="0" w:color="auto"/>
            </w:tcBorders>
            <w:shd w:val="clear" w:color="auto" w:fill="auto"/>
            <w:vAlign w:val="bottom"/>
          </w:tcPr>
          <w:p w14:paraId="5326F88C"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Кумторкалинский</w:t>
            </w:r>
          </w:p>
        </w:tc>
        <w:tc>
          <w:tcPr>
            <w:tcW w:w="1260" w:type="dxa"/>
            <w:tcBorders>
              <w:top w:val="nil"/>
              <w:left w:val="nil"/>
              <w:bottom w:val="single" w:sz="4" w:space="0" w:color="auto"/>
              <w:right w:val="single" w:sz="4" w:space="0" w:color="auto"/>
            </w:tcBorders>
            <w:shd w:val="clear" w:color="auto" w:fill="auto"/>
            <w:noWrap/>
            <w:vAlign w:val="bottom"/>
          </w:tcPr>
          <w:p w14:paraId="191A034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93 028,5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5FB99C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90 459,0 </w:t>
            </w:r>
          </w:p>
        </w:tc>
        <w:tc>
          <w:tcPr>
            <w:tcW w:w="1260" w:type="dxa"/>
            <w:gridSpan w:val="2"/>
            <w:tcBorders>
              <w:top w:val="nil"/>
              <w:left w:val="nil"/>
              <w:bottom w:val="single" w:sz="4" w:space="0" w:color="auto"/>
              <w:right w:val="single" w:sz="4" w:space="0" w:color="auto"/>
            </w:tcBorders>
            <w:shd w:val="clear" w:color="auto" w:fill="auto"/>
            <w:noWrap/>
            <w:vAlign w:val="bottom"/>
          </w:tcPr>
          <w:p w14:paraId="70470D8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- 2 569,5  </w:t>
            </w:r>
          </w:p>
        </w:tc>
        <w:tc>
          <w:tcPr>
            <w:tcW w:w="1440" w:type="dxa"/>
            <w:tcBorders>
              <w:top w:val="nil"/>
              <w:left w:val="nil"/>
              <w:bottom w:val="single" w:sz="4" w:space="0" w:color="auto"/>
              <w:right w:val="single" w:sz="4" w:space="0" w:color="auto"/>
            </w:tcBorders>
            <w:shd w:val="clear" w:color="000000" w:fill="FFFFFF"/>
            <w:noWrap/>
            <w:vAlign w:val="bottom"/>
          </w:tcPr>
          <w:p w14:paraId="70DE002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92 000,0 </w:t>
            </w:r>
          </w:p>
        </w:tc>
        <w:tc>
          <w:tcPr>
            <w:tcW w:w="1440" w:type="dxa"/>
            <w:tcBorders>
              <w:top w:val="nil"/>
              <w:left w:val="nil"/>
              <w:bottom w:val="single" w:sz="4" w:space="0" w:color="auto"/>
              <w:right w:val="single" w:sz="4" w:space="0" w:color="auto"/>
            </w:tcBorders>
            <w:shd w:val="clear" w:color="000000" w:fill="FFFFFF"/>
            <w:noWrap/>
            <w:vAlign w:val="bottom"/>
          </w:tcPr>
          <w:p w14:paraId="0FB7CBF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89 700,0 </w:t>
            </w:r>
          </w:p>
        </w:tc>
      </w:tr>
      <w:tr w:rsidR="0053266A" w:rsidRPr="0053266A" w14:paraId="79797CD8" w14:textId="77777777" w:rsidTr="00545B6E">
        <w:trPr>
          <w:trHeight w:val="136"/>
        </w:trPr>
        <w:tc>
          <w:tcPr>
            <w:tcW w:w="567" w:type="dxa"/>
            <w:tcBorders>
              <w:top w:val="nil"/>
              <w:left w:val="single" w:sz="4" w:space="0" w:color="auto"/>
              <w:bottom w:val="single" w:sz="4" w:space="0" w:color="auto"/>
              <w:right w:val="single" w:sz="4" w:space="0" w:color="auto"/>
            </w:tcBorders>
            <w:shd w:val="clear" w:color="auto" w:fill="auto"/>
            <w:vAlign w:val="bottom"/>
          </w:tcPr>
          <w:p w14:paraId="725ACDFA"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21</w:t>
            </w:r>
          </w:p>
        </w:tc>
        <w:tc>
          <w:tcPr>
            <w:tcW w:w="2133" w:type="dxa"/>
            <w:tcBorders>
              <w:top w:val="nil"/>
              <w:left w:val="nil"/>
              <w:bottom w:val="single" w:sz="4" w:space="0" w:color="auto"/>
              <w:right w:val="single" w:sz="4" w:space="0" w:color="auto"/>
            </w:tcBorders>
            <w:shd w:val="clear" w:color="auto" w:fill="auto"/>
            <w:vAlign w:val="bottom"/>
          </w:tcPr>
          <w:p w14:paraId="209CE10A"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Кулинский</w:t>
            </w:r>
          </w:p>
        </w:tc>
        <w:tc>
          <w:tcPr>
            <w:tcW w:w="1260" w:type="dxa"/>
            <w:tcBorders>
              <w:top w:val="nil"/>
              <w:left w:val="nil"/>
              <w:bottom w:val="single" w:sz="4" w:space="0" w:color="auto"/>
              <w:right w:val="single" w:sz="4" w:space="0" w:color="auto"/>
            </w:tcBorders>
            <w:shd w:val="clear" w:color="auto" w:fill="auto"/>
            <w:noWrap/>
            <w:vAlign w:val="bottom"/>
          </w:tcPr>
          <w:p w14:paraId="3D7201C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23 840,0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59BB955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23 244,0 </w:t>
            </w:r>
          </w:p>
        </w:tc>
        <w:tc>
          <w:tcPr>
            <w:tcW w:w="1260" w:type="dxa"/>
            <w:gridSpan w:val="2"/>
            <w:tcBorders>
              <w:top w:val="nil"/>
              <w:left w:val="nil"/>
              <w:bottom w:val="single" w:sz="4" w:space="0" w:color="auto"/>
              <w:right w:val="single" w:sz="4" w:space="0" w:color="auto"/>
            </w:tcBorders>
            <w:shd w:val="clear" w:color="auto" w:fill="auto"/>
            <w:noWrap/>
            <w:vAlign w:val="bottom"/>
          </w:tcPr>
          <w:p w14:paraId="0C5C5D0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- 596,0  </w:t>
            </w:r>
          </w:p>
        </w:tc>
        <w:tc>
          <w:tcPr>
            <w:tcW w:w="1440" w:type="dxa"/>
            <w:tcBorders>
              <w:top w:val="nil"/>
              <w:left w:val="nil"/>
              <w:bottom w:val="single" w:sz="4" w:space="0" w:color="auto"/>
              <w:right w:val="single" w:sz="4" w:space="0" w:color="auto"/>
            </w:tcBorders>
            <w:shd w:val="clear" w:color="000000" w:fill="FFFFFF"/>
            <w:noWrap/>
            <w:vAlign w:val="bottom"/>
          </w:tcPr>
          <w:p w14:paraId="4E6ABC0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23 840,0 </w:t>
            </w:r>
          </w:p>
        </w:tc>
        <w:tc>
          <w:tcPr>
            <w:tcW w:w="1440" w:type="dxa"/>
            <w:tcBorders>
              <w:top w:val="nil"/>
              <w:left w:val="nil"/>
              <w:bottom w:val="single" w:sz="4" w:space="0" w:color="auto"/>
              <w:right w:val="single" w:sz="4" w:space="0" w:color="auto"/>
            </w:tcBorders>
            <w:shd w:val="clear" w:color="000000" w:fill="FFFFFF"/>
            <w:noWrap/>
            <w:vAlign w:val="bottom"/>
          </w:tcPr>
          <w:p w14:paraId="6FBB24A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23 244,0 </w:t>
            </w:r>
          </w:p>
        </w:tc>
      </w:tr>
      <w:tr w:rsidR="0053266A" w:rsidRPr="0053266A" w14:paraId="0EEEA8ED" w14:textId="77777777" w:rsidTr="00545B6E">
        <w:trPr>
          <w:trHeight w:val="168"/>
        </w:trPr>
        <w:tc>
          <w:tcPr>
            <w:tcW w:w="567" w:type="dxa"/>
            <w:tcBorders>
              <w:top w:val="nil"/>
              <w:left w:val="single" w:sz="4" w:space="0" w:color="auto"/>
              <w:bottom w:val="single" w:sz="4" w:space="0" w:color="auto"/>
              <w:right w:val="single" w:sz="4" w:space="0" w:color="auto"/>
            </w:tcBorders>
            <w:shd w:val="clear" w:color="auto" w:fill="auto"/>
            <w:vAlign w:val="bottom"/>
          </w:tcPr>
          <w:p w14:paraId="44B75F95"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22</w:t>
            </w:r>
          </w:p>
        </w:tc>
        <w:tc>
          <w:tcPr>
            <w:tcW w:w="2133" w:type="dxa"/>
            <w:tcBorders>
              <w:top w:val="nil"/>
              <w:left w:val="nil"/>
              <w:bottom w:val="single" w:sz="4" w:space="0" w:color="auto"/>
              <w:right w:val="single" w:sz="4" w:space="0" w:color="auto"/>
            </w:tcBorders>
            <w:shd w:val="clear" w:color="auto" w:fill="auto"/>
            <w:vAlign w:val="bottom"/>
          </w:tcPr>
          <w:p w14:paraId="49DAAD5F"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Курахский</w:t>
            </w:r>
          </w:p>
        </w:tc>
        <w:tc>
          <w:tcPr>
            <w:tcW w:w="1260" w:type="dxa"/>
            <w:tcBorders>
              <w:top w:val="nil"/>
              <w:left w:val="nil"/>
              <w:bottom w:val="single" w:sz="4" w:space="0" w:color="auto"/>
              <w:right w:val="single" w:sz="4" w:space="0" w:color="auto"/>
            </w:tcBorders>
            <w:shd w:val="clear" w:color="auto" w:fill="auto"/>
            <w:noWrap/>
            <w:vAlign w:val="bottom"/>
          </w:tcPr>
          <w:p w14:paraId="6539F1F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240,4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7B04BCD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7FCD66B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- 240,4  </w:t>
            </w:r>
          </w:p>
        </w:tc>
        <w:tc>
          <w:tcPr>
            <w:tcW w:w="1440" w:type="dxa"/>
            <w:tcBorders>
              <w:top w:val="nil"/>
              <w:left w:val="nil"/>
              <w:bottom w:val="single" w:sz="4" w:space="0" w:color="auto"/>
              <w:right w:val="single" w:sz="4" w:space="0" w:color="auto"/>
            </w:tcBorders>
            <w:shd w:val="clear" w:color="000000" w:fill="FFFFFF"/>
            <w:noWrap/>
            <w:vAlign w:val="bottom"/>
          </w:tcPr>
          <w:p w14:paraId="05EA2F7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042B5F2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A3F1454" w14:textId="77777777" w:rsidTr="00545B6E">
        <w:trPr>
          <w:trHeight w:val="72"/>
        </w:trPr>
        <w:tc>
          <w:tcPr>
            <w:tcW w:w="567" w:type="dxa"/>
            <w:tcBorders>
              <w:top w:val="nil"/>
              <w:left w:val="single" w:sz="4" w:space="0" w:color="auto"/>
              <w:bottom w:val="single" w:sz="4" w:space="0" w:color="auto"/>
              <w:right w:val="single" w:sz="4" w:space="0" w:color="auto"/>
            </w:tcBorders>
            <w:shd w:val="clear" w:color="auto" w:fill="auto"/>
            <w:vAlign w:val="bottom"/>
          </w:tcPr>
          <w:p w14:paraId="74D3375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23</w:t>
            </w:r>
          </w:p>
        </w:tc>
        <w:tc>
          <w:tcPr>
            <w:tcW w:w="2133" w:type="dxa"/>
            <w:tcBorders>
              <w:top w:val="nil"/>
              <w:left w:val="nil"/>
              <w:bottom w:val="single" w:sz="4" w:space="0" w:color="auto"/>
              <w:right w:val="single" w:sz="4" w:space="0" w:color="auto"/>
            </w:tcBorders>
            <w:shd w:val="clear" w:color="auto" w:fill="auto"/>
            <w:vAlign w:val="bottom"/>
          </w:tcPr>
          <w:p w14:paraId="65FE8A4C"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Лакский</w:t>
            </w:r>
          </w:p>
        </w:tc>
        <w:tc>
          <w:tcPr>
            <w:tcW w:w="1260" w:type="dxa"/>
            <w:tcBorders>
              <w:top w:val="nil"/>
              <w:left w:val="nil"/>
              <w:bottom w:val="single" w:sz="4" w:space="0" w:color="auto"/>
              <w:right w:val="single" w:sz="4" w:space="0" w:color="auto"/>
            </w:tcBorders>
            <w:shd w:val="clear" w:color="auto" w:fill="auto"/>
            <w:noWrap/>
            <w:vAlign w:val="bottom"/>
          </w:tcPr>
          <w:p w14:paraId="710C7E5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24 000,0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0756DB2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23 400,0 </w:t>
            </w:r>
          </w:p>
        </w:tc>
        <w:tc>
          <w:tcPr>
            <w:tcW w:w="1260" w:type="dxa"/>
            <w:gridSpan w:val="2"/>
            <w:tcBorders>
              <w:top w:val="nil"/>
              <w:left w:val="nil"/>
              <w:bottom w:val="single" w:sz="4" w:space="0" w:color="auto"/>
              <w:right w:val="single" w:sz="4" w:space="0" w:color="auto"/>
            </w:tcBorders>
            <w:shd w:val="clear" w:color="auto" w:fill="auto"/>
            <w:noWrap/>
            <w:vAlign w:val="bottom"/>
          </w:tcPr>
          <w:p w14:paraId="2A22D04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- 600,0  </w:t>
            </w:r>
          </w:p>
        </w:tc>
        <w:tc>
          <w:tcPr>
            <w:tcW w:w="1440" w:type="dxa"/>
            <w:tcBorders>
              <w:top w:val="nil"/>
              <w:left w:val="nil"/>
              <w:bottom w:val="single" w:sz="4" w:space="0" w:color="auto"/>
              <w:right w:val="single" w:sz="4" w:space="0" w:color="auto"/>
            </w:tcBorders>
            <w:shd w:val="clear" w:color="000000" w:fill="FFFFFF"/>
            <w:noWrap/>
            <w:vAlign w:val="bottom"/>
          </w:tcPr>
          <w:p w14:paraId="149CC42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24 000,0 </w:t>
            </w:r>
          </w:p>
        </w:tc>
        <w:tc>
          <w:tcPr>
            <w:tcW w:w="1440" w:type="dxa"/>
            <w:tcBorders>
              <w:top w:val="nil"/>
              <w:left w:val="nil"/>
              <w:bottom w:val="single" w:sz="4" w:space="0" w:color="auto"/>
              <w:right w:val="single" w:sz="4" w:space="0" w:color="auto"/>
            </w:tcBorders>
            <w:shd w:val="clear" w:color="000000" w:fill="FFFFFF"/>
            <w:noWrap/>
            <w:vAlign w:val="bottom"/>
          </w:tcPr>
          <w:p w14:paraId="5D1CF06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23 400,0 </w:t>
            </w:r>
          </w:p>
        </w:tc>
      </w:tr>
      <w:tr w:rsidR="0053266A" w:rsidRPr="0053266A" w14:paraId="1A0B6CA1" w14:textId="77777777" w:rsidTr="00545B6E">
        <w:trPr>
          <w:trHeight w:val="118"/>
        </w:trPr>
        <w:tc>
          <w:tcPr>
            <w:tcW w:w="567" w:type="dxa"/>
            <w:tcBorders>
              <w:top w:val="nil"/>
              <w:left w:val="single" w:sz="4" w:space="0" w:color="auto"/>
              <w:bottom w:val="single" w:sz="4" w:space="0" w:color="auto"/>
              <w:right w:val="single" w:sz="4" w:space="0" w:color="auto"/>
            </w:tcBorders>
            <w:shd w:val="clear" w:color="auto" w:fill="auto"/>
            <w:vAlign w:val="bottom"/>
          </w:tcPr>
          <w:p w14:paraId="20FBB8DA"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24</w:t>
            </w:r>
          </w:p>
        </w:tc>
        <w:tc>
          <w:tcPr>
            <w:tcW w:w="2133" w:type="dxa"/>
            <w:tcBorders>
              <w:top w:val="nil"/>
              <w:left w:val="nil"/>
              <w:bottom w:val="single" w:sz="4" w:space="0" w:color="auto"/>
              <w:right w:val="single" w:sz="4" w:space="0" w:color="auto"/>
            </w:tcBorders>
            <w:shd w:val="clear" w:color="auto" w:fill="auto"/>
            <w:vAlign w:val="bottom"/>
          </w:tcPr>
          <w:p w14:paraId="73EF50F8"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Левашинский</w:t>
            </w:r>
          </w:p>
        </w:tc>
        <w:tc>
          <w:tcPr>
            <w:tcW w:w="1260" w:type="dxa"/>
            <w:tcBorders>
              <w:top w:val="nil"/>
              <w:left w:val="nil"/>
              <w:bottom w:val="single" w:sz="4" w:space="0" w:color="auto"/>
              <w:right w:val="single" w:sz="4" w:space="0" w:color="auto"/>
            </w:tcBorders>
            <w:shd w:val="clear" w:color="auto" w:fill="auto"/>
            <w:noWrap/>
            <w:vAlign w:val="bottom"/>
          </w:tcPr>
          <w:p w14:paraId="3F0228C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40 000,0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50E2A5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39 000,0 </w:t>
            </w:r>
          </w:p>
        </w:tc>
        <w:tc>
          <w:tcPr>
            <w:tcW w:w="1260" w:type="dxa"/>
            <w:gridSpan w:val="2"/>
            <w:tcBorders>
              <w:top w:val="nil"/>
              <w:left w:val="nil"/>
              <w:bottom w:val="single" w:sz="4" w:space="0" w:color="auto"/>
              <w:right w:val="single" w:sz="4" w:space="0" w:color="auto"/>
            </w:tcBorders>
            <w:shd w:val="clear" w:color="auto" w:fill="auto"/>
            <w:noWrap/>
            <w:vAlign w:val="bottom"/>
          </w:tcPr>
          <w:p w14:paraId="21F8840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- 1 000,0  </w:t>
            </w:r>
          </w:p>
        </w:tc>
        <w:tc>
          <w:tcPr>
            <w:tcW w:w="1440" w:type="dxa"/>
            <w:tcBorders>
              <w:top w:val="nil"/>
              <w:left w:val="nil"/>
              <w:bottom w:val="single" w:sz="4" w:space="0" w:color="auto"/>
              <w:right w:val="single" w:sz="4" w:space="0" w:color="auto"/>
            </w:tcBorders>
            <w:shd w:val="clear" w:color="000000" w:fill="FFFFFF"/>
            <w:noWrap/>
            <w:vAlign w:val="bottom"/>
          </w:tcPr>
          <w:p w14:paraId="55ECD98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40 000,0 </w:t>
            </w:r>
          </w:p>
        </w:tc>
        <w:tc>
          <w:tcPr>
            <w:tcW w:w="1440" w:type="dxa"/>
            <w:tcBorders>
              <w:top w:val="nil"/>
              <w:left w:val="nil"/>
              <w:bottom w:val="single" w:sz="4" w:space="0" w:color="auto"/>
              <w:right w:val="single" w:sz="4" w:space="0" w:color="auto"/>
            </w:tcBorders>
            <w:shd w:val="clear" w:color="000000" w:fill="FFFFFF"/>
            <w:noWrap/>
            <w:vAlign w:val="bottom"/>
          </w:tcPr>
          <w:p w14:paraId="7A61EE9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39 000,0 </w:t>
            </w:r>
          </w:p>
        </w:tc>
      </w:tr>
      <w:tr w:rsidR="0053266A" w:rsidRPr="0053266A" w14:paraId="7928B6F9" w14:textId="77777777" w:rsidTr="00545B6E">
        <w:trPr>
          <w:trHeight w:val="163"/>
        </w:trPr>
        <w:tc>
          <w:tcPr>
            <w:tcW w:w="567" w:type="dxa"/>
            <w:tcBorders>
              <w:top w:val="nil"/>
              <w:left w:val="single" w:sz="4" w:space="0" w:color="auto"/>
              <w:bottom w:val="single" w:sz="4" w:space="0" w:color="auto"/>
              <w:right w:val="single" w:sz="4" w:space="0" w:color="auto"/>
            </w:tcBorders>
            <w:shd w:val="clear" w:color="auto" w:fill="auto"/>
            <w:vAlign w:val="bottom"/>
          </w:tcPr>
          <w:p w14:paraId="43531882"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25</w:t>
            </w:r>
          </w:p>
        </w:tc>
        <w:tc>
          <w:tcPr>
            <w:tcW w:w="2133" w:type="dxa"/>
            <w:tcBorders>
              <w:top w:val="nil"/>
              <w:left w:val="nil"/>
              <w:bottom w:val="single" w:sz="4" w:space="0" w:color="auto"/>
              <w:right w:val="single" w:sz="4" w:space="0" w:color="auto"/>
            </w:tcBorders>
            <w:shd w:val="clear" w:color="auto" w:fill="auto"/>
            <w:vAlign w:val="bottom"/>
          </w:tcPr>
          <w:p w14:paraId="65DFF9A8"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Магарамкенский</w:t>
            </w:r>
          </w:p>
        </w:tc>
        <w:tc>
          <w:tcPr>
            <w:tcW w:w="1260" w:type="dxa"/>
            <w:tcBorders>
              <w:top w:val="nil"/>
              <w:left w:val="nil"/>
              <w:bottom w:val="single" w:sz="4" w:space="0" w:color="auto"/>
              <w:right w:val="single" w:sz="4" w:space="0" w:color="auto"/>
            </w:tcBorders>
            <w:shd w:val="clear" w:color="auto" w:fill="auto"/>
            <w:noWrap/>
            <w:vAlign w:val="bottom"/>
          </w:tcPr>
          <w:p w14:paraId="5C79985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20 413,0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FD63A8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19 725,0 </w:t>
            </w:r>
          </w:p>
        </w:tc>
        <w:tc>
          <w:tcPr>
            <w:tcW w:w="1260" w:type="dxa"/>
            <w:gridSpan w:val="2"/>
            <w:tcBorders>
              <w:top w:val="nil"/>
              <w:left w:val="nil"/>
              <w:bottom w:val="single" w:sz="4" w:space="0" w:color="auto"/>
              <w:right w:val="single" w:sz="4" w:space="0" w:color="auto"/>
            </w:tcBorders>
            <w:shd w:val="clear" w:color="auto" w:fill="auto"/>
            <w:noWrap/>
            <w:vAlign w:val="bottom"/>
          </w:tcPr>
          <w:p w14:paraId="1890A06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- 688,0  </w:t>
            </w:r>
          </w:p>
        </w:tc>
        <w:tc>
          <w:tcPr>
            <w:tcW w:w="1440" w:type="dxa"/>
            <w:tcBorders>
              <w:top w:val="nil"/>
              <w:left w:val="nil"/>
              <w:bottom w:val="single" w:sz="4" w:space="0" w:color="auto"/>
              <w:right w:val="single" w:sz="4" w:space="0" w:color="auto"/>
            </w:tcBorders>
            <w:shd w:val="clear" w:color="000000" w:fill="FFFFFF"/>
            <w:noWrap/>
            <w:vAlign w:val="bottom"/>
          </w:tcPr>
          <w:p w14:paraId="7F66EC0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20 000,0 </w:t>
            </w:r>
          </w:p>
        </w:tc>
        <w:tc>
          <w:tcPr>
            <w:tcW w:w="1440" w:type="dxa"/>
            <w:tcBorders>
              <w:top w:val="nil"/>
              <w:left w:val="nil"/>
              <w:bottom w:val="single" w:sz="4" w:space="0" w:color="auto"/>
              <w:right w:val="single" w:sz="4" w:space="0" w:color="auto"/>
            </w:tcBorders>
            <w:shd w:val="clear" w:color="000000" w:fill="FFFFFF"/>
            <w:noWrap/>
            <w:vAlign w:val="bottom"/>
          </w:tcPr>
          <w:p w14:paraId="2A78D8F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19 500,0 </w:t>
            </w:r>
          </w:p>
        </w:tc>
      </w:tr>
      <w:tr w:rsidR="0053266A" w:rsidRPr="0053266A" w14:paraId="2E14B941" w14:textId="77777777" w:rsidTr="00545B6E">
        <w:trPr>
          <w:trHeight w:val="210"/>
        </w:trPr>
        <w:tc>
          <w:tcPr>
            <w:tcW w:w="567" w:type="dxa"/>
            <w:tcBorders>
              <w:top w:val="nil"/>
              <w:left w:val="single" w:sz="4" w:space="0" w:color="auto"/>
              <w:bottom w:val="single" w:sz="4" w:space="0" w:color="auto"/>
              <w:right w:val="single" w:sz="4" w:space="0" w:color="auto"/>
            </w:tcBorders>
            <w:shd w:val="clear" w:color="auto" w:fill="auto"/>
            <w:vAlign w:val="bottom"/>
          </w:tcPr>
          <w:p w14:paraId="2A006B9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26</w:t>
            </w:r>
          </w:p>
        </w:tc>
        <w:tc>
          <w:tcPr>
            <w:tcW w:w="2133" w:type="dxa"/>
            <w:tcBorders>
              <w:top w:val="nil"/>
              <w:left w:val="nil"/>
              <w:bottom w:val="single" w:sz="4" w:space="0" w:color="auto"/>
              <w:right w:val="single" w:sz="4" w:space="0" w:color="auto"/>
            </w:tcBorders>
            <w:shd w:val="clear" w:color="auto" w:fill="auto"/>
            <w:vAlign w:val="bottom"/>
          </w:tcPr>
          <w:p w14:paraId="6D2C4084"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Новолакский</w:t>
            </w:r>
          </w:p>
        </w:tc>
        <w:tc>
          <w:tcPr>
            <w:tcW w:w="1260" w:type="dxa"/>
            <w:tcBorders>
              <w:top w:val="nil"/>
              <w:left w:val="nil"/>
              <w:bottom w:val="single" w:sz="4" w:space="0" w:color="auto"/>
              <w:right w:val="single" w:sz="4" w:space="0" w:color="auto"/>
            </w:tcBorders>
            <w:shd w:val="clear" w:color="auto" w:fill="auto"/>
            <w:noWrap/>
            <w:vAlign w:val="bottom"/>
          </w:tcPr>
          <w:p w14:paraId="55B3FEC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31 309,7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7542688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28 192,5 </w:t>
            </w:r>
          </w:p>
        </w:tc>
        <w:tc>
          <w:tcPr>
            <w:tcW w:w="1260" w:type="dxa"/>
            <w:gridSpan w:val="2"/>
            <w:tcBorders>
              <w:top w:val="nil"/>
              <w:left w:val="nil"/>
              <w:bottom w:val="single" w:sz="4" w:space="0" w:color="auto"/>
              <w:right w:val="single" w:sz="4" w:space="0" w:color="auto"/>
            </w:tcBorders>
            <w:shd w:val="clear" w:color="auto" w:fill="auto"/>
            <w:noWrap/>
            <w:vAlign w:val="bottom"/>
          </w:tcPr>
          <w:p w14:paraId="0FB087B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- 3 117,2  </w:t>
            </w:r>
          </w:p>
        </w:tc>
        <w:tc>
          <w:tcPr>
            <w:tcW w:w="1440" w:type="dxa"/>
            <w:tcBorders>
              <w:top w:val="nil"/>
              <w:left w:val="nil"/>
              <w:bottom w:val="single" w:sz="4" w:space="0" w:color="auto"/>
              <w:right w:val="single" w:sz="4" w:space="0" w:color="auto"/>
            </w:tcBorders>
            <w:shd w:val="clear" w:color="000000" w:fill="FFFFFF"/>
            <w:noWrap/>
            <w:vAlign w:val="bottom"/>
          </w:tcPr>
          <w:p w14:paraId="02524EF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30 600,0 </w:t>
            </w:r>
          </w:p>
        </w:tc>
        <w:tc>
          <w:tcPr>
            <w:tcW w:w="1440" w:type="dxa"/>
            <w:tcBorders>
              <w:top w:val="nil"/>
              <w:left w:val="nil"/>
              <w:bottom w:val="single" w:sz="4" w:space="0" w:color="auto"/>
              <w:right w:val="single" w:sz="4" w:space="0" w:color="auto"/>
            </w:tcBorders>
            <w:shd w:val="clear" w:color="000000" w:fill="FFFFFF"/>
            <w:noWrap/>
            <w:vAlign w:val="bottom"/>
          </w:tcPr>
          <w:p w14:paraId="2AAC466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27 710,0 </w:t>
            </w:r>
          </w:p>
        </w:tc>
      </w:tr>
      <w:tr w:rsidR="0053266A" w:rsidRPr="0053266A" w14:paraId="66B2937F" w14:textId="77777777" w:rsidTr="00545B6E">
        <w:trPr>
          <w:trHeight w:val="113"/>
        </w:trPr>
        <w:tc>
          <w:tcPr>
            <w:tcW w:w="567" w:type="dxa"/>
            <w:tcBorders>
              <w:top w:val="nil"/>
              <w:left w:val="single" w:sz="4" w:space="0" w:color="auto"/>
              <w:bottom w:val="single" w:sz="4" w:space="0" w:color="auto"/>
              <w:right w:val="single" w:sz="4" w:space="0" w:color="auto"/>
            </w:tcBorders>
            <w:shd w:val="clear" w:color="auto" w:fill="auto"/>
            <w:vAlign w:val="bottom"/>
          </w:tcPr>
          <w:p w14:paraId="6C13BE1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27</w:t>
            </w:r>
          </w:p>
        </w:tc>
        <w:tc>
          <w:tcPr>
            <w:tcW w:w="2133" w:type="dxa"/>
            <w:tcBorders>
              <w:top w:val="nil"/>
              <w:left w:val="nil"/>
              <w:bottom w:val="single" w:sz="4" w:space="0" w:color="auto"/>
              <w:right w:val="single" w:sz="4" w:space="0" w:color="auto"/>
            </w:tcBorders>
            <w:shd w:val="clear" w:color="auto" w:fill="auto"/>
            <w:vAlign w:val="bottom"/>
          </w:tcPr>
          <w:p w14:paraId="4C6F68A5"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Ногайский</w:t>
            </w:r>
          </w:p>
        </w:tc>
        <w:tc>
          <w:tcPr>
            <w:tcW w:w="1260" w:type="dxa"/>
            <w:tcBorders>
              <w:top w:val="nil"/>
              <w:left w:val="nil"/>
              <w:bottom w:val="single" w:sz="4" w:space="0" w:color="auto"/>
              <w:right w:val="single" w:sz="4" w:space="0" w:color="auto"/>
            </w:tcBorders>
            <w:shd w:val="clear" w:color="auto" w:fill="auto"/>
            <w:noWrap/>
            <w:vAlign w:val="bottom"/>
          </w:tcPr>
          <w:p w14:paraId="690E4D1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56 921,2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64B072A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52 962,8 </w:t>
            </w:r>
          </w:p>
        </w:tc>
        <w:tc>
          <w:tcPr>
            <w:tcW w:w="1260" w:type="dxa"/>
            <w:gridSpan w:val="2"/>
            <w:tcBorders>
              <w:top w:val="nil"/>
              <w:left w:val="nil"/>
              <w:bottom w:val="single" w:sz="4" w:space="0" w:color="auto"/>
              <w:right w:val="single" w:sz="4" w:space="0" w:color="auto"/>
            </w:tcBorders>
            <w:shd w:val="clear" w:color="auto" w:fill="auto"/>
            <w:noWrap/>
            <w:vAlign w:val="bottom"/>
          </w:tcPr>
          <w:p w14:paraId="602C325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- 3 958,4  </w:t>
            </w:r>
          </w:p>
        </w:tc>
        <w:tc>
          <w:tcPr>
            <w:tcW w:w="1440" w:type="dxa"/>
            <w:tcBorders>
              <w:top w:val="nil"/>
              <w:left w:val="nil"/>
              <w:bottom w:val="single" w:sz="4" w:space="0" w:color="auto"/>
              <w:right w:val="single" w:sz="4" w:space="0" w:color="auto"/>
            </w:tcBorders>
            <w:shd w:val="clear" w:color="000000" w:fill="FFFFFF"/>
            <w:noWrap/>
            <w:vAlign w:val="bottom"/>
          </w:tcPr>
          <w:p w14:paraId="1A93DEC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55 081,1 </w:t>
            </w:r>
          </w:p>
        </w:tc>
        <w:tc>
          <w:tcPr>
            <w:tcW w:w="1440" w:type="dxa"/>
            <w:tcBorders>
              <w:top w:val="nil"/>
              <w:left w:val="nil"/>
              <w:bottom w:val="single" w:sz="4" w:space="0" w:color="auto"/>
              <w:right w:val="single" w:sz="4" w:space="0" w:color="auto"/>
            </w:tcBorders>
            <w:shd w:val="clear" w:color="000000" w:fill="FFFFFF"/>
            <w:noWrap/>
            <w:vAlign w:val="bottom"/>
          </w:tcPr>
          <w:p w14:paraId="35D5D0A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52 327,1 </w:t>
            </w:r>
          </w:p>
        </w:tc>
      </w:tr>
      <w:tr w:rsidR="0053266A" w:rsidRPr="0053266A" w14:paraId="5FDA69C4" w14:textId="77777777" w:rsidTr="00545B6E">
        <w:trPr>
          <w:trHeight w:val="146"/>
        </w:trPr>
        <w:tc>
          <w:tcPr>
            <w:tcW w:w="567" w:type="dxa"/>
            <w:tcBorders>
              <w:top w:val="nil"/>
              <w:left w:val="single" w:sz="4" w:space="0" w:color="auto"/>
              <w:bottom w:val="single" w:sz="4" w:space="0" w:color="auto"/>
              <w:right w:val="single" w:sz="4" w:space="0" w:color="auto"/>
            </w:tcBorders>
            <w:shd w:val="clear" w:color="auto" w:fill="auto"/>
            <w:vAlign w:val="bottom"/>
          </w:tcPr>
          <w:p w14:paraId="6BD1608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28</w:t>
            </w:r>
          </w:p>
        </w:tc>
        <w:tc>
          <w:tcPr>
            <w:tcW w:w="2133" w:type="dxa"/>
            <w:tcBorders>
              <w:top w:val="nil"/>
              <w:left w:val="nil"/>
              <w:bottom w:val="single" w:sz="4" w:space="0" w:color="auto"/>
              <w:right w:val="single" w:sz="4" w:space="0" w:color="auto"/>
            </w:tcBorders>
            <w:shd w:val="clear" w:color="auto" w:fill="auto"/>
            <w:vAlign w:val="bottom"/>
          </w:tcPr>
          <w:p w14:paraId="5A7007E2"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Рутульский</w:t>
            </w:r>
          </w:p>
        </w:tc>
        <w:tc>
          <w:tcPr>
            <w:tcW w:w="1260" w:type="dxa"/>
            <w:tcBorders>
              <w:top w:val="nil"/>
              <w:left w:val="nil"/>
              <w:bottom w:val="single" w:sz="4" w:space="0" w:color="auto"/>
              <w:right w:val="single" w:sz="4" w:space="0" w:color="auto"/>
            </w:tcBorders>
            <w:shd w:val="clear" w:color="auto" w:fill="auto"/>
            <w:noWrap/>
            <w:vAlign w:val="bottom"/>
          </w:tcPr>
          <w:p w14:paraId="16EB4CD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24 000,0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5BEF582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23 400,0 </w:t>
            </w:r>
          </w:p>
        </w:tc>
        <w:tc>
          <w:tcPr>
            <w:tcW w:w="1260" w:type="dxa"/>
            <w:gridSpan w:val="2"/>
            <w:tcBorders>
              <w:top w:val="nil"/>
              <w:left w:val="nil"/>
              <w:bottom w:val="single" w:sz="4" w:space="0" w:color="auto"/>
              <w:right w:val="single" w:sz="4" w:space="0" w:color="auto"/>
            </w:tcBorders>
            <w:shd w:val="clear" w:color="auto" w:fill="auto"/>
            <w:noWrap/>
            <w:vAlign w:val="bottom"/>
          </w:tcPr>
          <w:p w14:paraId="0815A2A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- 600,0  </w:t>
            </w:r>
          </w:p>
        </w:tc>
        <w:tc>
          <w:tcPr>
            <w:tcW w:w="1440" w:type="dxa"/>
            <w:tcBorders>
              <w:top w:val="nil"/>
              <w:left w:val="nil"/>
              <w:bottom w:val="single" w:sz="4" w:space="0" w:color="auto"/>
              <w:right w:val="single" w:sz="4" w:space="0" w:color="auto"/>
            </w:tcBorders>
            <w:shd w:val="clear" w:color="000000" w:fill="FFFFFF"/>
            <w:noWrap/>
            <w:vAlign w:val="bottom"/>
          </w:tcPr>
          <w:p w14:paraId="410E2D1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24 000,0 </w:t>
            </w:r>
          </w:p>
        </w:tc>
        <w:tc>
          <w:tcPr>
            <w:tcW w:w="1440" w:type="dxa"/>
            <w:tcBorders>
              <w:top w:val="nil"/>
              <w:left w:val="nil"/>
              <w:bottom w:val="single" w:sz="4" w:space="0" w:color="auto"/>
              <w:right w:val="single" w:sz="4" w:space="0" w:color="auto"/>
            </w:tcBorders>
            <w:shd w:val="clear" w:color="000000" w:fill="FFFFFF"/>
            <w:noWrap/>
            <w:vAlign w:val="bottom"/>
          </w:tcPr>
          <w:p w14:paraId="57E3F92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23 400,0 </w:t>
            </w:r>
          </w:p>
        </w:tc>
      </w:tr>
      <w:tr w:rsidR="0053266A" w:rsidRPr="0053266A" w14:paraId="602CCA8C" w14:textId="77777777" w:rsidTr="00545B6E">
        <w:trPr>
          <w:trHeight w:val="192"/>
        </w:trPr>
        <w:tc>
          <w:tcPr>
            <w:tcW w:w="567" w:type="dxa"/>
            <w:tcBorders>
              <w:top w:val="nil"/>
              <w:left w:val="single" w:sz="4" w:space="0" w:color="auto"/>
              <w:bottom w:val="single" w:sz="4" w:space="0" w:color="auto"/>
              <w:right w:val="single" w:sz="4" w:space="0" w:color="auto"/>
            </w:tcBorders>
            <w:shd w:val="clear" w:color="auto" w:fill="auto"/>
            <w:vAlign w:val="bottom"/>
          </w:tcPr>
          <w:p w14:paraId="5918762B"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29</w:t>
            </w:r>
          </w:p>
        </w:tc>
        <w:tc>
          <w:tcPr>
            <w:tcW w:w="2133" w:type="dxa"/>
            <w:tcBorders>
              <w:top w:val="nil"/>
              <w:left w:val="nil"/>
              <w:bottom w:val="single" w:sz="4" w:space="0" w:color="auto"/>
              <w:right w:val="single" w:sz="4" w:space="0" w:color="auto"/>
            </w:tcBorders>
            <w:shd w:val="clear" w:color="auto" w:fill="auto"/>
            <w:vAlign w:val="bottom"/>
          </w:tcPr>
          <w:p w14:paraId="1A7A3407"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С.Стальский</w:t>
            </w:r>
          </w:p>
        </w:tc>
        <w:tc>
          <w:tcPr>
            <w:tcW w:w="1260" w:type="dxa"/>
            <w:tcBorders>
              <w:top w:val="nil"/>
              <w:left w:val="nil"/>
              <w:bottom w:val="single" w:sz="4" w:space="0" w:color="auto"/>
              <w:right w:val="single" w:sz="4" w:space="0" w:color="auto"/>
            </w:tcBorders>
            <w:shd w:val="clear" w:color="auto" w:fill="auto"/>
            <w:noWrap/>
            <w:vAlign w:val="bottom"/>
          </w:tcPr>
          <w:p w14:paraId="5D2AB34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14 316,9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4A2D8B1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13 811,4 </w:t>
            </w:r>
          </w:p>
        </w:tc>
        <w:tc>
          <w:tcPr>
            <w:tcW w:w="1260" w:type="dxa"/>
            <w:gridSpan w:val="2"/>
            <w:tcBorders>
              <w:top w:val="nil"/>
              <w:left w:val="nil"/>
              <w:bottom w:val="single" w:sz="4" w:space="0" w:color="auto"/>
              <w:right w:val="single" w:sz="4" w:space="0" w:color="auto"/>
            </w:tcBorders>
            <w:shd w:val="clear" w:color="auto" w:fill="auto"/>
            <w:noWrap/>
            <w:vAlign w:val="bottom"/>
          </w:tcPr>
          <w:p w14:paraId="503E677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- 505,5  </w:t>
            </w:r>
          </w:p>
        </w:tc>
        <w:tc>
          <w:tcPr>
            <w:tcW w:w="1440" w:type="dxa"/>
            <w:tcBorders>
              <w:top w:val="nil"/>
              <w:left w:val="nil"/>
              <w:bottom w:val="single" w:sz="4" w:space="0" w:color="auto"/>
              <w:right w:val="single" w:sz="4" w:space="0" w:color="auto"/>
            </w:tcBorders>
            <w:shd w:val="clear" w:color="000000" w:fill="FFFFFF"/>
            <w:noWrap/>
            <w:vAlign w:val="bottom"/>
          </w:tcPr>
          <w:p w14:paraId="0515411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12 967,0 </w:t>
            </w:r>
          </w:p>
        </w:tc>
        <w:tc>
          <w:tcPr>
            <w:tcW w:w="1440" w:type="dxa"/>
            <w:tcBorders>
              <w:top w:val="nil"/>
              <w:left w:val="nil"/>
              <w:bottom w:val="single" w:sz="4" w:space="0" w:color="auto"/>
              <w:right w:val="single" w:sz="4" w:space="0" w:color="auto"/>
            </w:tcBorders>
            <w:shd w:val="clear" w:color="000000" w:fill="FFFFFF"/>
            <w:noWrap/>
            <w:vAlign w:val="bottom"/>
          </w:tcPr>
          <w:p w14:paraId="1B6DD90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12 634,0 </w:t>
            </w:r>
          </w:p>
        </w:tc>
      </w:tr>
      <w:tr w:rsidR="0053266A" w:rsidRPr="0053266A" w14:paraId="3BFCE367" w14:textId="77777777" w:rsidTr="00545B6E">
        <w:trPr>
          <w:trHeight w:val="96"/>
        </w:trPr>
        <w:tc>
          <w:tcPr>
            <w:tcW w:w="567" w:type="dxa"/>
            <w:tcBorders>
              <w:top w:val="nil"/>
              <w:left w:val="single" w:sz="4" w:space="0" w:color="auto"/>
              <w:bottom w:val="single" w:sz="4" w:space="0" w:color="auto"/>
              <w:right w:val="single" w:sz="4" w:space="0" w:color="auto"/>
            </w:tcBorders>
            <w:shd w:val="clear" w:color="auto" w:fill="auto"/>
            <w:vAlign w:val="bottom"/>
          </w:tcPr>
          <w:p w14:paraId="31633C3F"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30</w:t>
            </w:r>
          </w:p>
        </w:tc>
        <w:tc>
          <w:tcPr>
            <w:tcW w:w="2133" w:type="dxa"/>
            <w:tcBorders>
              <w:top w:val="nil"/>
              <w:left w:val="nil"/>
              <w:bottom w:val="single" w:sz="4" w:space="0" w:color="auto"/>
              <w:right w:val="single" w:sz="4" w:space="0" w:color="auto"/>
            </w:tcBorders>
            <w:shd w:val="clear" w:color="auto" w:fill="auto"/>
            <w:vAlign w:val="bottom"/>
          </w:tcPr>
          <w:p w14:paraId="470AF921"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Сергокалинский</w:t>
            </w:r>
          </w:p>
        </w:tc>
        <w:tc>
          <w:tcPr>
            <w:tcW w:w="1260" w:type="dxa"/>
            <w:tcBorders>
              <w:top w:val="nil"/>
              <w:left w:val="nil"/>
              <w:bottom w:val="single" w:sz="4" w:space="0" w:color="auto"/>
              <w:right w:val="single" w:sz="4" w:space="0" w:color="auto"/>
            </w:tcBorders>
            <w:shd w:val="clear" w:color="auto" w:fill="auto"/>
            <w:noWrap/>
            <w:vAlign w:val="bottom"/>
          </w:tcPr>
          <w:p w14:paraId="0B04425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54 783,6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D71541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53 237,6 </w:t>
            </w:r>
          </w:p>
        </w:tc>
        <w:tc>
          <w:tcPr>
            <w:tcW w:w="1260" w:type="dxa"/>
            <w:gridSpan w:val="2"/>
            <w:tcBorders>
              <w:top w:val="nil"/>
              <w:left w:val="nil"/>
              <w:bottom w:val="single" w:sz="4" w:space="0" w:color="auto"/>
              <w:right w:val="single" w:sz="4" w:space="0" w:color="auto"/>
            </w:tcBorders>
            <w:shd w:val="clear" w:color="auto" w:fill="auto"/>
            <w:noWrap/>
            <w:vAlign w:val="bottom"/>
          </w:tcPr>
          <w:p w14:paraId="3FB43D2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- 1 546,0  </w:t>
            </w:r>
          </w:p>
        </w:tc>
        <w:tc>
          <w:tcPr>
            <w:tcW w:w="1440" w:type="dxa"/>
            <w:tcBorders>
              <w:top w:val="nil"/>
              <w:left w:val="nil"/>
              <w:bottom w:val="single" w:sz="4" w:space="0" w:color="auto"/>
              <w:right w:val="single" w:sz="4" w:space="0" w:color="auto"/>
            </w:tcBorders>
            <w:shd w:val="clear" w:color="000000" w:fill="FFFFFF"/>
            <w:noWrap/>
            <w:vAlign w:val="bottom"/>
          </w:tcPr>
          <w:p w14:paraId="009A63C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54 000,0 </w:t>
            </w:r>
          </w:p>
        </w:tc>
        <w:tc>
          <w:tcPr>
            <w:tcW w:w="1440" w:type="dxa"/>
            <w:tcBorders>
              <w:top w:val="nil"/>
              <w:left w:val="nil"/>
              <w:bottom w:val="single" w:sz="4" w:space="0" w:color="auto"/>
              <w:right w:val="single" w:sz="4" w:space="0" w:color="auto"/>
            </w:tcBorders>
            <w:shd w:val="clear" w:color="000000" w:fill="FFFFFF"/>
            <w:noWrap/>
            <w:vAlign w:val="bottom"/>
          </w:tcPr>
          <w:p w14:paraId="3DF35B2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52 650,0 </w:t>
            </w:r>
          </w:p>
        </w:tc>
      </w:tr>
      <w:tr w:rsidR="0053266A" w:rsidRPr="0053266A" w14:paraId="0426E1EC" w14:textId="77777777" w:rsidTr="00545B6E">
        <w:trPr>
          <w:trHeight w:val="142"/>
        </w:trPr>
        <w:tc>
          <w:tcPr>
            <w:tcW w:w="567" w:type="dxa"/>
            <w:tcBorders>
              <w:top w:val="nil"/>
              <w:left w:val="single" w:sz="4" w:space="0" w:color="auto"/>
              <w:bottom w:val="single" w:sz="4" w:space="0" w:color="auto"/>
              <w:right w:val="single" w:sz="4" w:space="0" w:color="auto"/>
            </w:tcBorders>
            <w:shd w:val="clear" w:color="auto" w:fill="auto"/>
            <w:vAlign w:val="bottom"/>
          </w:tcPr>
          <w:p w14:paraId="6FACAB8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31</w:t>
            </w:r>
          </w:p>
        </w:tc>
        <w:tc>
          <w:tcPr>
            <w:tcW w:w="2133" w:type="dxa"/>
            <w:tcBorders>
              <w:top w:val="nil"/>
              <w:left w:val="nil"/>
              <w:bottom w:val="single" w:sz="4" w:space="0" w:color="auto"/>
              <w:right w:val="single" w:sz="4" w:space="0" w:color="auto"/>
            </w:tcBorders>
            <w:shd w:val="clear" w:color="auto" w:fill="auto"/>
            <w:vAlign w:val="bottom"/>
          </w:tcPr>
          <w:p w14:paraId="4E3C3979"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Табасаранский</w:t>
            </w:r>
          </w:p>
        </w:tc>
        <w:tc>
          <w:tcPr>
            <w:tcW w:w="1260" w:type="dxa"/>
            <w:tcBorders>
              <w:top w:val="nil"/>
              <w:left w:val="nil"/>
              <w:bottom w:val="single" w:sz="4" w:space="0" w:color="auto"/>
              <w:right w:val="single" w:sz="4" w:space="0" w:color="auto"/>
            </w:tcBorders>
            <w:shd w:val="clear" w:color="auto" w:fill="auto"/>
            <w:noWrap/>
            <w:vAlign w:val="bottom"/>
          </w:tcPr>
          <w:p w14:paraId="7775A70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16 842,6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7796A49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16 189,4 </w:t>
            </w:r>
          </w:p>
        </w:tc>
        <w:tc>
          <w:tcPr>
            <w:tcW w:w="1260" w:type="dxa"/>
            <w:gridSpan w:val="2"/>
            <w:tcBorders>
              <w:top w:val="nil"/>
              <w:left w:val="nil"/>
              <w:bottom w:val="single" w:sz="4" w:space="0" w:color="auto"/>
              <w:right w:val="single" w:sz="4" w:space="0" w:color="auto"/>
            </w:tcBorders>
            <w:shd w:val="clear" w:color="auto" w:fill="auto"/>
            <w:noWrap/>
            <w:vAlign w:val="bottom"/>
          </w:tcPr>
          <w:p w14:paraId="6935334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- 653,2  </w:t>
            </w:r>
          </w:p>
        </w:tc>
        <w:tc>
          <w:tcPr>
            <w:tcW w:w="1440" w:type="dxa"/>
            <w:tcBorders>
              <w:top w:val="nil"/>
              <w:left w:val="nil"/>
              <w:bottom w:val="single" w:sz="4" w:space="0" w:color="auto"/>
              <w:right w:val="single" w:sz="4" w:space="0" w:color="auto"/>
            </w:tcBorders>
            <w:shd w:val="clear" w:color="000000" w:fill="FFFFFF"/>
            <w:noWrap/>
            <w:vAlign w:val="bottom"/>
          </w:tcPr>
          <w:p w14:paraId="38FC554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16 000,0 </w:t>
            </w:r>
          </w:p>
        </w:tc>
        <w:tc>
          <w:tcPr>
            <w:tcW w:w="1440" w:type="dxa"/>
            <w:tcBorders>
              <w:top w:val="nil"/>
              <w:left w:val="nil"/>
              <w:bottom w:val="single" w:sz="4" w:space="0" w:color="auto"/>
              <w:right w:val="single" w:sz="4" w:space="0" w:color="auto"/>
            </w:tcBorders>
            <w:shd w:val="clear" w:color="000000" w:fill="FFFFFF"/>
            <w:noWrap/>
            <w:vAlign w:val="bottom"/>
          </w:tcPr>
          <w:p w14:paraId="43613B2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15 600,0 </w:t>
            </w:r>
          </w:p>
        </w:tc>
      </w:tr>
      <w:tr w:rsidR="0053266A" w:rsidRPr="0053266A" w14:paraId="353463DA" w14:textId="77777777" w:rsidTr="00545B6E">
        <w:trPr>
          <w:trHeight w:val="187"/>
        </w:trPr>
        <w:tc>
          <w:tcPr>
            <w:tcW w:w="567" w:type="dxa"/>
            <w:tcBorders>
              <w:top w:val="nil"/>
              <w:left w:val="single" w:sz="4" w:space="0" w:color="auto"/>
              <w:bottom w:val="single" w:sz="4" w:space="0" w:color="auto"/>
              <w:right w:val="single" w:sz="4" w:space="0" w:color="auto"/>
            </w:tcBorders>
            <w:shd w:val="clear" w:color="auto" w:fill="auto"/>
            <w:vAlign w:val="bottom"/>
          </w:tcPr>
          <w:p w14:paraId="62B5C84A"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32</w:t>
            </w:r>
          </w:p>
        </w:tc>
        <w:tc>
          <w:tcPr>
            <w:tcW w:w="2133" w:type="dxa"/>
            <w:tcBorders>
              <w:top w:val="nil"/>
              <w:left w:val="nil"/>
              <w:bottom w:val="single" w:sz="4" w:space="0" w:color="auto"/>
              <w:right w:val="single" w:sz="4" w:space="0" w:color="auto"/>
            </w:tcBorders>
            <w:shd w:val="clear" w:color="auto" w:fill="auto"/>
            <w:vAlign w:val="bottom"/>
          </w:tcPr>
          <w:p w14:paraId="72D1A981"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Тарумовский</w:t>
            </w:r>
          </w:p>
        </w:tc>
        <w:tc>
          <w:tcPr>
            <w:tcW w:w="1260" w:type="dxa"/>
            <w:tcBorders>
              <w:top w:val="nil"/>
              <w:left w:val="nil"/>
              <w:bottom w:val="single" w:sz="4" w:space="0" w:color="auto"/>
              <w:right w:val="single" w:sz="4" w:space="0" w:color="auto"/>
            </w:tcBorders>
            <w:shd w:val="clear" w:color="auto" w:fill="auto"/>
            <w:noWrap/>
            <w:vAlign w:val="bottom"/>
          </w:tcPr>
          <w:p w14:paraId="7060A5E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24 880,6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46C9B2C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24 247,6 </w:t>
            </w:r>
          </w:p>
        </w:tc>
        <w:tc>
          <w:tcPr>
            <w:tcW w:w="1260" w:type="dxa"/>
            <w:gridSpan w:val="2"/>
            <w:tcBorders>
              <w:top w:val="nil"/>
              <w:left w:val="nil"/>
              <w:bottom w:val="single" w:sz="4" w:space="0" w:color="auto"/>
              <w:right w:val="single" w:sz="4" w:space="0" w:color="auto"/>
            </w:tcBorders>
            <w:shd w:val="clear" w:color="auto" w:fill="auto"/>
            <w:noWrap/>
            <w:vAlign w:val="bottom"/>
          </w:tcPr>
          <w:p w14:paraId="42DCAC7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- 633,0  </w:t>
            </w:r>
          </w:p>
        </w:tc>
        <w:tc>
          <w:tcPr>
            <w:tcW w:w="1440" w:type="dxa"/>
            <w:tcBorders>
              <w:top w:val="nil"/>
              <w:left w:val="nil"/>
              <w:bottom w:val="single" w:sz="4" w:space="0" w:color="auto"/>
              <w:right w:val="single" w:sz="4" w:space="0" w:color="auto"/>
            </w:tcBorders>
            <w:shd w:val="clear" w:color="000000" w:fill="FFFFFF"/>
            <w:noWrap/>
            <w:vAlign w:val="bottom"/>
          </w:tcPr>
          <w:p w14:paraId="26D0930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24 667,0 </w:t>
            </w:r>
          </w:p>
        </w:tc>
        <w:tc>
          <w:tcPr>
            <w:tcW w:w="1440" w:type="dxa"/>
            <w:tcBorders>
              <w:top w:val="nil"/>
              <w:left w:val="nil"/>
              <w:bottom w:val="single" w:sz="4" w:space="0" w:color="auto"/>
              <w:right w:val="single" w:sz="4" w:space="0" w:color="auto"/>
            </w:tcBorders>
            <w:shd w:val="clear" w:color="000000" w:fill="FFFFFF"/>
            <w:noWrap/>
            <w:vAlign w:val="bottom"/>
          </w:tcPr>
          <w:p w14:paraId="2AA5C99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24 034,0 </w:t>
            </w:r>
          </w:p>
        </w:tc>
      </w:tr>
      <w:tr w:rsidR="0053266A" w:rsidRPr="0053266A" w14:paraId="130799C3" w14:textId="77777777" w:rsidTr="00545B6E">
        <w:trPr>
          <w:trHeight w:val="78"/>
        </w:trPr>
        <w:tc>
          <w:tcPr>
            <w:tcW w:w="567" w:type="dxa"/>
            <w:tcBorders>
              <w:top w:val="nil"/>
              <w:left w:val="single" w:sz="4" w:space="0" w:color="auto"/>
              <w:bottom w:val="single" w:sz="4" w:space="0" w:color="auto"/>
              <w:right w:val="single" w:sz="4" w:space="0" w:color="auto"/>
            </w:tcBorders>
            <w:shd w:val="clear" w:color="auto" w:fill="auto"/>
            <w:vAlign w:val="bottom"/>
          </w:tcPr>
          <w:p w14:paraId="35E7778A"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33</w:t>
            </w:r>
          </w:p>
        </w:tc>
        <w:tc>
          <w:tcPr>
            <w:tcW w:w="2133" w:type="dxa"/>
            <w:tcBorders>
              <w:top w:val="nil"/>
              <w:left w:val="nil"/>
              <w:bottom w:val="single" w:sz="4" w:space="0" w:color="auto"/>
              <w:right w:val="single" w:sz="4" w:space="0" w:color="auto"/>
            </w:tcBorders>
            <w:shd w:val="clear" w:color="auto" w:fill="auto"/>
            <w:vAlign w:val="bottom"/>
          </w:tcPr>
          <w:p w14:paraId="0BE1BEB4"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Тляратинский</w:t>
            </w:r>
          </w:p>
        </w:tc>
        <w:tc>
          <w:tcPr>
            <w:tcW w:w="1260" w:type="dxa"/>
            <w:tcBorders>
              <w:top w:val="nil"/>
              <w:left w:val="nil"/>
              <w:bottom w:val="single" w:sz="4" w:space="0" w:color="auto"/>
              <w:right w:val="single" w:sz="4" w:space="0" w:color="auto"/>
            </w:tcBorders>
            <w:shd w:val="clear" w:color="auto" w:fill="auto"/>
            <w:noWrap/>
            <w:vAlign w:val="bottom"/>
          </w:tcPr>
          <w:p w14:paraId="6E5DC37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24 952,6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E21E39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24 082,4 </w:t>
            </w:r>
          </w:p>
        </w:tc>
        <w:tc>
          <w:tcPr>
            <w:tcW w:w="1260" w:type="dxa"/>
            <w:gridSpan w:val="2"/>
            <w:tcBorders>
              <w:top w:val="nil"/>
              <w:left w:val="nil"/>
              <w:bottom w:val="single" w:sz="4" w:space="0" w:color="auto"/>
              <w:right w:val="single" w:sz="4" w:space="0" w:color="auto"/>
            </w:tcBorders>
            <w:shd w:val="clear" w:color="auto" w:fill="auto"/>
            <w:noWrap/>
            <w:vAlign w:val="bottom"/>
          </w:tcPr>
          <w:p w14:paraId="1525B6E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- 870,2  </w:t>
            </w:r>
          </w:p>
        </w:tc>
        <w:tc>
          <w:tcPr>
            <w:tcW w:w="1440" w:type="dxa"/>
            <w:tcBorders>
              <w:top w:val="nil"/>
              <w:left w:val="nil"/>
              <w:bottom w:val="single" w:sz="4" w:space="0" w:color="auto"/>
              <w:right w:val="single" w:sz="4" w:space="0" w:color="auto"/>
            </w:tcBorders>
            <w:shd w:val="clear" w:color="000000" w:fill="FFFFFF"/>
            <w:noWrap/>
            <w:vAlign w:val="bottom"/>
          </w:tcPr>
          <w:p w14:paraId="62E6B6F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24 000,0 </w:t>
            </w:r>
          </w:p>
        </w:tc>
        <w:tc>
          <w:tcPr>
            <w:tcW w:w="1440" w:type="dxa"/>
            <w:tcBorders>
              <w:top w:val="nil"/>
              <w:left w:val="nil"/>
              <w:bottom w:val="single" w:sz="4" w:space="0" w:color="auto"/>
              <w:right w:val="single" w:sz="4" w:space="0" w:color="auto"/>
            </w:tcBorders>
            <w:shd w:val="clear" w:color="000000" w:fill="FFFFFF"/>
            <w:noWrap/>
            <w:vAlign w:val="bottom"/>
          </w:tcPr>
          <w:p w14:paraId="48056BD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23 400,0 </w:t>
            </w:r>
          </w:p>
        </w:tc>
      </w:tr>
      <w:tr w:rsidR="0053266A" w:rsidRPr="0053266A" w14:paraId="3C6EA2DF" w14:textId="77777777" w:rsidTr="00545B6E">
        <w:trPr>
          <w:trHeight w:val="123"/>
        </w:trPr>
        <w:tc>
          <w:tcPr>
            <w:tcW w:w="567" w:type="dxa"/>
            <w:tcBorders>
              <w:top w:val="nil"/>
              <w:left w:val="single" w:sz="4" w:space="0" w:color="auto"/>
              <w:bottom w:val="single" w:sz="4" w:space="0" w:color="auto"/>
              <w:right w:val="single" w:sz="4" w:space="0" w:color="auto"/>
            </w:tcBorders>
            <w:shd w:val="clear" w:color="auto" w:fill="auto"/>
            <w:vAlign w:val="bottom"/>
          </w:tcPr>
          <w:p w14:paraId="25A28237"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34</w:t>
            </w:r>
          </w:p>
        </w:tc>
        <w:tc>
          <w:tcPr>
            <w:tcW w:w="2133" w:type="dxa"/>
            <w:tcBorders>
              <w:top w:val="nil"/>
              <w:left w:val="nil"/>
              <w:bottom w:val="single" w:sz="4" w:space="0" w:color="auto"/>
              <w:right w:val="single" w:sz="4" w:space="0" w:color="auto"/>
            </w:tcBorders>
            <w:shd w:val="clear" w:color="auto" w:fill="auto"/>
            <w:vAlign w:val="bottom"/>
          </w:tcPr>
          <w:p w14:paraId="666A508B"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Унцукульский</w:t>
            </w:r>
          </w:p>
        </w:tc>
        <w:tc>
          <w:tcPr>
            <w:tcW w:w="1260" w:type="dxa"/>
            <w:tcBorders>
              <w:top w:val="nil"/>
              <w:left w:val="nil"/>
              <w:bottom w:val="single" w:sz="4" w:space="0" w:color="auto"/>
              <w:right w:val="single" w:sz="4" w:space="0" w:color="auto"/>
            </w:tcBorders>
            <w:shd w:val="clear" w:color="auto" w:fill="auto"/>
            <w:noWrap/>
            <w:vAlign w:val="bottom"/>
          </w:tcPr>
          <w:p w14:paraId="17A0D92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24 082,0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0B7CC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23 464,0 </w:t>
            </w:r>
          </w:p>
        </w:tc>
        <w:tc>
          <w:tcPr>
            <w:tcW w:w="1260" w:type="dxa"/>
            <w:gridSpan w:val="2"/>
            <w:tcBorders>
              <w:top w:val="nil"/>
              <w:left w:val="nil"/>
              <w:bottom w:val="single" w:sz="4" w:space="0" w:color="auto"/>
              <w:right w:val="single" w:sz="4" w:space="0" w:color="auto"/>
            </w:tcBorders>
            <w:shd w:val="clear" w:color="auto" w:fill="auto"/>
            <w:noWrap/>
            <w:vAlign w:val="bottom"/>
          </w:tcPr>
          <w:p w14:paraId="7631914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- 618,0  </w:t>
            </w:r>
          </w:p>
        </w:tc>
        <w:tc>
          <w:tcPr>
            <w:tcW w:w="1440" w:type="dxa"/>
            <w:tcBorders>
              <w:top w:val="nil"/>
              <w:left w:val="nil"/>
              <w:bottom w:val="single" w:sz="4" w:space="0" w:color="auto"/>
              <w:right w:val="single" w:sz="4" w:space="0" w:color="auto"/>
            </w:tcBorders>
            <w:shd w:val="clear" w:color="000000" w:fill="FFFFFF"/>
            <w:noWrap/>
            <w:vAlign w:val="bottom"/>
          </w:tcPr>
          <w:p w14:paraId="669E4BD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24 082,0 </w:t>
            </w:r>
          </w:p>
        </w:tc>
        <w:tc>
          <w:tcPr>
            <w:tcW w:w="1440" w:type="dxa"/>
            <w:tcBorders>
              <w:top w:val="nil"/>
              <w:left w:val="nil"/>
              <w:bottom w:val="single" w:sz="4" w:space="0" w:color="auto"/>
              <w:right w:val="single" w:sz="4" w:space="0" w:color="auto"/>
            </w:tcBorders>
            <w:shd w:val="clear" w:color="000000" w:fill="FFFFFF"/>
            <w:noWrap/>
            <w:vAlign w:val="bottom"/>
          </w:tcPr>
          <w:p w14:paraId="61D17B2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23 464,0 </w:t>
            </w:r>
          </w:p>
        </w:tc>
      </w:tr>
      <w:tr w:rsidR="0053266A" w:rsidRPr="0053266A" w14:paraId="1E40E8DE" w14:textId="77777777" w:rsidTr="00545B6E">
        <w:trPr>
          <w:trHeight w:val="170"/>
        </w:trPr>
        <w:tc>
          <w:tcPr>
            <w:tcW w:w="567" w:type="dxa"/>
            <w:tcBorders>
              <w:top w:val="nil"/>
              <w:left w:val="single" w:sz="4" w:space="0" w:color="auto"/>
              <w:bottom w:val="single" w:sz="4" w:space="0" w:color="auto"/>
              <w:right w:val="single" w:sz="4" w:space="0" w:color="auto"/>
            </w:tcBorders>
            <w:shd w:val="clear" w:color="auto" w:fill="auto"/>
            <w:vAlign w:val="bottom"/>
          </w:tcPr>
          <w:p w14:paraId="7B6B09B8"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35</w:t>
            </w:r>
          </w:p>
        </w:tc>
        <w:tc>
          <w:tcPr>
            <w:tcW w:w="2133" w:type="dxa"/>
            <w:tcBorders>
              <w:top w:val="nil"/>
              <w:left w:val="nil"/>
              <w:bottom w:val="single" w:sz="4" w:space="0" w:color="auto"/>
              <w:right w:val="single" w:sz="4" w:space="0" w:color="auto"/>
            </w:tcBorders>
            <w:shd w:val="clear" w:color="auto" w:fill="auto"/>
            <w:vAlign w:val="bottom"/>
          </w:tcPr>
          <w:p w14:paraId="5460C756"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Хасавюртовский</w:t>
            </w:r>
          </w:p>
        </w:tc>
        <w:tc>
          <w:tcPr>
            <w:tcW w:w="1260" w:type="dxa"/>
            <w:tcBorders>
              <w:top w:val="nil"/>
              <w:left w:val="nil"/>
              <w:bottom w:val="single" w:sz="4" w:space="0" w:color="auto"/>
              <w:right w:val="single" w:sz="4" w:space="0" w:color="auto"/>
            </w:tcBorders>
            <w:shd w:val="clear" w:color="auto" w:fill="auto"/>
            <w:noWrap/>
            <w:vAlign w:val="bottom"/>
          </w:tcPr>
          <w:p w14:paraId="1FCC12E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106 407,8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72FCCCA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94 747,2 </w:t>
            </w:r>
          </w:p>
        </w:tc>
        <w:tc>
          <w:tcPr>
            <w:tcW w:w="1260" w:type="dxa"/>
            <w:gridSpan w:val="2"/>
            <w:tcBorders>
              <w:top w:val="nil"/>
              <w:left w:val="nil"/>
              <w:bottom w:val="single" w:sz="4" w:space="0" w:color="auto"/>
              <w:right w:val="single" w:sz="4" w:space="0" w:color="auto"/>
            </w:tcBorders>
            <w:shd w:val="clear" w:color="auto" w:fill="auto"/>
            <w:noWrap/>
            <w:vAlign w:val="bottom"/>
          </w:tcPr>
          <w:p w14:paraId="6744F6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- 11 660,6  </w:t>
            </w:r>
          </w:p>
        </w:tc>
        <w:tc>
          <w:tcPr>
            <w:tcW w:w="1440" w:type="dxa"/>
            <w:tcBorders>
              <w:top w:val="nil"/>
              <w:left w:val="nil"/>
              <w:bottom w:val="single" w:sz="4" w:space="0" w:color="auto"/>
              <w:right w:val="single" w:sz="4" w:space="0" w:color="auto"/>
            </w:tcBorders>
            <w:shd w:val="clear" w:color="000000" w:fill="FFFFFF"/>
            <w:noWrap/>
            <w:vAlign w:val="bottom"/>
          </w:tcPr>
          <w:p w14:paraId="5BB5E94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65 434,3 </w:t>
            </w:r>
          </w:p>
        </w:tc>
        <w:tc>
          <w:tcPr>
            <w:tcW w:w="1440" w:type="dxa"/>
            <w:tcBorders>
              <w:top w:val="nil"/>
              <w:left w:val="nil"/>
              <w:bottom w:val="single" w:sz="4" w:space="0" w:color="auto"/>
              <w:right w:val="single" w:sz="4" w:space="0" w:color="auto"/>
            </w:tcBorders>
            <w:shd w:val="clear" w:color="000000" w:fill="FFFFFF"/>
            <w:noWrap/>
            <w:vAlign w:val="bottom"/>
          </w:tcPr>
          <w:p w14:paraId="6CC35FD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63 798,3 </w:t>
            </w:r>
          </w:p>
        </w:tc>
      </w:tr>
      <w:tr w:rsidR="0053266A" w:rsidRPr="0053266A" w14:paraId="69F3AB1C" w14:textId="77777777" w:rsidTr="00545B6E">
        <w:trPr>
          <w:trHeight w:val="74"/>
        </w:trPr>
        <w:tc>
          <w:tcPr>
            <w:tcW w:w="567" w:type="dxa"/>
            <w:tcBorders>
              <w:top w:val="nil"/>
              <w:left w:val="single" w:sz="4" w:space="0" w:color="auto"/>
              <w:bottom w:val="single" w:sz="4" w:space="0" w:color="auto"/>
              <w:right w:val="single" w:sz="4" w:space="0" w:color="auto"/>
            </w:tcBorders>
            <w:shd w:val="clear" w:color="auto" w:fill="auto"/>
            <w:vAlign w:val="bottom"/>
          </w:tcPr>
          <w:p w14:paraId="3B3248D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36</w:t>
            </w:r>
          </w:p>
        </w:tc>
        <w:tc>
          <w:tcPr>
            <w:tcW w:w="2133" w:type="dxa"/>
            <w:tcBorders>
              <w:top w:val="nil"/>
              <w:left w:val="nil"/>
              <w:bottom w:val="single" w:sz="4" w:space="0" w:color="auto"/>
              <w:right w:val="single" w:sz="4" w:space="0" w:color="auto"/>
            </w:tcBorders>
            <w:shd w:val="clear" w:color="auto" w:fill="auto"/>
            <w:vAlign w:val="bottom"/>
          </w:tcPr>
          <w:p w14:paraId="13204E4C"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Хивский</w:t>
            </w:r>
          </w:p>
        </w:tc>
        <w:tc>
          <w:tcPr>
            <w:tcW w:w="1260" w:type="dxa"/>
            <w:tcBorders>
              <w:top w:val="nil"/>
              <w:left w:val="nil"/>
              <w:bottom w:val="single" w:sz="4" w:space="0" w:color="auto"/>
              <w:right w:val="single" w:sz="4" w:space="0" w:color="auto"/>
            </w:tcBorders>
            <w:shd w:val="clear" w:color="auto" w:fill="auto"/>
            <w:noWrap/>
            <w:vAlign w:val="bottom"/>
          </w:tcPr>
          <w:p w14:paraId="5968815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24 000,0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935D3C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23 400,0 </w:t>
            </w:r>
          </w:p>
        </w:tc>
        <w:tc>
          <w:tcPr>
            <w:tcW w:w="1260" w:type="dxa"/>
            <w:gridSpan w:val="2"/>
            <w:tcBorders>
              <w:top w:val="nil"/>
              <w:left w:val="nil"/>
              <w:bottom w:val="single" w:sz="4" w:space="0" w:color="auto"/>
              <w:right w:val="single" w:sz="4" w:space="0" w:color="auto"/>
            </w:tcBorders>
            <w:shd w:val="clear" w:color="auto" w:fill="auto"/>
            <w:noWrap/>
            <w:vAlign w:val="bottom"/>
          </w:tcPr>
          <w:p w14:paraId="41091FA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-600,0  </w:t>
            </w:r>
          </w:p>
        </w:tc>
        <w:tc>
          <w:tcPr>
            <w:tcW w:w="1440" w:type="dxa"/>
            <w:tcBorders>
              <w:top w:val="nil"/>
              <w:left w:val="nil"/>
              <w:bottom w:val="single" w:sz="4" w:space="0" w:color="auto"/>
              <w:right w:val="single" w:sz="4" w:space="0" w:color="auto"/>
            </w:tcBorders>
            <w:shd w:val="clear" w:color="000000" w:fill="FFFFFF"/>
            <w:noWrap/>
            <w:vAlign w:val="bottom"/>
          </w:tcPr>
          <w:p w14:paraId="160F23C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24 000,0 </w:t>
            </w:r>
          </w:p>
        </w:tc>
        <w:tc>
          <w:tcPr>
            <w:tcW w:w="1440" w:type="dxa"/>
            <w:tcBorders>
              <w:top w:val="nil"/>
              <w:left w:val="nil"/>
              <w:bottom w:val="single" w:sz="4" w:space="0" w:color="auto"/>
              <w:right w:val="single" w:sz="4" w:space="0" w:color="auto"/>
            </w:tcBorders>
            <w:shd w:val="clear" w:color="000000" w:fill="FFFFFF"/>
            <w:noWrap/>
            <w:vAlign w:val="bottom"/>
          </w:tcPr>
          <w:p w14:paraId="5DDC5D4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23 400,0 </w:t>
            </w:r>
          </w:p>
        </w:tc>
      </w:tr>
      <w:tr w:rsidR="0053266A" w:rsidRPr="0053266A" w14:paraId="1E9A5EF0" w14:textId="77777777" w:rsidTr="00545B6E">
        <w:trPr>
          <w:trHeight w:val="120"/>
        </w:trPr>
        <w:tc>
          <w:tcPr>
            <w:tcW w:w="567" w:type="dxa"/>
            <w:tcBorders>
              <w:top w:val="nil"/>
              <w:left w:val="single" w:sz="4" w:space="0" w:color="auto"/>
              <w:bottom w:val="single" w:sz="4" w:space="0" w:color="auto"/>
              <w:right w:val="single" w:sz="4" w:space="0" w:color="auto"/>
            </w:tcBorders>
            <w:shd w:val="clear" w:color="auto" w:fill="auto"/>
            <w:vAlign w:val="bottom"/>
          </w:tcPr>
          <w:p w14:paraId="43F83919"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37</w:t>
            </w:r>
          </w:p>
        </w:tc>
        <w:tc>
          <w:tcPr>
            <w:tcW w:w="2133" w:type="dxa"/>
            <w:tcBorders>
              <w:top w:val="nil"/>
              <w:left w:val="nil"/>
              <w:bottom w:val="single" w:sz="4" w:space="0" w:color="auto"/>
              <w:right w:val="single" w:sz="4" w:space="0" w:color="auto"/>
            </w:tcBorders>
            <w:shd w:val="clear" w:color="auto" w:fill="auto"/>
            <w:vAlign w:val="bottom"/>
          </w:tcPr>
          <w:p w14:paraId="24B34B73"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Хунзахский</w:t>
            </w:r>
          </w:p>
        </w:tc>
        <w:tc>
          <w:tcPr>
            <w:tcW w:w="1260" w:type="dxa"/>
            <w:tcBorders>
              <w:top w:val="nil"/>
              <w:left w:val="nil"/>
              <w:bottom w:val="single" w:sz="4" w:space="0" w:color="auto"/>
              <w:right w:val="single" w:sz="4" w:space="0" w:color="auto"/>
            </w:tcBorders>
            <w:shd w:val="clear" w:color="auto" w:fill="auto"/>
            <w:noWrap/>
            <w:vAlign w:val="bottom"/>
          </w:tcPr>
          <w:p w14:paraId="0D624CA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99 450,0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0F2450C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96 900,0 </w:t>
            </w:r>
          </w:p>
        </w:tc>
        <w:tc>
          <w:tcPr>
            <w:tcW w:w="1260" w:type="dxa"/>
            <w:gridSpan w:val="2"/>
            <w:tcBorders>
              <w:top w:val="nil"/>
              <w:left w:val="nil"/>
              <w:bottom w:val="single" w:sz="4" w:space="0" w:color="auto"/>
              <w:right w:val="single" w:sz="4" w:space="0" w:color="auto"/>
            </w:tcBorders>
            <w:shd w:val="clear" w:color="auto" w:fill="auto"/>
            <w:noWrap/>
            <w:vAlign w:val="bottom"/>
          </w:tcPr>
          <w:p w14:paraId="7F3BCA8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- 2 550,0  </w:t>
            </w:r>
          </w:p>
        </w:tc>
        <w:tc>
          <w:tcPr>
            <w:tcW w:w="1440" w:type="dxa"/>
            <w:tcBorders>
              <w:top w:val="nil"/>
              <w:left w:val="nil"/>
              <w:bottom w:val="single" w:sz="4" w:space="0" w:color="auto"/>
              <w:right w:val="single" w:sz="4" w:space="0" w:color="auto"/>
            </w:tcBorders>
            <w:shd w:val="clear" w:color="000000" w:fill="FFFFFF"/>
            <w:noWrap/>
            <w:vAlign w:val="bottom"/>
          </w:tcPr>
          <w:p w14:paraId="33D51D3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99 450,0 </w:t>
            </w:r>
          </w:p>
        </w:tc>
        <w:tc>
          <w:tcPr>
            <w:tcW w:w="1440" w:type="dxa"/>
            <w:tcBorders>
              <w:top w:val="nil"/>
              <w:left w:val="nil"/>
              <w:bottom w:val="single" w:sz="4" w:space="0" w:color="auto"/>
              <w:right w:val="single" w:sz="4" w:space="0" w:color="auto"/>
            </w:tcBorders>
            <w:shd w:val="clear" w:color="000000" w:fill="FFFFFF"/>
            <w:noWrap/>
            <w:vAlign w:val="bottom"/>
          </w:tcPr>
          <w:p w14:paraId="11CDC8B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96 900,0 </w:t>
            </w:r>
          </w:p>
        </w:tc>
      </w:tr>
      <w:tr w:rsidR="0053266A" w:rsidRPr="0053266A" w14:paraId="5FDA0022" w14:textId="77777777" w:rsidTr="00545B6E">
        <w:trPr>
          <w:trHeight w:val="166"/>
        </w:trPr>
        <w:tc>
          <w:tcPr>
            <w:tcW w:w="567" w:type="dxa"/>
            <w:tcBorders>
              <w:top w:val="nil"/>
              <w:left w:val="single" w:sz="4" w:space="0" w:color="auto"/>
              <w:bottom w:val="single" w:sz="4" w:space="0" w:color="auto"/>
              <w:right w:val="single" w:sz="4" w:space="0" w:color="auto"/>
            </w:tcBorders>
            <w:shd w:val="clear" w:color="auto" w:fill="auto"/>
            <w:vAlign w:val="bottom"/>
          </w:tcPr>
          <w:p w14:paraId="2338EF16"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38</w:t>
            </w:r>
          </w:p>
        </w:tc>
        <w:tc>
          <w:tcPr>
            <w:tcW w:w="2133" w:type="dxa"/>
            <w:tcBorders>
              <w:top w:val="nil"/>
              <w:left w:val="nil"/>
              <w:bottom w:val="single" w:sz="4" w:space="0" w:color="auto"/>
              <w:right w:val="single" w:sz="4" w:space="0" w:color="auto"/>
            </w:tcBorders>
            <w:shd w:val="clear" w:color="auto" w:fill="auto"/>
            <w:vAlign w:val="bottom"/>
          </w:tcPr>
          <w:p w14:paraId="5A38E6EC"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Цумадинский</w:t>
            </w:r>
          </w:p>
        </w:tc>
        <w:tc>
          <w:tcPr>
            <w:tcW w:w="1260" w:type="dxa"/>
            <w:tcBorders>
              <w:top w:val="nil"/>
              <w:left w:val="nil"/>
              <w:bottom w:val="single" w:sz="4" w:space="0" w:color="auto"/>
              <w:right w:val="single" w:sz="4" w:space="0" w:color="auto"/>
            </w:tcBorders>
            <w:shd w:val="clear" w:color="auto" w:fill="auto"/>
            <w:noWrap/>
            <w:vAlign w:val="bottom"/>
          </w:tcPr>
          <w:p w14:paraId="53FFD3F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873513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1B009F4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01EC166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5924478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05B5E133" w14:textId="77777777" w:rsidTr="00545B6E">
        <w:trPr>
          <w:trHeight w:val="197"/>
        </w:trPr>
        <w:tc>
          <w:tcPr>
            <w:tcW w:w="567" w:type="dxa"/>
            <w:tcBorders>
              <w:top w:val="nil"/>
              <w:left w:val="single" w:sz="4" w:space="0" w:color="auto"/>
              <w:bottom w:val="single" w:sz="4" w:space="0" w:color="auto"/>
              <w:right w:val="single" w:sz="4" w:space="0" w:color="auto"/>
            </w:tcBorders>
            <w:shd w:val="clear" w:color="auto" w:fill="auto"/>
            <w:vAlign w:val="bottom"/>
          </w:tcPr>
          <w:p w14:paraId="4943F842"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39</w:t>
            </w:r>
          </w:p>
        </w:tc>
        <w:tc>
          <w:tcPr>
            <w:tcW w:w="2133" w:type="dxa"/>
            <w:tcBorders>
              <w:top w:val="nil"/>
              <w:left w:val="nil"/>
              <w:bottom w:val="single" w:sz="4" w:space="0" w:color="auto"/>
              <w:right w:val="single" w:sz="4" w:space="0" w:color="auto"/>
            </w:tcBorders>
            <w:shd w:val="clear" w:color="auto" w:fill="auto"/>
            <w:vAlign w:val="bottom"/>
          </w:tcPr>
          <w:p w14:paraId="4F97E8FF"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Цунтинский</w:t>
            </w:r>
          </w:p>
        </w:tc>
        <w:tc>
          <w:tcPr>
            <w:tcW w:w="1260" w:type="dxa"/>
            <w:tcBorders>
              <w:top w:val="nil"/>
              <w:left w:val="nil"/>
              <w:bottom w:val="single" w:sz="4" w:space="0" w:color="auto"/>
              <w:right w:val="single" w:sz="4" w:space="0" w:color="auto"/>
            </w:tcBorders>
            <w:shd w:val="clear" w:color="auto" w:fill="auto"/>
            <w:noWrap/>
            <w:vAlign w:val="bottom"/>
          </w:tcPr>
          <w:p w14:paraId="11D2637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4F3F9EF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56C2E49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0DC853C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59434B8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07D22C6A" w14:textId="77777777" w:rsidTr="00545B6E">
        <w:trPr>
          <w:trHeight w:val="102"/>
        </w:trPr>
        <w:tc>
          <w:tcPr>
            <w:tcW w:w="567" w:type="dxa"/>
            <w:tcBorders>
              <w:top w:val="nil"/>
              <w:left w:val="single" w:sz="4" w:space="0" w:color="auto"/>
              <w:bottom w:val="single" w:sz="4" w:space="0" w:color="auto"/>
              <w:right w:val="single" w:sz="4" w:space="0" w:color="auto"/>
            </w:tcBorders>
            <w:shd w:val="clear" w:color="auto" w:fill="auto"/>
            <w:vAlign w:val="bottom"/>
          </w:tcPr>
          <w:p w14:paraId="2D8D22D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40</w:t>
            </w:r>
          </w:p>
        </w:tc>
        <w:tc>
          <w:tcPr>
            <w:tcW w:w="2133" w:type="dxa"/>
            <w:tcBorders>
              <w:top w:val="nil"/>
              <w:left w:val="nil"/>
              <w:bottom w:val="single" w:sz="4" w:space="0" w:color="auto"/>
              <w:right w:val="single" w:sz="4" w:space="0" w:color="auto"/>
            </w:tcBorders>
            <w:shd w:val="clear" w:color="auto" w:fill="auto"/>
            <w:vAlign w:val="bottom"/>
          </w:tcPr>
          <w:p w14:paraId="1A7F611D"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Чародинский</w:t>
            </w:r>
          </w:p>
        </w:tc>
        <w:tc>
          <w:tcPr>
            <w:tcW w:w="1260" w:type="dxa"/>
            <w:tcBorders>
              <w:top w:val="nil"/>
              <w:left w:val="nil"/>
              <w:bottom w:val="single" w:sz="4" w:space="0" w:color="auto"/>
              <w:right w:val="single" w:sz="4" w:space="0" w:color="auto"/>
            </w:tcBorders>
            <w:shd w:val="clear" w:color="auto" w:fill="auto"/>
            <w:noWrap/>
            <w:vAlign w:val="bottom"/>
          </w:tcPr>
          <w:p w14:paraId="23BD4D6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759,3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050622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674,9 </w:t>
            </w:r>
          </w:p>
        </w:tc>
        <w:tc>
          <w:tcPr>
            <w:tcW w:w="1260" w:type="dxa"/>
            <w:gridSpan w:val="2"/>
            <w:tcBorders>
              <w:top w:val="nil"/>
              <w:left w:val="nil"/>
              <w:bottom w:val="single" w:sz="4" w:space="0" w:color="auto"/>
              <w:right w:val="single" w:sz="4" w:space="0" w:color="auto"/>
            </w:tcBorders>
            <w:shd w:val="clear" w:color="auto" w:fill="auto"/>
            <w:noWrap/>
            <w:vAlign w:val="bottom"/>
          </w:tcPr>
          <w:p w14:paraId="16D17EC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- 84,4  </w:t>
            </w:r>
          </w:p>
        </w:tc>
        <w:tc>
          <w:tcPr>
            <w:tcW w:w="1440" w:type="dxa"/>
            <w:tcBorders>
              <w:top w:val="nil"/>
              <w:left w:val="nil"/>
              <w:bottom w:val="single" w:sz="4" w:space="0" w:color="auto"/>
              <w:right w:val="single" w:sz="4" w:space="0" w:color="auto"/>
            </w:tcBorders>
            <w:shd w:val="clear" w:color="000000" w:fill="FFFFFF"/>
            <w:noWrap/>
            <w:vAlign w:val="bottom"/>
          </w:tcPr>
          <w:p w14:paraId="7DF97C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672EC1E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6A5D2282" w14:textId="77777777" w:rsidTr="00545B6E">
        <w:trPr>
          <w:trHeight w:val="148"/>
        </w:trPr>
        <w:tc>
          <w:tcPr>
            <w:tcW w:w="567" w:type="dxa"/>
            <w:tcBorders>
              <w:top w:val="nil"/>
              <w:left w:val="single" w:sz="4" w:space="0" w:color="auto"/>
              <w:bottom w:val="single" w:sz="4" w:space="0" w:color="auto"/>
              <w:right w:val="single" w:sz="4" w:space="0" w:color="auto"/>
            </w:tcBorders>
            <w:shd w:val="clear" w:color="auto" w:fill="auto"/>
            <w:vAlign w:val="bottom"/>
          </w:tcPr>
          <w:p w14:paraId="24FEA265"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41</w:t>
            </w:r>
          </w:p>
        </w:tc>
        <w:tc>
          <w:tcPr>
            <w:tcW w:w="2133" w:type="dxa"/>
            <w:tcBorders>
              <w:top w:val="nil"/>
              <w:left w:val="nil"/>
              <w:bottom w:val="single" w:sz="4" w:space="0" w:color="auto"/>
              <w:right w:val="single" w:sz="4" w:space="0" w:color="auto"/>
            </w:tcBorders>
            <w:shd w:val="clear" w:color="auto" w:fill="auto"/>
            <w:vAlign w:val="bottom"/>
          </w:tcPr>
          <w:p w14:paraId="57A8C5E5"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Шамильский</w:t>
            </w:r>
          </w:p>
        </w:tc>
        <w:tc>
          <w:tcPr>
            <w:tcW w:w="1260" w:type="dxa"/>
            <w:tcBorders>
              <w:top w:val="nil"/>
              <w:left w:val="nil"/>
              <w:bottom w:val="single" w:sz="4" w:space="0" w:color="auto"/>
              <w:right w:val="single" w:sz="4" w:space="0" w:color="auto"/>
            </w:tcBorders>
            <w:shd w:val="clear" w:color="auto" w:fill="auto"/>
            <w:noWrap/>
            <w:vAlign w:val="bottom"/>
          </w:tcPr>
          <w:p w14:paraId="00BCCDC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8 775,0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662F91E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8 550,0 </w:t>
            </w:r>
          </w:p>
        </w:tc>
        <w:tc>
          <w:tcPr>
            <w:tcW w:w="1260" w:type="dxa"/>
            <w:gridSpan w:val="2"/>
            <w:tcBorders>
              <w:top w:val="nil"/>
              <w:left w:val="nil"/>
              <w:bottom w:val="single" w:sz="4" w:space="0" w:color="auto"/>
              <w:right w:val="single" w:sz="4" w:space="0" w:color="auto"/>
            </w:tcBorders>
            <w:shd w:val="clear" w:color="auto" w:fill="auto"/>
            <w:noWrap/>
            <w:vAlign w:val="bottom"/>
          </w:tcPr>
          <w:p w14:paraId="49FE1F3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- 225,0  </w:t>
            </w:r>
          </w:p>
        </w:tc>
        <w:tc>
          <w:tcPr>
            <w:tcW w:w="1440" w:type="dxa"/>
            <w:tcBorders>
              <w:top w:val="nil"/>
              <w:left w:val="nil"/>
              <w:bottom w:val="single" w:sz="4" w:space="0" w:color="auto"/>
              <w:right w:val="single" w:sz="4" w:space="0" w:color="auto"/>
            </w:tcBorders>
            <w:shd w:val="clear" w:color="000000" w:fill="FFFFFF"/>
            <w:noWrap/>
            <w:vAlign w:val="bottom"/>
          </w:tcPr>
          <w:p w14:paraId="3501734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8 775,0 </w:t>
            </w:r>
          </w:p>
        </w:tc>
        <w:tc>
          <w:tcPr>
            <w:tcW w:w="1440" w:type="dxa"/>
            <w:tcBorders>
              <w:top w:val="nil"/>
              <w:left w:val="nil"/>
              <w:bottom w:val="single" w:sz="4" w:space="0" w:color="auto"/>
              <w:right w:val="single" w:sz="4" w:space="0" w:color="auto"/>
            </w:tcBorders>
            <w:shd w:val="clear" w:color="000000" w:fill="FFFFFF"/>
            <w:noWrap/>
            <w:vAlign w:val="bottom"/>
          </w:tcPr>
          <w:p w14:paraId="13B037E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8 550,0 </w:t>
            </w:r>
          </w:p>
        </w:tc>
      </w:tr>
      <w:tr w:rsidR="0053266A" w:rsidRPr="0053266A" w14:paraId="22703EF6" w14:textId="77777777" w:rsidTr="00545B6E">
        <w:trPr>
          <w:trHeight w:val="194"/>
        </w:trPr>
        <w:tc>
          <w:tcPr>
            <w:tcW w:w="567" w:type="dxa"/>
            <w:tcBorders>
              <w:top w:val="nil"/>
              <w:left w:val="single" w:sz="4" w:space="0" w:color="auto"/>
              <w:bottom w:val="single" w:sz="4" w:space="0" w:color="auto"/>
              <w:right w:val="single" w:sz="4" w:space="0" w:color="auto"/>
            </w:tcBorders>
            <w:shd w:val="clear" w:color="auto" w:fill="auto"/>
            <w:vAlign w:val="bottom"/>
          </w:tcPr>
          <w:p w14:paraId="1201B8A9"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42</w:t>
            </w:r>
          </w:p>
        </w:tc>
        <w:tc>
          <w:tcPr>
            <w:tcW w:w="2133" w:type="dxa"/>
            <w:tcBorders>
              <w:top w:val="nil"/>
              <w:left w:val="nil"/>
              <w:bottom w:val="single" w:sz="4" w:space="0" w:color="auto"/>
              <w:right w:val="single" w:sz="4" w:space="0" w:color="auto"/>
            </w:tcBorders>
            <w:shd w:val="clear" w:color="auto" w:fill="auto"/>
            <w:vAlign w:val="bottom"/>
          </w:tcPr>
          <w:p w14:paraId="6715E04B"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Бежтинский участок</w:t>
            </w:r>
          </w:p>
        </w:tc>
        <w:tc>
          <w:tcPr>
            <w:tcW w:w="1260" w:type="dxa"/>
            <w:tcBorders>
              <w:top w:val="nil"/>
              <w:left w:val="nil"/>
              <w:bottom w:val="single" w:sz="4" w:space="0" w:color="auto"/>
              <w:right w:val="single" w:sz="4" w:space="0" w:color="auto"/>
            </w:tcBorders>
            <w:shd w:val="clear" w:color="auto" w:fill="auto"/>
            <w:noWrap/>
            <w:vAlign w:val="bottom"/>
          </w:tcPr>
          <w:p w14:paraId="4D4A803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E2608E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260" w:type="dxa"/>
            <w:gridSpan w:val="2"/>
            <w:tcBorders>
              <w:top w:val="nil"/>
              <w:left w:val="nil"/>
              <w:bottom w:val="single" w:sz="4" w:space="0" w:color="auto"/>
              <w:right w:val="single" w:sz="4" w:space="0" w:color="auto"/>
            </w:tcBorders>
            <w:shd w:val="clear" w:color="auto" w:fill="auto"/>
            <w:noWrap/>
            <w:vAlign w:val="bottom"/>
          </w:tcPr>
          <w:p w14:paraId="542FC1C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472AF7C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440" w:type="dxa"/>
            <w:tcBorders>
              <w:top w:val="nil"/>
              <w:left w:val="nil"/>
              <w:bottom w:val="single" w:sz="4" w:space="0" w:color="auto"/>
              <w:right w:val="single" w:sz="4" w:space="0" w:color="auto"/>
            </w:tcBorders>
            <w:shd w:val="clear" w:color="000000" w:fill="FFFFFF"/>
            <w:noWrap/>
            <w:vAlign w:val="bottom"/>
          </w:tcPr>
          <w:p w14:paraId="567004A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DE5591E" w14:textId="77777777" w:rsidTr="00545B6E">
        <w:trPr>
          <w:trHeight w:val="98"/>
        </w:trPr>
        <w:tc>
          <w:tcPr>
            <w:tcW w:w="567" w:type="dxa"/>
            <w:tcBorders>
              <w:top w:val="nil"/>
              <w:left w:val="single" w:sz="4" w:space="0" w:color="auto"/>
              <w:bottom w:val="single" w:sz="4" w:space="0" w:color="auto"/>
              <w:right w:val="single" w:sz="4" w:space="0" w:color="auto"/>
            </w:tcBorders>
            <w:shd w:val="clear" w:color="auto" w:fill="auto"/>
            <w:vAlign w:val="bottom"/>
          </w:tcPr>
          <w:p w14:paraId="472C1C3D"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43</w:t>
            </w:r>
          </w:p>
        </w:tc>
        <w:tc>
          <w:tcPr>
            <w:tcW w:w="2133" w:type="dxa"/>
            <w:tcBorders>
              <w:top w:val="nil"/>
              <w:left w:val="nil"/>
              <w:bottom w:val="single" w:sz="4" w:space="0" w:color="auto"/>
              <w:right w:val="single" w:sz="4" w:space="0" w:color="auto"/>
            </w:tcBorders>
            <w:shd w:val="clear" w:color="auto" w:fill="auto"/>
            <w:vAlign w:val="bottom"/>
          </w:tcPr>
          <w:p w14:paraId="024424D5" w14:textId="018C4B16"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Махачкала</w:t>
            </w:r>
          </w:p>
        </w:tc>
        <w:tc>
          <w:tcPr>
            <w:tcW w:w="1260" w:type="dxa"/>
            <w:tcBorders>
              <w:top w:val="nil"/>
              <w:left w:val="nil"/>
              <w:bottom w:val="single" w:sz="4" w:space="0" w:color="auto"/>
              <w:right w:val="single" w:sz="4" w:space="0" w:color="auto"/>
            </w:tcBorders>
            <w:shd w:val="clear" w:color="auto" w:fill="auto"/>
            <w:noWrap/>
            <w:vAlign w:val="bottom"/>
          </w:tcPr>
          <w:p w14:paraId="0B45BC9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909 900,5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0D60FC6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886 383,8 </w:t>
            </w:r>
          </w:p>
        </w:tc>
        <w:tc>
          <w:tcPr>
            <w:tcW w:w="1260" w:type="dxa"/>
            <w:gridSpan w:val="2"/>
            <w:tcBorders>
              <w:top w:val="nil"/>
              <w:left w:val="nil"/>
              <w:bottom w:val="single" w:sz="4" w:space="0" w:color="auto"/>
              <w:right w:val="single" w:sz="4" w:space="0" w:color="auto"/>
            </w:tcBorders>
            <w:shd w:val="clear" w:color="auto" w:fill="auto"/>
            <w:noWrap/>
            <w:vAlign w:val="bottom"/>
          </w:tcPr>
          <w:p w14:paraId="5CC0869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- 23 516,7  </w:t>
            </w:r>
          </w:p>
        </w:tc>
        <w:tc>
          <w:tcPr>
            <w:tcW w:w="1440" w:type="dxa"/>
            <w:tcBorders>
              <w:top w:val="nil"/>
              <w:left w:val="nil"/>
              <w:bottom w:val="single" w:sz="4" w:space="0" w:color="auto"/>
              <w:right w:val="single" w:sz="4" w:space="0" w:color="auto"/>
            </w:tcBorders>
            <w:shd w:val="clear" w:color="000000" w:fill="FFFFFF"/>
            <w:noWrap/>
            <w:vAlign w:val="bottom"/>
          </w:tcPr>
          <w:p w14:paraId="60F8A88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909 465,3 </w:t>
            </w:r>
          </w:p>
        </w:tc>
        <w:tc>
          <w:tcPr>
            <w:tcW w:w="1440" w:type="dxa"/>
            <w:tcBorders>
              <w:top w:val="nil"/>
              <w:left w:val="nil"/>
              <w:bottom w:val="single" w:sz="4" w:space="0" w:color="auto"/>
              <w:right w:val="single" w:sz="4" w:space="0" w:color="auto"/>
            </w:tcBorders>
            <w:shd w:val="clear" w:color="000000" w:fill="FFFFFF"/>
            <w:noWrap/>
            <w:vAlign w:val="bottom"/>
          </w:tcPr>
          <w:p w14:paraId="3E67599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886 145,3 </w:t>
            </w:r>
          </w:p>
        </w:tc>
      </w:tr>
      <w:tr w:rsidR="0053266A" w:rsidRPr="0053266A" w14:paraId="097A22DF" w14:textId="77777777" w:rsidTr="00545B6E">
        <w:trPr>
          <w:trHeight w:val="143"/>
        </w:trPr>
        <w:tc>
          <w:tcPr>
            <w:tcW w:w="567" w:type="dxa"/>
            <w:tcBorders>
              <w:top w:val="nil"/>
              <w:left w:val="single" w:sz="4" w:space="0" w:color="auto"/>
              <w:bottom w:val="single" w:sz="4" w:space="0" w:color="auto"/>
              <w:right w:val="single" w:sz="4" w:space="0" w:color="auto"/>
            </w:tcBorders>
            <w:shd w:val="clear" w:color="auto" w:fill="auto"/>
            <w:vAlign w:val="bottom"/>
          </w:tcPr>
          <w:p w14:paraId="02988428"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44</w:t>
            </w:r>
          </w:p>
        </w:tc>
        <w:tc>
          <w:tcPr>
            <w:tcW w:w="2133" w:type="dxa"/>
            <w:tcBorders>
              <w:top w:val="nil"/>
              <w:left w:val="nil"/>
              <w:bottom w:val="single" w:sz="4" w:space="0" w:color="auto"/>
              <w:right w:val="single" w:sz="4" w:space="0" w:color="auto"/>
            </w:tcBorders>
            <w:shd w:val="clear" w:color="auto" w:fill="auto"/>
            <w:vAlign w:val="bottom"/>
          </w:tcPr>
          <w:p w14:paraId="3012A51C" w14:textId="7E293805"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Дербент</w:t>
            </w:r>
          </w:p>
        </w:tc>
        <w:tc>
          <w:tcPr>
            <w:tcW w:w="1260" w:type="dxa"/>
            <w:tcBorders>
              <w:top w:val="nil"/>
              <w:left w:val="nil"/>
              <w:bottom w:val="single" w:sz="4" w:space="0" w:color="auto"/>
              <w:right w:val="single" w:sz="4" w:space="0" w:color="auto"/>
            </w:tcBorders>
            <w:shd w:val="clear" w:color="auto" w:fill="auto"/>
            <w:noWrap/>
            <w:vAlign w:val="bottom"/>
          </w:tcPr>
          <w:p w14:paraId="5654EDF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118 810,6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3397EC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87 900,0 </w:t>
            </w:r>
          </w:p>
        </w:tc>
        <w:tc>
          <w:tcPr>
            <w:tcW w:w="1260" w:type="dxa"/>
            <w:gridSpan w:val="2"/>
            <w:tcBorders>
              <w:top w:val="nil"/>
              <w:left w:val="nil"/>
              <w:bottom w:val="single" w:sz="4" w:space="0" w:color="auto"/>
              <w:right w:val="single" w:sz="4" w:space="0" w:color="auto"/>
            </w:tcBorders>
            <w:shd w:val="clear" w:color="auto" w:fill="auto"/>
            <w:noWrap/>
            <w:vAlign w:val="bottom"/>
          </w:tcPr>
          <w:p w14:paraId="1FC0BF8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- 30 910,6  </w:t>
            </w:r>
          </w:p>
        </w:tc>
        <w:tc>
          <w:tcPr>
            <w:tcW w:w="1440" w:type="dxa"/>
            <w:tcBorders>
              <w:top w:val="nil"/>
              <w:left w:val="nil"/>
              <w:bottom w:val="single" w:sz="4" w:space="0" w:color="auto"/>
              <w:right w:val="single" w:sz="4" w:space="0" w:color="auto"/>
            </w:tcBorders>
            <w:shd w:val="clear" w:color="000000" w:fill="FFFFFF"/>
            <w:noWrap/>
            <w:vAlign w:val="bottom"/>
          </w:tcPr>
          <w:p w14:paraId="407F885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117 200,0 </w:t>
            </w:r>
          </w:p>
        </w:tc>
        <w:tc>
          <w:tcPr>
            <w:tcW w:w="1440" w:type="dxa"/>
            <w:tcBorders>
              <w:top w:val="nil"/>
              <w:left w:val="nil"/>
              <w:bottom w:val="single" w:sz="4" w:space="0" w:color="auto"/>
              <w:right w:val="single" w:sz="4" w:space="0" w:color="auto"/>
            </w:tcBorders>
            <w:shd w:val="clear" w:color="000000" w:fill="FFFFFF"/>
            <w:noWrap/>
            <w:vAlign w:val="bottom"/>
          </w:tcPr>
          <w:p w14:paraId="779E283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87 900,0 </w:t>
            </w:r>
          </w:p>
        </w:tc>
      </w:tr>
      <w:tr w:rsidR="0053266A" w:rsidRPr="0053266A" w14:paraId="731173E5" w14:textId="77777777" w:rsidTr="00545B6E">
        <w:trPr>
          <w:trHeight w:val="176"/>
        </w:trPr>
        <w:tc>
          <w:tcPr>
            <w:tcW w:w="567" w:type="dxa"/>
            <w:tcBorders>
              <w:top w:val="nil"/>
              <w:left w:val="single" w:sz="4" w:space="0" w:color="auto"/>
              <w:bottom w:val="single" w:sz="4" w:space="0" w:color="auto"/>
              <w:right w:val="single" w:sz="4" w:space="0" w:color="auto"/>
            </w:tcBorders>
            <w:shd w:val="clear" w:color="auto" w:fill="auto"/>
            <w:vAlign w:val="bottom"/>
          </w:tcPr>
          <w:p w14:paraId="2D988AC5"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45</w:t>
            </w:r>
          </w:p>
        </w:tc>
        <w:tc>
          <w:tcPr>
            <w:tcW w:w="2133" w:type="dxa"/>
            <w:tcBorders>
              <w:top w:val="nil"/>
              <w:left w:val="nil"/>
              <w:bottom w:val="single" w:sz="4" w:space="0" w:color="auto"/>
              <w:right w:val="single" w:sz="4" w:space="0" w:color="auto"/>
            </w:tcBorders>
            <w:shd w:val="clear" w:color="auto" w:fill="auto"/>
            <w:vAlign w:val="bottom"/>
          </w:tcPr>
          <w:p w14:paraId="50108587" w14:textId="0E571E64"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Буйнакск</w:t>
            </w:r>
          </w:p>
        </w:tc>
        <w:tc>
          <w:tcPr>
            <w:tcW w:w="1260" w:type="dxa"/>
            <w:tcBorders>
              <w:top w:val="nil"/>
              <w:left w:val="nil"/>
              <w:bottom w:val="single" w:sz="4" w:space="0" w:color="auto"/>
              <w:right w:val="single" w:sz="4" w:space="0" w:color="auto"/>
            </w:tcBorders>
            <w:shd w:val="clear" w:color="auto" w:fill="auto"/>
            <w:noWrap/>
            <w:vAlign w:val="bottom"/>
          </w:tcPr>
          <w:p w14:paraId="24DF5D5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72 843,6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280CAF8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70 948,8 </w:t>
            </w:r>
          </w:p>
        </w:tc>
        <w:tc>
          <w:tcPr>
            <w:tcW w:w="1260" w:type="dxa"/>
            <w:gridSpan w:val="2"/>
            <w:tcBorders>
              <w:top w:val="nil"/>
              <w:left w:val="nil"/>
              <w:bottom w:val="single" w:sz="4" w:space="0" w:color="auto"/>
              <w:right w:val="single" w:sz="4" w:space="0" w:color="auto"/>
            </w:tcBorders>
            <w:shd w:val="clear" w:color="auto" w:fill="auto"/>
            <w:noWrap/>
            <w:vAlign w:val="bottom"/>
          </w:tcPr>
          <w:p w14:paraId="09B63DC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- 1 894,8  </w:t>
            </w:r>
          </w:p>
        </w:tc>
        <w:tc>
          <w:tcPr>
            <w:tcW w:w="1440" w:type="dxa"/>
            <w:tcBorders>
              <w:top w:val="nil"/>
              <w:left w:val="nil"/>
              <w:bottom w:val="single" w:sz="4" w:space="0" w:color="auto"/>
              <w:right w:val="single" w:sz="4" w:space="0" w:color="auto"/>
            </w:tcBorders>
            <w:shd w:val="clear" w:color="000000" w:fill="FFFFFF"/>
            <w:noWrap/>
            <w:vAlign w:val="bottom"/>
          </w:tcPr>
          <w:p w14:paraId="2F6D11E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72 010,5 </w:t>
            </w:r>
          </w:p>
        </w:tc>
        <w:tc>
          <w:tcPr>
            <w:tcW w:w="1440" w:type="dxa"/>
            <w:tcBorders>
              <w:top w:val="nil"/>
              <w:left w:val="nil"/>
              <w:bottom w:val="single" w:sz="4" w:space="0" w:color="auto"/>
              <w:right w:val="single" w:sz="4" w:space="0" w:color="auto"/>
            </w:tcBorders>
            <w:shd w:val="clear" w:color="000000" w:fill="FFFFFF"/>
            <w:noWrap/>
            <w:vAlign w:val="bottom"/>
          </w:tcPr>
          <w:p w14:paraId="0654822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70 210,5 </w:t>
            </w:r>
          </w:p>
        </w:tc>
      </w:tr>
      <w:tr w:rsidR="0053266A" w:rsidRPr="0053266A" w14:paraId="6BEBF6D2" w14:textId="77777777" w:rsidTr="00545B6E">
        <w:trPr>
          <w:trHeight w:val="79"/>
        </w:trPr>
        <w:tc>
          <w:tcPr>
            <w:tcW w:w="567" w:type="dxa"/>
            <w:tcBorders>
              <w:top w:val="nil"/>
              <w:left w:val="single" w:sz="4" w:space="0" w:color="auto"/>
              <w:bottom w:val="single" w:sz="4" w:space="0" w:color="auto"/>
              <w:right w:val="single" w:sz="4" w:space="0" w:color="auto"/>
            </w:tcBorders>
            <w:shd w:val="clear" w:color="auto" w:fill="auto"/>
            <w:vAlign w:val="bottom"/>
          </w:tcPr>
          <w:p w14:paraId="7F9809B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46</w:t>
            </w:r>
          </w:p>
        </w:tc>
        <w:tc>
          <w:tcPr>
            <w:tcW w:w="2133" w:type="dxa"/>
            <w:tcBorders>
              <w:top w:val="nil"/>
              <w:left w:val="nil"/>
              <w:bottom w:val="single" w:sz="4" w:space="0" w:color="auto"/>
              <w:right w:val="single" w:sz="4" w:space="0" w:color="auto"/>
            </w:tcBorders>
            <w:shd w:val="clear" w:color="auto" w:fill="auto"/>
            <w:vAlign w:val="bottom"/>
          </w:tcPr>
          <w:p w14:paraId="06B945CA" w14:textId="3F35AA09"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Хасавюрт</w:t>
            </w:r>
          </w:p>
        </w:tc>
        <w:tc>
          <w:tcPr>
            <w:tcW w:w="1260" w:type="dxa"/>
            <w:tcBorders>
              <w:top w:val="nil"/>
              <w:left w:val="nil"/>
              <w:bottom w:val="single" w:sz="4" w:space="0" w:color="auto"/>
              <w:right w:val="single" w:sz="4" w:space="0" w:color="auto"/>
            </w:tcBorders>
            <w:shd w:val="clear" w:color="auto" w:fill="auto"/>
            <w:noWrap/>
            <w:vAlign w:val="bottom"/>
          </w:tcPr>
          <w:p w14:paraId="0CB7128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49 156,4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664F7F9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50 220,4 </w:t>
            </w:r>
          </w:p>
        </w:tc>
        <w:tc>
          <w:tcPr>
            <w:tcW w:w="1260" w:type="dxa"/>
            <w:gridSpan w:val="2"/>
            <w:tcBorders>
              <w:top w:val="nil"/>
              <w:left w:val="nil"/>
              <w:bottom w:val="single" w:sz="4" w:space="0" w:color="auto"/>
              <w:right w:val="single" w:sz="4" w:space="0" w:color="auto"/>
            </w:tcBorders>
            <w:shd w:val="clear" w:color="auto" w:fill="auto"/>
            <w:noWrap/>
            <w:vAlign w:val="bottom"/>
          </w:tcPr>
          <w:p w14:paraId="12DEB1E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1 064,0  </w:t>
            </w:r>
          </w:p>
        </w:tc>
        <w:tc>
          <w:tcPr>
            <w:tcW w:w="1440" w:type="dxa"/>
            <w:tcBorders>
              <w:top w:val="nil"/>
              <w:left w:val="nil"/>
              <w:bottom w:val="single" w:sz="4" w:space="0" w:color="auto"/>
              <w:right w:val="single" w:sz="4" w:space="0" w:color="auto"/>
            </w:tcBorders>
            <w:shd w:val="clear" w:color="000000" w:fill="FFFFFF"/>
            <w:noWrap/>
            <w:vAlign w:val="bottom"/>
          </w:tcPr>
          <w:p w14:paraId="045CA46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48 400,0 </w:t>
            </w:r>
          </w:p>
        </w:tc>
        <w:tc>
          <w:tcPr>
            <w:tcW w:w="1440" w:type="dxa"/>
            <w:tcBorders>
              <w:top w:val="nil"/>
              <w:left w:val="nil"/>
              <w:bottom w:val="single" w:sz="4" w:space="0" w:color="auto"/>
              <w:right w:val="single" w:sz="4" w:space="0" w:color="auto"/>
            </w:tcBorders>
            <w:shd w:val="clear" w:color="000000" w:fill="FFFFFF"/>
            <w:noWrap/>
            <w:vAlign w:val="bottom"/>
          </w:tcPr>
          <w:p w14:paraId="711C761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47 190,0 </w:t>
            </w:r>
          </w:p>
        </w:tc>
      </w:tr>
      <w:tr w:rsidR="0053266A" w:rsidRPr="0053266A" w14:paraId="6A2811BD" w14:textId="77777777" w:rsidTr="00545B6E">
        <w:trPr>
          <w:trHeight w:val="126"/>
        </w:trPr>
        <w:tc>
          <w:tcPr>
            <w:tcW w:w="567" w:type="dxa"/>
            <w:tcBorders>
              <w:top w:val="nil"/>
              <w:left w:val="single" w:sz="4" w:space="0" w:color="auto"/>
              <w:bottom w:val="single" w:sz="4" w:space="0" w:color="auto"/>
              <w:right w:val="single" w:sz="4" w:space="0" w:color="auto"/>
            </w:tcBorders>
            <w:shd w:val="clear" w:color="auto" w:fill="auto"/>
            <w:vAlign w:val="bottom"/>
          </w:tcPr>
          <w:p w14:paraId="5668D0CC"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47</w:t>
            </w:r>
          </w:p>
        </w:tc>
        <w:tc>
          <w:tcPr>
            <w:tcW w:w="2133" w:type="dxa"/>
            <w:tcBorders>
              <w:top w:val="nil"/>
              <w:left w:val="nil"/>
              <w:bottom w:val="single" w:sz="4" w:space="0" w:color="auto"/>
              <w:right w:val="single" w:sz="4" w:space="0" w:color="auto"/>
            </w:tcBorders>
            <w:shd w:val="clear" w:color="auto" w:fill="auto"/>
            <w:vAlign w:val="bottom"/>
          </w:tcPr>
          <w:p w14:paraId="0E1EFB5A" w14:textId="08C8EE98"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Каспийск</w:t>
            </w:r>
          </w:p>
        </w:tc>
        <w:tc>
          <w:tcPr>
            <w:tcW w:w="1260" w:type="dxa"/>
            <w:tcBorders>
              <w:top w:val="nil"/>
              <w:left w:val="nil"/>
              <w:bottom w:val="single" w:sz="4" w:space="0" w:color="auto"/>
              <w:right w:val="single" w:sz="4" w:space="0" w:color="auto"/>
            </w:tcBorders>
            <w:shd w:val="clear" w:color="auto" w:fill="auto"/>
            <w:noWrap/>
            <w:vAlign w:val="bottom"/>
          </w:tcPr>
          <w:p w14:paraId="559D6BF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23 302,0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344768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87 667,0 </w:t>
            </w:r>
          </w:p>
        </w:tc>
        <w:tc>
          <w:tcPr>
            <w:tcW w:w="1260" w:type="dxa"/>
            <w:gridSpan w:val="2"/>
            <w:tcBorders>
              <w:top w:val="nil"/>
              <w:left w:val="nil"/>
              <w:bottom w:val="single" w:sz="4" w:space="0" w:color="auto"/>
              <w:right w:val="single" w:sz="4" w:space="0" w:color="auto"/>
            </w:tcBorders>
            <w:shd w:val="clear" w:color="auto" w:fill="auto"/>
            <w:noWrap/>
            <w:vAlign w:val="bottom"/>
          </w:tcPr>
          <w:p w14:paraId="44847DB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64 365,0  </w:t>
            </w:r>
          </w:p>
        </w:tc>
        <w:tc>
          <w:tcPr>
            <w:tcW w:w="1440" w:type="dxa"/>
            <w:tcBorders>
              <w:top w:val="nil"/>
              <w:left w:val="nil"/>
              <w:bottom w:val="single" w:sz="4" w:space="0" w:color="auto"/>
              <w:right w:val="single" w:sz="4" w:space="0" w:color="auto"/>
            </w:tcBorders>
            <w:shd w:val="clear" w:color="000000" w:fill="FFFFFF"/>
            <w:noWrap/>
            <w:vAlign w:val="bottom"/>
          </w:tcPr>
          <w:p w14:paraId="29D80A2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23 302,0 </w:t>
            </w:r>
          </w:p>
        </w:tc>
        <w:tc>
          <w:tcPr>
            <w:tcW w:w="1440" w:type="dxa"/>
            <w:tcBorders>
              <w:top w:val="nil"/>
              <w:left w:val="nil"/>
              <w:bottom w:val="single" w:sz="4" w:space="0" w:color="auto"/>
              <w:right w:val="single" w:sz="4" w:space="0" w:color="auto"/>
            </w:tcBorders>
            <w:shd w:val="clear" w:color="000000" w:fill="FFFFFF"/>
            <w:noWrap/>
            <w:vAlign w:val="bottom"/>
          </w:tcPr>
          <w:p w14:paraId="600991B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87 667,0 </w:t>
            </w:r>
          </w:p>
        </w:tc>
      </w:tr>
      <w:tr w:rsidR="0053266A" w:rsidRPr="0053266A" w14:paraId="0F4E7875" w14:textId="77777777" w:rsidTr="00545B6E">
        <w:trPr>
          <w:trHeight w:val="172"/>
        </w:trPr>
        <w:tc>
          <w:tcPr>
            <w:tcW w:w="567" w:type="dxa"/>
            <w:tcBorders>
              <w:top w:val="nil"/>
              <w:left w:val="single" w:sz="4" w:space="0" w:color="auto"/>
              <w:bottom w:val="single" w:sz="4" w:space="0" w:color="auto"/>
              <w:right w:val="single" w:sz="4" w:space="0" w:color="auto"/>
            </w:tcBorders>
            <w:shd w:val="clear" w:color="auto" w:fill="auto"/>
            <w:vAlign w:val="bottom"/>
          </w:tcPr>
          <w:p w14:paraId="1E3D6DF5"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48</w:t>
            </w:r>
          </w:p>
        </w:tc>
        <w:tc>
          <w:tcPr>
            <w:tcW w:w="2133" w:type="dxa"/>
            <w:tcBorders>
              <w:top w:val="nil"/>
              <w:left w:val="nil"/>
              <w:bottom w:val="single" w:sz="4" w:space="0" w:color="auto"/>
              <w:right w:val="single" w:sz="4" w:space="0" w:color="auto"/>
            </w:tcBorders>
            <w:shd w:val="clear" w:color="auto" w:fill="auto"/>
            <w:vAlign w:val="bottom"/>
          </w:tcPr>
          <w:p w14:paraId="35B011DE" w14:textId="1F75F019"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Кизляр</w:t>
            </w:r>
          </w:p>
        </w:tc>
        <w:tc>
          <w:tcPr>
            <w:tcW w:w="1260" w:type="dxa"/>
            <w:tcBorders>
              <w:top w:val="nil"/>
              <w:left w:val="nil"/>
              <w:bottom w:val="single" w:sz="4" w:space="0" w:color="auto"/>
              <w:right w:val="single" w:sz="4" w:space="0" w:color="auto"/>
            </w:tcBorders>
            <w:shd w:val="clear" w:color="auto" w:fill="auto"/>
            <w:noWrap/>
            <w:vAlign w:val="bottom"/>
          </w:tcPr>
          <w:p w14:paraId="3EAA3E8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106 470,0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242D827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103 740,0 </w:t>
            </w:r>
          </w:p>
        </w:tc>
        <w:tc>
          <w:tcPr>
            <w:tcW w:w="1260" w:type="dxa"/>
            <w:gridSpan w:val="2"/>
            <w:tcBorders>
              <w:top w:val="nil"/>
              <w:left w:val="nil"/>
              <w:bottom w:val="single" w:sz="4" w:space="0" w:color="auto"/>
              <w:right w:val="single" w:sz="4" w:space="0" w:color="auto"/>
            </w:tcBorders>
            <w:shd w:val="clear" w:color="auto" w:fill="auto"/>
            <w:noWrap/>
            <w:vAlign w:val="bottom"/>
          </w:tcPr>
          <w:p w14:paraId="00F28BF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- 2 730,0  </w:t>
            </w:r>
          </w:p>
        </w:tc>
        <w:tc>
          <w:tcPr>
            <w:tcW w:w="1440" w:type="dxa"/>
            <w:tcBorders>
              <w:top w:val="nil"/>
              <w:left w:val="nil"/>
              <w:bottom w:val="single" w:sz="4" w:space="0" w:color="auto"/>
              <w:right w:val="single" w:sz="4" w:space="0" w:color="auto"/>
            </w:tcBorders>
            <w:shd w:val="clear" w:color="000000" w:fill="FFFFFF"/>
            <w:noWrap/>
            <w:vAlign w:val="bottom"/>
          </w:tcPr>
          <w:p w14:paraId="73EF29F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106 470,0 </w:t>
            </w:r>
          </w:p>
        </w:tc>
        <w:tc>
          <w:tcPr>
            <w:tcW w:w="1440" w:type="dxa"/>
            <w:tcBorders>
              <w:top w:val="nil"/>
              <w:left w:val="nil"/>
              <w:bottom w:val="single" w:sz="4" w:space="0" w:color="auto"/>
              <w:right w:val="single" w:sz="4" w:space="0" w:color="auto"/>
            </w:tcBorders>
            <w:shd w:val="clear" w:color="000000" w:fill="FFFFFF"/>
            <w:noWrap/>
            <w:vAlign w:val="bottom"/>
          </w:tcPr>
          <w:p w14:paraId="3929AFE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103 740,0 </w:t>
            </w:r>
          </w:p>
        </w:tc>
      </w:tr>
      <w:tr w:rsidR="0053266A" w:rsidRPr="0053266A" w14:paraId="79397065" w14:textId="77777777" w:rsidTr="00545B6E">
        <w:trPr>
          <w:trHeight w:val="76"/>
        </w:trPr>
        <w:tc>
          <w:tcPr>
            <w:tcW w:w="567" w:type="dxa"/>
            <w:tcBorders>
              <w:top w:val="nil"/>
              <w:left w:val="single" w:sz="4" w:space="0" w:color="auto"/>
              <w:bottom w:val="single" w:sz="4" w:space="0" w:color="auto"/>
              <w:right w:val="single" w:sz="4" w:space="0" w:color="auto"/>
            </w:tcBorders>
            <w:shd w:val="clear" w:color="auto" w:fill="auto"/>
            <w:vAlign w:val="bottom"/>
          </w:tcPr>
          <w:p w14:paraId="506FC8D1"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49</w:t>
            </w:r>
          </w:p>
        </w:tc>
        <w:tc>
          <w:tcPr>
            <w:tcW w:w="2133" w:type="dxa"/>
            <w:tcBorders>
              <w:top w:val="nil"/>
              <w:left w:val="nil"/>
              <w:bottom w:val="single" w:sz="4" w:space="0" w:color="auto"/>
              <w:right w:val="single" w:sz="4" w:space="0" w:color="auto"/>
            </w:tcBorders>
            <w:shd w:val="clear" w:color="auto" w:fill="auto"/>
            <w:vAlign w:val="bottom"/>
          </w:tcPr>
          <w:p w14:paraId="6B77C91F" w14:textId="0A88AF60"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Кизилюрт</w:t>
            </w:r>
          </w:p>
        </w:tc>
        <w:tc>
          <w:tcPr>
            <w:tcW w:w="1260" w:type="dxa"/>
            <w:tcBorders>
              <w:top w:val="nil"/>
              <w:left w:val="nil"/>
              <w:bottom w:val="single" w:sz="4" w:space="0" w:color="auto"/>
              <w:right w:val="single" w:sz="4" w:space="0" w:color="auto"/>
            </w:tcBorders>
            <w:shd w:val="clear" w:color="auto" w:fill="auto"/>
            <w:noWrap/>
            <w:vAlign w:val="bottom"/>
          </w:tcPr>
          <w:p w14:paraId="6D6BAA3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74 560,0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566EC94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72 696,0 </w:t>
            </w:r>
          </w:p>
        </w:tc>
        <w:tc>
          <w:tcPr>
            <w:tcW w:w="1260" w:type="dxa"/>
            <w:gridSpan w:val="2"/>
            <w:tcBorders>
              <w:top w:val="nil"/>
              <w:left w:val="nil"/>
              <w:bottom w:val="single" w:sz="4" w:space="0" w:color="auto"/>
              <w:right w:val="single" w:sz="4" w:space="0" w:color="auto"/>
            </w:tcBorders>
            <w:shd w:val="clear" w:color="auto" w:fill="auto"/>
            <w:noWrap/>
            <w:vAlign w:val="bottom"/>
          </w:tcPr>
          <w:p w14:paraId="732D01B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- 1 864,0  </w:t>
            </w:r>
          </w:p>
        </w:tc>
        <w:tc>
          <w:tcPr>
            <w:tcW w:w="1440" w:type="dxa"/>
            <w:tcBorders>
              <w:top w:val="nil"/>
              <w:left w:val="nil"/>
              <w:bottom w:val="single" w:sz="4" w:space="0" w:color="auto"/>
              <w:right w:val="single" w:sz="4" w:space="0" w:color="auto"/>
            </w:tcBorders>
            <w:shd w:val="clear" w:color="000000" w:fill="FFFFFF"/>
            <w:noWrap/>
            <w:vAlign w:val="bottom"/>
          </w:tcPr>
          <w:p w14:paraId="20A7773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74 560,0 </w:t>
            </w:r>
          </w:p>
        </w:tc>
        <w:tc>
          <w:tcPr>
            <w:tcW w:w="1440" w:type="dxa"/>
            <w:tcBorders>
              <w:top w:val="nil"/>
              <w:left w:val="nil"/>
              <w:bottom w:val="single" w:sz="4" w:space="0" w:color="auto"/>
              <w:right w:val="single" w:sz="4" w:space="0" w:color="auto"/>
            </w:tcBorders>
            <w:shd w:val="clear" w:color="000000" w:fill="FFFFFF"/>
            <w:noWrap/>
            <w:vAlign w:val="bottom"/>
          </w:tcPr>
          <w:p w14:paraId="53943EC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72 696,0 </w:t>
            </w:r>
          </w:p>
        </w:tc>
      </w:tr>
      <w:tr w:rsidR="0053266A" w:rsidRPr="0053266A" w14:paraId="4835AA64" w14:textId="77777777" w:rsidTr="00545B6E">
        <w:trPr>
          <w:trHeight w:val="122"/>
        </w:trPr>
        <w:tc>
          <w:tcPr>
            <w:tcW w:w="567" w:type="dxa"/>
            <w:tcBorders>
              <w:top w:val="nil"/>
              <w:left w:val="single" w:sz="4" w:space="0" w:color="auto"/>
              <w:bottom w:val="single" w:sz="4" w:space="0" w:color="auto"/>
              <w:right w:val="single" w:sz="4" w:space="0" w:color="auto"/>
            </w:tcBorders>
            <w:shd w:val="clear" w:color="000000" w:fill="FFFFFF"/>
            <w:vAlign w:val="bottom"/>
          </w:tcPr>
          <w:p w14:paraId="2B99C88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50</w:t>
            </w:r>
          </w:p>
        </w:tc>
        <w:tc>
          <w:tcPr>
            <w:tcW w:w="2133" w:type="dxa"/>
            <w:tcBorders>
              <w:top w:val="nil"/>
              <w:left w:val="nil"/>
              <w:bottom w:val="single" w:sz="4" w:space="0" w:color="auto"/>
              <w:right w:val="single" w:sz="4" w:space="0" w:color="auto"/>
            </w:tcBorders>
            <w:shd w:val="clear" w:color="auto" w:fill="auto"/>
            <w:vAlign w:val="bottom"/>
          </w:tcPr>
          <w:p w14:paraId="45AFBEC9" w14:textId="38BCA382"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Избербаш</w:t>
            </w:r>
          </w:p>
        </w:tc>
        <w:tc>
          <w:tcPr>
            <w:tcW w:w="1260" w:type="dxa"/>
            <w:tcBorders>
              <w:top w:val="nil"/>
              <w:left w:val="nil"/>
              <w:bottom w:val="single" w:sz="4" w:space="0" w:color="auto"/>
              <w:right w:val="single" w:sz="4" w:space="0" w:color="auto"/>
            </w:tcBorders>
            <w:shd w:val="clear" w:color="auto" w:fill="auto"/>
            <w:noWrap/>
            <w:vAlign w:val="bottom"/>
          </w:tcPr>
          <w:p w14:paraId="0236FEA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50 907,6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12D36FF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49 634,6 </w:t>
            </w:r>
          </w:p>
        </w:tc>
        <w:tc>
          <w:tcPr>
            <w:tcW w:w="1260" w:type="dxa"/>
            <w:gridSpan w:val="2"/>
            <w:tcBorders>
              <w:top w:val="nil"/>
              <w:left w:val="nil"/>
              <w:bottom w:val="single" w:sz="4" w:space="0" w:color="auto"/>
              <w:right w:val="single" w:sz="4" w:space="0" w:color="auto"/>
            </w:tcBorders>
            <w:shd w:val="clear" w:color="auto" w:fill="auto"/>
            <w:noWrap/>
            <w:vAlign w:val="bottom"/>
          </w:tcPr>
          <w:p w14:paraId="547BD5F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- 1 273,0  </w:t>
            </w:r>
          </w:p>
        </w:tc>
        <w:tc>
          <w:tcPr>
            <w:tcW w:w="1440" w:type="dxa"/>
            <w:tcBorders>
              <w:top w:val="nil"/>
              <w:left w:val="nil"/>
              <w:bottom w:val="single" w:sz="4" w:space="0" w:color="auto"/>
              <w:right w:val="single" w:sz="4" w:space="0" w:color="auto"/>
            </w:tcBorders>
            <w:shd w:val="clear" w:color="000000" w:fill="FFFFFF"/>
            <w:noWrap/>
            <w:vAlign w:val="bottom"/>
          </w:tcPr>
          <w:p w14:paraId="2DCB3C4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50 907,6 </w:t>
            </w:r>
          </w:p>
        </w:tc>
        <w:tc>
          <w:tcPr>
            <w:tcW w:w="1440" w:type="dxa"/>
            <w:tcBorders>
              <w:top w:val="nil"/>
              <w:left w:val="nil"/>
              <w:bottom w:val="single" w:sz="4" w:space="0" w:color="auto"/>
              <w:right w:val="single" w:sz="4" w:space="0" w:color="auto"/>
            </w:tcBorders>
            <w:shd w:val="clear" w:color="000000" w:fill="FFFFFF"/>
            <w:noWrap/>
            <w:vAlign w:val="bottom"/>
          </w:tcPr>
          <w:p w14:paraId="68D4D67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49 634,6 </w:t>
            </w:r>
          </w:p>
        </w:tc>
      </w:tr>
      <w:tr w:rsidR="0053266A" w:rsidRPr="0053266A" w14:paraId="738B1321" w14:textId="77777777" w:rsidTr="00545B6E">
        <w:trPr>
          <w:trHeight w:val="153"/>
        </w:trPr>
        <w:tc>
          <w:tcPr>
            <w:tcW w:w="567" w:type="dxa"/>
            <w:tcBorders>
              <w:top w:val="nil"/>
              <w:left w:val="single" w:sz="4" w:space="0" w:color="auto"/>
              <w:bottom w:val="single" w:sz="4" w:space="0" w:color="auto"/>
              <w:right w:val="single" w:sz="4" w:space="0" w:color="auto"/>
            </w:tcBorders>
            <w:shd w:val="clear" w:color="auto" w:fill="auto"/>
            <w:vAlign w:val="bottom"/>
          </w:tcPr>
          <w:p w14:paraId="4DD69984"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51</w:t>
            </w:r>
          </w:p>
        </w:tc>
        <w:tc>
          <w:tcPr>
            <w:tcW w:w="2133" w:type="dxa"/>
            <w:tcBorders>
              <w:top w:val="nil"/>
              <w:left w:val="nil"/>
              <w:bottom w:val="single" w:sz="4" w:space="0" w:color="auto"/>
              <w:right w:val="single" w:sz="4" w:space="0" w:color="auto"/>
            </w:tcBorders>
            <w:shd w:val="clear" w:color="auto" w:fill="auto"/>
            <w:vAlign w:val="bottom"/>
          </w:tcPr>
          <w:p w14:paraId="3CCC38F7" w14:textId="0C4F88D1"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Ю</w:t>
            </w:r>
            <w:r w:rsidR="00902DE0">
              <w:rPr>
                <w:rFonts w:ascii="Times New Roman" w:eastAsia="Times New Roman" w:hAnsi="Times New Roman" w:cs="Times New Roman"/>
                <w:sz w:val="20"/>
                <w:szCs w:val="20"/>
                <w:lang w:eastAsia="ru-RU"/>
              </w:rPr>
              <w:t>жно-</w:t>
            </w:r>
            <w:r w:rsidRPr="0053266A">
              <w:rPr>
                <w:rFonts w:ascii="Times New Roman" w:eastAsia="Times New Roman" w:hAnsi="Times New Roman" w:cs="Times New Roman"/>
                <w:sz w:val="20"/>
                <w:szCs w:val="20"/>
                <w:lang w:eastAsia="ru-RU"/>
              </w:rPr>
              <w:t>Сухокумск</w:t>
            </w:r>
          </w:p>
        </w:tc>
        <w:tc>
          <w:tcPr>
            <w:tcW w:w="1260" w:type="dxa"/>
            <w:tcBorders>
              <w:top w:val="nil"/>
              <w:left w:val="nil"/>
              <w:bottom w:val="single" w:sz="4" w:space="0" w:color="auto"/>
              <w:right w:val="single" w:sz="4" w:space="0" w:color="auto"/>
            </w:tcBorders>
            <w:shd w:val="clear" w:color="auto" w:fill="auto"/>
            <w:noWrap/>
            <w:vAlign w:val="bottom"/>
          </w:tcPr>
          <w:p w14:paraId="01B237A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60 000,0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2D0E701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58 500,0 </w:t>
            </w:r>
          </w:p>
        </w:tc>
        <w:tc>
          <w:tcPr>
            <w:tcW w:w="1260" w:type="dxa"/>
            <w:gridSpan w:val="2"/>
            <w:tcBorders>
              <w:top w:val="nil"/>
              <w:left w:val="nil"/>
              <w:bottom w:val="single" w:sz="4" w:space="0" w:color="auto"/>
              <w:right w:val="single" w:sz="4" w:space="0" w:color="auto"/>
            </w:tcBorders>
            <w:shd w:val="clear" w:color="auto" w:fill="auto"/>
            <w:noWrap/>
            <w:vAlign w:val="bottom"/>
          </w:tcPr>
          <w:p w14:paraId="1DEEFB7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- 1 500,0  </w:t>
            </w:r>
          </w:p>
        </w:tc>
        <w:tc>
          <w:tcPr>
            <w:tcW w:w="1440" w:type="dxa"/>
            <w:tcBorders>
              <w:top w:val="nil"/>
              <w:left w:val="nil"/>
              <w:bottom w:val="single" w:sz="4" w:space="0" w:color="auto"/>
              <w:right w:val="single" w:sz="4" w:space="0" w:color="auto"/>
            </w:tcBorders>
            <w:shd w:val="clear" w:color="000000" w:fill="FFFFFF"/>
            <w:noWrap/>
            <w:vAlign w:val="bottom"/>
          </w:tcPr>
          <w:p w14:paraId="7431342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60 000,0 </w:t>
            </w:r>
          </w:p>
        </w:tc>
        <w:tc>
          <w:tcPr>
            <w:tcW w:w="1440" w:type="dxa"/>
            <w:tcBorders>
              <w:top w:val="nil"/>
              <w:left w:val="nil"/>
              <w:bottom w:val="single" w:sz="4" w:space="0" w:color="auto"/>
              <w:right w:val="single" w:sz="4" w:space="0" w:color="auto"/>
            </w:tcBorders>
            <w:shd w:val="clear" w:color="000000" w:fill="FFFFFF"/>
            <w:noWrap/>
            <w:vAlign w:val="bottom"/>
          </w:tcPr>
          <w:p w14:paraId="1EA9CF8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58 500,0 </w:t>
            </w:r>
          </w:p>
        </w:tc>
      </w:tr>
      <w:tr w:rsidR="0053266A" w:rsidRPr="0053266A" w14:paraId="6F8D3831" w14:textId="77777777" w:rsidTr="00545B6E">
        <w:trPr>
          <w:trHeight w:val="70"/>
        </w:trPr>
        <w:tc>
          <w:tcPr>
            <w:tcW w:w="567" w:type="dxa"/>
            <w:tcBorders>
              <w:top w:val="nil"/>
              <w:left w:val="single" w:sz="4" w:space="0" w:color="auto"/>
              <w:bottom w:val="single" w:sz="4" w:space="0" w:color="auto"/>
              <w:right w:val="single" w:sz="4" w:space="0" w:color="auto"/>
            </w:tcBorders>
            <w:shd w:val="clear" w:color="auto" w:fill="auto"/>
            <w:vAlign w:val="bottom"/>
          </w:tcPr>
          <w:p w14:paraId="3969D5D2"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52</w:t>
            </w:r>
          </w:p>
        </w:tc>
        <w:tc>
          <w:tcPr>
            <w:tcW w:w="2133" w:type="dxa"/>
            <w:tcBorders>
              <w:top w:val="nil"/>
              <w:left w:val="nil"/>
              <w:bottom w:val="single" w:sz="4" w:space="0" w:color="auto"/>
              <w:right w:val="single" w:sz="4" w:space="0" w:color="auto"/>
            </w:tcBorders>
            <w:shd w:val="clear" w:color="auto" w:fill="auto"/>
            <w:vAlign w:val="bottom"/>
          </w:tcPr>
          <w:p w14:paraId="2C3CA472" w14:textId="5B53D45E"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w:t>
            </w:r>
            <w:r w:rsidR="00902DE0">
              <w:rPr>
                <w:rFonts w:ascii="Times New Roman" w:eastAsia="Times New Roman" w:hAnsi="Times New Roman" w:cs="Times New Roman"/>
                <w:sz w:val="20"/>
                <w:szCs w:val="20"/>
                <w:lang w:eastAsia="ru-RU"/>
              </w:rPr>
              <w:t xml:space="preserve"> </w:t>
            </w:r>
            <w:r w:rsidRPr="0053266A">
              <w:rPr>
                <w:rFonts w:ascii="Times New Roman" w:eastAsia="Times New Roman" w:hAnsi="Times New Roman" w:cs="Times New Roman"/>
                <w:sz w:val="20"/>
                <w:szCs w:val="20"/>
                <w:lang w:eastAsia="ru-RU"/>
              </w:rPr>
              <w:t>Даг</w:t>
            </w:r>
            <w:r w:rsidR="00902DE0">
              <w:rPr>
                <w:rFonts w:ascii="Times New Roman" w:eastAsia="Times New Roman" w:hAnsi="Times New Roman" w:cs="Times New Roman"/>
                <w:sz w:val="20"/>
                <w:szCs w:val="20"/>
                <w:lang w:eastAsia="ru-RU"/>
              </w:rPr>
              <w:t xml:space="preserve">естанские </w:t>
            </w:r>
            <w:r w:rsidRPr="0053266A">
              <w:rPr>
                <w:rFonts w:ascii="Times New Roman" w:eastAsia="Times New Roman" w:hAnsi="Times New Roman" w:cs="Times New Roman"/>
                <w:sz w:val="20"/>
                <w:szCs w:val="20"/>
                <w:lang w:eastAsia="ru-RU"/>
              </w:rPr>
              <w:t>Огни</w:t>
            </w:r>
          </w:p>
        </w:tc>
        <w:tc>
          <w:tcPr>
            <w:tcW w:w="1260" w:type="dxa"/>
            <w:tcBorders>
              <w:top w:val="nil"/>
              <w:left w:val="nil"/>
              <w:bottom w:val="single" w:sz="4" w:space="0" w:color="auto"/>
              <w:right w:val="single" w:sz="4" w:space="0" w:color="auto"/>
            </w:tcBorders>
            <w:shd w:val="clear" w:color="auto" w:fill="auto"/>
            <w:noWrap/>
            <w:vAlign w:val="bottom"/>
          </w:tcPr>
          <w:p w14:paraId="2D7D640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53266A">
              <w:rPr>
                <w:rFonts w:ascii="Times New Roman" w:eastAsia="Times New Roman" w:hAnsi="Times New Roman" w:cs="Times New Roman"/>
                <w:bCs/>
                <w:sz w:val="20"/>
                <w:szCs w:val="20"/>
                <w:lang w:eastAsia="ru-RU"/>
              </w:rPr>
              <w:t xml:space="preserve">90 772,0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3E727C3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88 444,0 </w:t>
            </w:r>
          </w:p>
        </w:tc>
        <w:tc>
          <w:tcPr>
            <w:tcW w:w="1260" w:type="dxa"/>
            <w:gridSpan w:val="2"/>
            <w:tcBorders>
              <w:top w:val="nil"/>
              <w:left w:val="nil"/>
              <w:bottom w:val="single" w:sz="4" w:space="0" w:color="auto"/>
              <w:right w:val="single" w:sz="4" w:space="0" w:color="auto"/>
            </w:tcBorders>
            <w:shd w:val="clear" w:color="auto" w:fill="auto"/>
            <w:noWrap/>
            <w:vAlign w:val="bottom"/>
          </w:tcPr>
          <w:p w14:paraId="49141B8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- 2 328,0  </w:t>
            </w:r>
          </w:p>
        </w:tc>
        <w:tc>
          <w:tcPr>
            <w:tcW w:w="1440" w:type="dxa"/>
            <w:tcBorders>
              <w:top w:val="nil"/>
              <w:left w:val="nil"/>
              <w:bottom w:val="single" w:sz="4" w:space="0" w:color="auto"/>
              <w:right w:val="single" w:sz="4" w:space="0" w:color="auto"/>
            </w:tcBorders>
            <w:shd w:val="clear" w:color="000000" w:fill="FFFFFF"/>
            <w:noWrap/>
            <w:vAlign w:val="bottom"/>
          </w:tcPr>
          <w:p w14:paraId="236FEF5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90 772,0 </w:t>
            </w:r>
          </w:p>
        </w:tc>
        <w:tc>
          <w:tcPr>
            <w:tcW w:w="1440" w:type="dxa"/>
            <w:tcBorders>
              <w:top w:val="nil"/>
              <w:left w:val="nil"/>
              <w:bottom w:val="single" w:sz="4" w:space="0" w:color="auto"/>
              <w:right w:val="single" w:sz="4" w:space="0" w:color="auto"/>
            </w:tcBorders>
            <w:shd w:val="clear" w:color="000000" w:fill="FFFFFF"/>
            <w:noWrap/>
            <w:vAlign w:val="bottom"/>
          </w:tcPr>
          <w:p w14:paraId="183CCCE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88 444,0 </w:t>
            </w:r>
          </w:p>
        </w:tc>
      </w:tr>
      <w:tr w:rsidR="0053266A" w:rsidRPr="0053266A" w14:paraId="1BC174A3" w14:textId="77777777" w:rsidTr="00545B6E">
        <w:trPr>
          <w:trHeight w:val="103"/>
        </w:trPr>
        <w:tc>
          <w:tcPr>
            <w:tcW w:w="567" w:type="dxa"/>
            <w:tcBorders>
              <w:top w:val="nil"/>
              <w:left w:val="single" w:sz="4" w:space="0" w:color="auto"/>
              <w:bottom w:val="single" w:sz="4" w:space="0" w:color="auto"/>
              <w:right w:val="single" w:sz="4" w:space="0" w:color="auto"/>
            </w:tcBorders>
            <w:shd w:val="clear" w:color="auto" w:fill="auto"/>
            <w:noWrap/>
            <w:vAlign w:val="bottom"/>
          </w:tcPr>
          <w:p w14:paraId="17B1A930"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33" w:type="dxa"/>
            <w:tcBorders>
              <w:top w:val="nil"/>
              <w:left w:val="nil"/>
              <w:bottom w:val="single" w:sz="4" w:space="0" w:color="auto"/>
              <w:right w:val="single" w:sz="4" w:space="0" w:color="auto"/>
            </w:tcBorders>
            <w:shd w:val="clear" w:color="000000" w:fill="FFFFFF"/>
            <w:vAlign w:val="bottom"/>
          </w:tcPr>
          <w:p w14:paraId="15B453CF" w14:textId="77777777" w:rsidR="0053266A" w:rsidRPr="0053266A" w:rsidRDefault="0053266A" w:rsidP="0053266A">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И Т О Г О:</w:t>
            </w:r>
          </w:p>
        </w:tc>
        <w:tc>
          <w:tcPr>
            <w:tcW w:w="1260" w:type="dxa"/>
            <w:tcBorders>
              <w:top w:val="nil"/>
              <w:left w:val="nil"/>
              <w:bottom w:val="single" w:sz="4" w:space="0" w:color="auto"/>
              <w:right w:val="single" w:sz="4" w:space="0" w:color="auto"/>
            </w:tcBorders>
            <w:shd w:val="clear" w:color="auto" w:fill="auto"/>
            <w:noWrap/>
            <w:vAlign w:val="bottom"/>
          </w:tcPr>
          <w:p w14:paraId="41FFD69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2 565 803,7 </w:t>
            </w:r>
          </w:p>
        </w:tc>
        <w:tc>
          <w:tcPr>
            <w:tcW w:w="1260" w:type="dxa"/>
            <w:gridSpan w:val="2"/>
            <w:tcBorders>
              <w:top w:val="nil"/>
              <w:left w:val="nil"/>
              <w:bottom w:val="single" w:sz="4" w:space="0" w:color="auto"/>
              <w:right w:val="single" w:sz="4" w:space="0" w:color="auto"/>
            </w:tcBorders>
            <w:shd w:val="clear" w:color="000000" w:fill="FFFFFF"/>
            <w:noWrap/>
            <w:vAlign w:val="bottom"/>
          </w:tcPr>
          <w:p w14:paraId="0ED8F12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2 509 610,4 </w:t>
            </w:r>
          </w:p>
        </w:tc>
        <w:tc>
          <w:tcPr>
            <w:tcW w:w="1260" w:type="dxa"/>
            <w:gridSpan w:val="2"/>
            <w:tcBorders>
              <w:top w:val="nil"/>
              <w:left w:val="nil"/>
              <w:bottom w:val="single" w:sz="4" w:space="0" w:color="auto"/>
              <w:right w:val="single" w:sz="4" w:space="0" w:color="auto"/>
            </w:tcBorders>
            <w:shd w:val="clear" w:color="auto" w:fill="auto"/>
            <w:noWrap/>
            <w:vAlign w:val="bottom"/>
          </w:tcPr>
          <w:p w14:paraId="33A8D7F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- 56 193,3  </w:t>
            </w:r>
          </w:p>
        </w:tc>
        <w:tc>
          <w:tcPr>
            <w:tcW w:w="1440" w:type="dxa"/>
            <w:tcBorders>
              <w:top w:val="nil"/>
              <w:left w:val="nil"/>
              <w:bottom w:val="single" w:sz="4" w:space="0" w:color="auto"/>
              <w:right w:val="single" w:sz="4" w:space="0" w:color="auto"/>
            </w:tcBorders>
            <w:shd w:val="clear" w:color="000000" w:fill="FFFFFF"/>
            <w:noWrap/>
            <w:vAlign w:val="bottom"/>
          </w:tcPr>
          <w:p w14:paraId="6F70D97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 xml:space="preserve">2 470 346,1 </w:t>
            </w:r>
          </w:p>
        </w:tc>
        <w:tc>
          <w:tcPr>
            <w:tcW w:w="1440" w:type="dxa"/>
            <w:tcBorders>
              <w:top w:val="nil"/>
              <w:left w:val="nil"/>
              <w:bottom w:val="single" w:sz="4" w:space="0" w:color="auto"/>
              <w:right w:val="single" w:sz="4" w:space="0" w:color="auto"/>
            </w:tcBorders>
            <w:shd w:val="clear" w:color="000000" w:fill="FFFFFF"/>
            <w:noWrap/>
            <w:vAlign w:val="bottom"/>
          </w:tcPr>
          <w:p w14:paraId="5752BA4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2 439 300,5 </w:t>
            </w:r>
          </w:p>
        </w:tc>
      </w:tr>
    </w:tbl>
    <w:p w14:paraId="279801AF" w14:textId="1D79B63A" w:rsidR="0053266A" w:rsidRPr="0053266A" w:rsidRDefault="0053266A" w:rsidP="00902D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lastRenderedPageBreak/>
        <w:t xml:space="preserve">Следует отметить, что в соответствии с пунктом 5 статьи 107 Бюджетного кодекса Российской Федерации объем муниципального долга не должен превышать утвержденный решением о местном бюджете на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 При этом для муниципального образования, в отношении которого осуществляются меры, предусмотренные </w:t>
      </w:r>
      <w:hyperlink w:anchor="Par4179" w:tooltip="4. В муниципальных образованиях,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 w:history="1">
        <w:r w:rsidRPr="0053266A">
          <w:rPr>
            <w:rFonts w:ascii="Times New Roman" w:eastAsia="Times New Roman" w:hAnsi="Times New Roman" w:cs="Times New Roman"/>
            <w:sz w:val="28"/>
            <w:szCs w:val="28"/>
            <w:lang w:eastAsia="ru-RU"/>
          </w:rPr>
          <w:t>пунктом 4 статьи 136</w:t>
        </w:r>
      </w:hyperlink>
      <w:r w:rsidRPr="0053266A">
        <w:rPr>
          <w:rFonts w:ascii="Times New Roman" w:eastAsia="Times New Roman" w:hAnsi="Times New Roman" w:cs="Times New Roman"/>
          <w:sz w:val="28"/>
          <w:szCs w:val="28"/>
          <w:lang w:eastAsia="ru-RU"/>
        </w:rPr>
        <w:t xml:space="preserve"> Бюджетного кодекса Р</w:t>
      </w:r>
      <w:r w:rsidR="00B45176">
        <w:rPr>
          <w:rFonts w:ascii="Times New Roman" w:eastAsia="Times New Roman" w:hAnsi="Times New Roman" w:cs="Times New Roman"/>
          <w:sz w:val="28"/>
          <w:szCs w:val="28"/>
          <w:lang w:eastAsia="ru-RU"/>
        </w:rPr>
        <w:t>оссийской Федерации</w:t>
      </w:r>
      <w:r w:rsidRPr="0053266A">
        <w:rPr>
          <w:rFonts w:ascii="Times New Roman" w:eastAsia="Times New Roman" w:hAnsi="Times New Roman" w:cs="Times New Roman"/>
          <w:sz w:val="28"/>
          <w:szCs w:val="28"/>
          <w:lang w:eastAsia="ru-RU"/>
        </w:rPr>
        <w:t>, объем долга не должен превышать 50 процентов утвержденного решением о местном бюджете на очередной финансовый год общего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p w14:paraId="0D856B19" w14:textId="77777777" w:rsidR="0053266A" w:rsidRPr="0053266A" w:rsidRDefault="0053266A" w:rsidP="00902D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Перечень муниципальных образований, в отношении которых в 2021 году осуществлялись меры, предусмотренные </w:t>
      </w:r>
      <w:hyperlink w:anchor="Par4179" w:tooltip="4. В муниципальных образованиях,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 w:history="1">
        <w:r w:rsidRPr="0053266A">
          <w:rPr>
            <w:rFonts w:ascii="Times New Roman" w:eastAsia="Times New Roman" w:hAnsi="Times New Roman" w:cs="Times New Roman"/>
            <w:sz w:val="28"/>
            <w:szCs w:val="28"/>
            <w:lang w:eastAsia="ru-RU"/>
          </w:rPr>
          <w:t>пунктом 4 статьи 136</w:t>
        </w:r>
      </w:hyperlink>
      <w:r w:rsidRPr="0053266A">
        <w:rPr>
          <w:rFonts w:ascii="Times New Roman" w:eastAsia="Times New Roman" w:hAnsi="Times New Roman" w:cs="Times New Roman"/>
          <w:sz w:val="28"/>
          <w:szCs w:val="28"/>
          <w:lang w:eastAsia="ru-RU"/>
        </w:rPr>
        <w:t xml:space="preserve"> Бюджетного кодекса Российской Федерации, утвержден приказом Министерства финансов Республики Дагестан от 5 ноября 2020 года № 786. Согласно приказу в указанный перечень включены следующие муниципальные образования: МО «Агульский район», МО «Акушинский район», МО «Ахвахский район», МО «Ботлихский район», </w:t>
      </w:r>
      <w:r w:rsidRPr="0053266A">
        <w:rPr>
          <w:rFonts w:ascii="Times New Roman" w:eastAsia="Times New Roman" w:hAnsi="Times New Roman" w:cs="Times New Roman"/>
          <w:sz w:val="28"/>
          <w:szCs w:val="28"/>
          <w:lang w:eastAsia="ru-RU"/>
        </w:rPr>
        <w:br/>
        <w:t xml:space="preserve">МО «Докузпаринский район», МО «Кайтагский район», МО «Кулинский район», МО «Рутульский район», МО «Тляратинский район», </w:t>
      </w:r>
      <w:r w:rsidRPr="0053266A">
        <w:rPr>
          <w:rFonts w:ascii="Times New Roman" w:eastAsia="Times New Roman" w:hAnsi="Times New Roman" w:cs="Times New Roman"/>
          <w:sz w:val="28"/>
          <w:szCs w:val="28"/>
          <w:lang w:eastAsia="ru-RU"/>
        </w:rPr>
        <w:br/>
        <w:t xml:space="preserve">МО «Унцукульский район», МО «Чародинский район», МО «Шамильский район», МО «Бежтинский участок» и МО «город Южно-Сухокумск». </w:t>
      </w:r>
    </w:p>
    <w:p w14:paraId="526A4D5C" w14:textId="77777777" w:rsidR="0053266A" w:rsidRPr="0053266A" w:rsidRDefault="0053266A" w:rsidP="00902D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Как показал проведенный анализ, 2 муниципальных образования не обеспечили соблюдение требований статьи 107 Бюджетного кодекса Российской Федерации. </w:t>
      </w:r>
    </w:p>
    <w:p w14:paraId="5326B3DD" w14:textId="2DC7BEBB" w:rsidR="0053266A" w:rsidRPr="0053266A" w:rsidRDefault="0053266A" w:rsidP="00902D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Так, по состоянию на 1 января 2022 года объем муниципального долга МО «Кулинский район» составляет 23 244,0 тыс. рублей, или 54.4% к утвержденному объему собственных доходов (налоговых и неналоговых) на 2021 год (42 742,0 тыс. рублей), что на 1 873,0 тыс. рублей, или на 4,4% превышает ограничения, установленные пунктом 5 статьи 107 Бюджетного кодекса </w:t>
      </w:r>
      <w:r w:rsidR="00B45176">
        <w:rPr>
          <w:rFonts w:ascii="Times New Roman" w:eastAsia="Times New Roman" w:hAnsi="Times New Roman" w:cs="Times New Roman"/>
          <w:sz w:val="28"/>
          <w:szCs w:val="28"/>
          <w:lang w:eastAsia="ru-RU"/>
        </w:rPr>
        <w:t>Российской Федерации</w:t>
      </w:r>
      <w:r w:rsidRPr="0053266A">
        <w:rPr>
          <w:rFonts w:ascii="Times New Roman" w:eastAsia="Times New Roman" w:hAnsi="Times New Roman" w:cs="Times New Roman"/>
          <w:sz w:val="28"/>
          <w:szCs w:val="28"/>
          <w:lang w:eastAsia="ru-RU"/>
        </w:rPr>
        <w:t xml:space="preserve">. </w:t>
      </w:r>
    </w:p>
    <w:p w14:paraId="0ECEFF47" w14:textId="77777777" w:rsidR="0053266A" w:rsidRPr="0053266A" w:rsidRDefault="0053266A" w:rsidP="00902DE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Объем муниципального долга МО «город Южно-Сухокумск» на 1 января 2022 года составляет 58 500,0 тыс. рублей, или 105,0% к утвержденному объему собственных доходов (налоговых и неналоговых) на 2021 год (55 710,0 тыс. рублей), что на 27 855,0 тыс. рублей, или в 2 раза превышает ограничения, установленные пунктом 5 статьи 107 Бюджетного кодекса Российской Федерации.</w:t>
      </w:r>
    </w:p>
    <w:p w14:paraId="3624000A" w14:textId="77777777" w:rsidR="0053266A" w:rsidRPr="0053266A" w:rsidRDefault="0053266A" w:rsidP="00902DE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При этом следует отметить, что превышение указанных ограничений произошло в связи с тем, что бюджетные кредиты указанным муниципальным образованиям были предоставлены до 2018 года, то есть в период, когда допускалось превышение ограничений предельного объема муниципального </w:t>
      </w:r>
      <w:r w:rsidRPr="0053266A">
        <w:rPr>
          <w:rFonts w:ascii="Times New Roman" w:eastAsia="Times New Roman" w:hAnsi="Times New Roman" w:cs="Times New Roman"/>
          <w:sz w:val="28"/>
          <w:szCs w:val="28"/>
          <w:lang w:eastAsia="ru-RU"/>
        </w:rPr>
        <w:lastRenderedPageBreak/>
        <w:t>долга на сумму привлеченных бюджетных кредитов по состоянию на 1 января текущего года и в случае утверждения нормативным правовым актом представительного органа муниципального образования о бюджете в составе источников финансирования дефицита местного бюджета бюджетных кредитов, привлекаемых в текущем финансовом году в местный бюджет, в пределах указанных кредитов (часть 9 статьи 7 Федерального закона от 9 апреля 2009 года № 58-ФЗ «О внесении изменений в Бюджетный кодекс Российской Федерации и отдельные законодательные акты Российской Федерации»).</w:t>
      </w:r>
    </w:p>
    <w:p w14:paraId="1E2250C8" w14:textId="77777777" w:rsidR="0053266A" w:rsidRPr="0053266A" w:rsidRDefault="0053266A" w:rsidP="00902D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47CA">
        <w:rPr>
          <w:rFonts w:ascii="Times New Roman" w:eastAsia="Times New Roman" w:hAnsi="Times New Roman" w:cs="Times New Roman"/>
          <w:b/>
          <w:color w:val="002060"/>
          <w:sz w:val="28"/>
          <w:szCs w:val="28"/>
          <w:lang w:eastAsia="ru-RU"/>
        </w:rPr>
        <w:t>4)</w:t>
      </w:r>
      <w:r w:rsidRPr="0053266A">
        <w:rPr>
          <w:rFonts w:ascii="Times New Roman" w:eastAsia="Times New Roman" w:hAnsi="Times New Roman" w:cs="Times New Roman"/>
          <w:b/>
          <w:sz w:val="28"/>
          <w:szCs w:val="28"/>
          <w:lang w:eastAsia="ru-RU"/>
        </w:rPr>
        <w:t xml:space="preserve"> </w:t>
      </w:r>
      <w:r w:rsidRPr="0053266A">
        <w:rPr>
          <w:rFonts w:ascii="Times New Roman" w:eastAsia="Times New Roman" w:hAnsi="Times New Roman" w:cs="Times New Roman"/>
          <w:sz w:val="28"/>
          <w:szCs w:val="28"/>
          <w:lang w:eastAsia="ru-RU"/>
        </w:rPr>
        <w:t>Согласно данным, представленным Министерством финансов Республики Дагестан, обязательства муниципальных образований по предоставленным муниципальным гарантиям на 1 января 2021 года составляли 95 457,6 тыс. рублей, в том числе просроченная задолженность – 1 615,6 тыс. рублей.</w:t>
      </w:r>
    </w:p>
    <w:p w14:paraId="2581D7A2" w14:textId="77777777" w:rsidR="0053266A" w:rsidRPr="0053266A" w:rsidRDefault="0053266A" w:rsidP="00902D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В течение 2021 года обязательства по муниципальным гарантиям в целом уменьшились на 940,2 тыс. рублей и на 1 января 2022 года составили 70 309,9 тыс. рублей.  </w:t>
      </w:r>
    </w:p>
    <w:p w14:paraId="013A2691" w14:textId="77777777" w:rsidR="0053266A" w:rsidRPr="0053266A" w:rsidRDefault="0053266A" w:rsidP="00902DE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Информация об обязательствах муниципальных образований по муниципальным гарантиям представлена следующей таблицей.</w:t>
      </w:r>
    </w:p>
    <w:p w14:paraId="2EE62B7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53266A">
        <w:rPr>
          <w:rFonts w:ascii="Times New Roman" w:eastAsia="Times New Roman" w:hAnsi="Times New Roman" w:cs="Times New Roman"/>
          <w:b/>
          <w:color w:val="002060"/>
          <w:sz w:val="24"/>
          <w:szCs w:val="24"/>
          <w:lang w:eastAsia="ru-RU"/>
        </w:rPr>
        <w:t>тыс. рублей</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9"/>
        <w:gridCol w:w="1738"/>
        <w:gridCol w:w="1701"/>
        <w:gridCol w:w="1701"/>
        <w:gridCol w:w="1843"/>
      </w:tblGrid>
      <w:tr w:rsidR="0053266A" w:rsidRPr="0053266A" w14:paraId="41F86A4B" w14:textId="77777777" w:rsidTr="00156793">
        <w:trPr>
          <w:trHeight w:val="631"/>
          <w:tblHeader/>
        </w:trPr>
        <w:tc>
          <w:tcPr>
            <w:tcW w:w="2419" w:type="dxa"/>
            <w:shd w:val="clear" w:color="auto" w:fill="D9E2F3" w:themeFill="accent1" w:themeFillTint="33"/>
          </w:tcPr>
          <w:p w14:paraId="4F1D72AE" w14:textId="77777777" w:rsidR="0053266A" w:rsidRPr="0053266A" w:rsidRDefault="0053266A" w:rsidP="0053266A">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Районы и города</w:t>
            </w:r>
          </w:p>
        </w:tc>
        <w:tc>
          <w:tcPr>
            <w:tcW w:w="1738" w:type="dxa"/>
            <w:shd w:val="clear" w:color="auto" w:fill="D9E2F3" w:themeFill="accent1" w:themeFillTint="33"/>
          </w:tcPr>
          <w:p w14:paraId="37C56061" w14:textId="77777777" w:rsidR="0053266A" w:rsidRPr="0053266A" w:rsidRDefault="0053266A" w:rsidP="0053266A">
            <w:pPr>
              <w:widowControl w:val="0"/>
              <w:autoSpaceDE w:val="0"/>
              <w:autoSpaceDN w:val="0"/>
              <w:adjustRightInd w:val="0"/>
              <w:spacing w:after="0" w:line="240" w:lineRule="auto"/>
              <w:ind w:left="-108"/>
              <w:jc w:val="center"/>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обязательства по муниципальным гарантиям на 01.01.2021 года</w:t>
            </w:r>
          </w:p>
        </w:tc>
        <w:tc>
          <w:tcPr>
            <w:tcW w:w="1701" w:type="dxa"/>
            <w:shd w:val="clear" w:color="auto" w:fill="D9E2F3" w:themeFill="accent1" w:themeFillTint="33"/>
          </w:tcPr>
          <w:p w14:paraId="2A0F3F42" w14:textId="77777777" w:rsidR="0053266A" w:rsidRPr="0053266A" w:rsidRDefault="0053266A" w:rsidP="0053266A">
            <w:pPr>
              <w:widowControl w:val="0"/>
              <w:autoSpaceDE w:val="0"/>
              <w:autoSpaceDN w:val="0"/>
              <w:adjustRightInd w:val="0"/>
              <w:spacing w:after="0" w:line="240" w:lineRule="auto"/>
              <w:ind w:left="-108"/>
              <w:jc w:val="center"/>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в том числе просроченная</w:t>
            </w:r>
          </w:p>
          <w:p w14:paraId="25FA8E89" w14:textId="77777777" w:rsidR="0053266A" w:rsidRPr="0053266A" w:rsidRDefault="0053266A" w:rsidP="0053266A">
            <w:pPr>
              <w:widowControl w:val="0"/>
              <w:autoSpaceDE w:val="0"/>
              <w:autoSpaceDN w:val="0"/>
              <w:adjustRightInd w:val="0"/>
              <w:spacing w:after="0" w:line="240" w:lineRule="auto"/>
              <w:ind w:left="-108"/>
              <w:jc w:val="center"/>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задолженность</w:t>
            </w:r>
          </w:p>
        </w:tc>
        <w:tc>
          <w:tcPr>
            <w:tcW w:w="1701" w:type="dxa"/>
            <w:shd w:val="clear" w:color="auto" w:fill="D9E2F3" w:themeFill="accent1" w:themeFillTint="33"/>
          </w:tcPr>
          <w:p w14:paraId="183AE328" w14:textId="77777777" w:rsidR="0053266A" w:rsidRPr="0053266A" w:rsidRDefault="0053266A" w:rsidP="0053266A">
            <w:pPr>
              <w:widowControl w:val="0"/>
              <w:autoSpaceDE w:val="0"/>
              <w:autoSpaceDN w:val="0"/>
              <w:adjustRightInd w:val="0"/>
              <w:spacing w:after="0" w:line="240" w:lineRule="auto"/>
              <w:ind w:left="-108"/>
              <w:jc w:val="center"/>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обязательства по муниципальным гарантиям на 01.01.2022 года</w:t>
            </w:r>
          </w:p>
        </w:tc>
        <w:tc>
          <w:tcPr>
            <w:tcW w:w="1843" w:type="dxa"/>
            <w:shd w:val="clear" w:color="auto" w:fill="D9E2F3" w:themeFill="accent1" w:themeFillTint="33"/>
          </w:tcPr>
          <w:p w14:paraId="262930A7" w14:textId="77777777" w:rsidR="0053266A" w:rsidRPr="0053266A" w:rsidRDefault="0053266A" w:rsidP="0053266A">
            <w:pPr>
              <w:widowControl w:val="0"/>
              <w:autoSpaceDE w:val="0"/>
              <w:autoSpaceDN w:val="0"/>
              <w:adjustRightInd w:val="0"/>
              <w:spacing w:after="0" w:line="240" w:lineRule="auto"/>
              <w:ind w:left="-108"/>
              <w:jc w:val="center"/>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в том числе просроченная</w:t>
            </w:r>
          </w:p>
          <w:p w14:paraId="153C3636" w14:textId="77777777" w:rsidR="0053266A" w:rsidRPr="0053266A" w:rsidRDefault="0053266A" w:rsidP="0053266A">
            <w:pPr>
              <w:widowControl w:val="0"/>
              <w:autoSpaceDE w:val="0"/>
              <w:autoSpaceDN w:val="0"/>
              <w:adjustRightInd w:val="0"/>
              <w:spacing w:after="0" w:line="240" w:lineRule="auto"/>
              <w:ind w:left="-108"/>
              <w:jc w:val="center"/>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задолженность</w:t>
            </w:r>
          </w:p>
        </w:tc>
      </w:tr>
      <w:tr w:rsidR="0053266A" w:rsidRPr="0053266A" w14:paraId="60891E43" w14:textId="77777777" w:rsidTr="00545B6E">
        <w:tc>
          <w:tcPr>
            <w:tcW w:w="2419" w:type="dxa"/>
            <w:shd w:val="clear" w:color="auto" w:fill="auto"/>
          </w:tcPr>
          <w:p w14:paraId="72128D52"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Агульский </w:t>
            </w:r>
          </w:p>
        </w:tc>
        <w:tc>
          <w:tcPr>
            <w:tcW w:w="1738" w:type="dxa"/>
            <w:vAlign w:val="bottom"/>
          </w:tcPr>
          <w:p w14:paraId="4CC466F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396,4  </w:t>
            </w:r>
          </w:p>
        </w:tc>
        <w:tc>
          <w:tcPr>
            <w:tcW w:w="1701" w:type="dxa"/>
            <w:vAlign w:val="bottom"/>
          </w:tcPr>
          <w:p w14:paraId="25AF0C6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77B191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317,9  </w:t>
            </w:r>
          </w:p>
        </w:tc>
        <w:tc>
          <w:tcPr>
            <w:tcW w:w="1843" w:type="dxa"/>
            <w:vAlign w:val="bottom"/>
          </w:tcPr>
          <w:p w14:paraId="587D78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93BE333" w14:textId="77777777" w:rsidTr="00545B6E">
        <w:tc>
          <w:tcPr>
            <w:tcW w:w="2419" w:type="dxa"/>
            <w:shd w:val="clear" w:color="auto" w:fill="auto"/>
          </w:tcPr>
          <w:p w14:paraId="075ADA84"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Акушинский</w:t>
            </w:r>
          </w:p>
        </w:tc>
        <w:tc>
          <w:tcPr>
            <w:tcW w:w="1738" w:type="dxa"/>
            <w:vAlign w:val="bottom"/>
          </w:tcPr>
          <w:p w14:paraId="437DBC3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9A96D2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3CD6AB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7A8346B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CA2552B" w14:textId="77777777" w:rsidTr="00545B6E">
        <w:tc>
          <w:tcPr>
            <w:tcW w:w="2419" w:type="dxa"/>
            <w:shd w:val="clear" w:color="auto" w:fill="auto"/>
          </w:tcPr>
          <w:p w14:paraId="2987C869"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Ахвахский </w:t>
            </w:r>
          </w:p>
        </w:tc>
        <w:tc>
          <w:tcPr>
            <w:tcW w:w="1738" w:type="dxa"/>
            <w:vAlign w:val="bottom"/>
          </w:tcPr>
          <w:p w14:paraId="5920366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3D46B4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7247CC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5DD3AD0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0010CD94" w14:textId="77777777" w:rsidTr="00545B6E">
        <w:tc>
          <w:tcPr>
            <w:tcW w:w="2419" w:type="dxa"/>
            <w:shd w:val="clear" w:color="auto" w:fill="auto"/>
          </w:tcPr>
          <w:p w14:paraId="1AAA01C1"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Ахтынский </w:t>
            </w:r>
          </w:p>
        </w:tc>
        <w:tc>
          <w:tcPr>
            <w:tcW w:w="1738" w:type="dxa"/>
            <w:vAlign w:val="bottom"/>
          </w:tcPr>
          <w:p w14:paraId="0712064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2 206,7 </w:t>
            </w:r>
          </w:p>
        </w:tc>
        <w:tc>
          <w:tcPr>
            <w:tcW w:w="1701" w:type="dxa"/>
            <w:vAlign w:val="bottom"/>
          </w:tcPr>
          <w:p w14:paraId="5986CDD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2393B65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1 781,8 </w:t>
            </w:r>
          </w:p>
        </w:tc>
        <w:tc>
          <w:tcPr>
            <w:tcW w:w="1843" w:type="dxa"/>
            <w:vAlign w:val="bottom"/>
          </w:tcPr>
          <w:p w14:paraId="74C68CB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990188A" w14:textId="77777777" w:rsidTr="00545B6E">
        <w:tc>
          <w:tcPr>
            <w:tcW w:w="2419" w:type="dxa"/>
            <w:shd w:val="clear" w:color="auto" w:fill="auto"/>
          </w:tcPr>
          <w:p w14:paraId="1FAB67BB"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Бабаюртовский </w:t>
            </w:r>
          </w:p>
        </w:tc>
        <w:tc>
          <w:tcPr>
            <w:tcW w:w="1738" w:type="dxa"/>
            <w:vAlign w:val="bottom"/>
          </w:tcPr>
          <w:p w14:paraId="0DB736E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2 295,8 </w:t>
            </w:r>
          </w:p>
        </w:tc>
        <w:tc>
          <w:tcPr>
            <w:tcW w:w="1701" w:type="dxa"/>
            <w:vAlign w:val="bottom"/>
          </w:tcPr>
          <w:p w14:paraId="48C2AF8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44,5 </w:t>
            </w:r>
          </w:p>
        </w:tc>
        <w:tc>
          <w:tcPr>
            <w:tcW w:w="1701" w:type="dxa"/>
            <w:vAlign w:val="bottom"/>
          </w:tcPr>
          <w:p w14:paraId="6FD3FBC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1 307,4 </w:t>
            </w:r>
          </w:p>
        </w:tc>
        <w:tc>
          <w:tcPr>
            <w:tcW w:w="1843" w:type="dxa"/>
            <w:vAlign w:val="bottom"/>
          </w:tcPr>
          <w:p w14:paraId="326EA3D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D8EC3F8" w14:textId="77777777" w:rsidTr="00545B6E">
        <w:tc>
          <w:tcPr>
            <w:tcW w:w="2419" w:type="dxa"/>
            <w:shd w:val="clear" w:color="auto" w:fill="auto"/>
          </w:tcPr>
          <w:p w14:paraId="080A5122"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Ботлихский </w:t>
            </w:r>
          </w:p>
        </w:tc>
        <w:tc>
          <w:tcPr>
            <w:tcW w:w="1738" w:type="dxa"/>
            <w:vAlign w:val="bottom"/>
          </w:tcPr>
          <w:p w14:paraId="0ED7478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3DF555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9D9C1E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11F05F9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CB34852" w14:textId="77777777" w:rsidTr="00545B6E">
        <w:tc>
          <w:tcPr>
            <w:tcW w:w="2419" w:type="dxa"/>
            <w:shd w:val="clear" w:color="auto" w:fill="auto"/>
          </w:tcPr>
          <w:p w14:paraId="7900E4D2"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Буйнакский </w:t>
            </w:r>
          </w:p>
        </w:tc>
        <w:tc>
          <w:tcPr>
            <w:tcW w:w="1738" w:type="dxa"/>
            <w:vAlign w:val="bottom"/>
          </w:tcPr>
          <w:p w14:paraId="3257436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3 629,5 </w:t>
            </w:r>
          </w:p>
        </w:tc>
        <w:tc>
          <w:tcPr>
            <w:tcW w:w="1701" w:type="dxa"/>
            <w:vAlign w:val="bottom"/>
          </w:tcPr>
          <w:p w14:paraId="58C27F3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62,3 </w:t>
            </w:r>
          </w:p>
        </w:tc>
        <w:tc>
          <w:tcPr>
            <w:tcW w:w="1701" w:type="dxa"/>
            <w:vAlign w:val="bottom"/>
          </w:tcPr>
          <w:p w14:paraId="389854C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1 920,0 </w:t>
            </w:r>
          </w:p>
        </w:tc>
        <w:tc>
          <w:tcPr>
            <w:tcW w:w="1843" w:type="dxa"/>
            <w:vAlign w:val="bottom"/>
          </w:tcPr>
          <w:p w14:paraId="46F9154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D4FCBBA" w14:textId="77777777" w:rsidTr="00545B6E">
        <w:tc>
          <w:tcPr>
            <w:tcW w:w="2419" w:type="dxa"/>
            <w:shd w:val="clear" w:color="auto" w:fill="auto"/>
          </w:tcPr>
          <w:p w14:paraId="64EA5CB6"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Гергебильский</w:t>
            </w:r>
          </w:p>
        </w:tc>
        <w:tc>
          <w:tcPr>
            <w:tcW w:w="1738" w:type="dxa"/>
            <w:vAlign w:val="bottom"/>
          </w:tcPr>
          <w:p w14:paraId="0DF393A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4751A5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2B80EBF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0BE9A44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58210F5" w14:textId="77777777" w:rsidTr="00545B6E">
        <w:tc>
          <w:tcPr>
            <w:tcW w:w="2419" w:type="dxa"/>
            <w:shd w:val="clear" w:color="auto" w:fill="auto"/>
          </w:tcPr>
          <w:p w14:paraId="19475E30"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Гумбетовский </w:t>
            </w:r>
          </w:p>
        </w:tc>
        <w:tc>
          <w:tcPr>
            <w:tcW w:w="1738" w:type="dxa"/>
            <w:vAlign w:val="bottom"/>
          </w:tcPr>
          <w:p w14:paraId="61F5131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1 756,4 </w:t>
            </w:r>
          </w:p>
        </w:tc>
        <w:tc>
          <w:tcPr>
            <w:tcW w:w="1701" w:type="dxa"/>
            <w:vAlign w:val="bottom"/>
          </w:tcPr>
          <w:p w14:paraId="11E9D69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2D9F6A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1 756,4 </w:t>
            </w:r>
          </w:p>
        </w:tc>
        <w:tc>
          <w:tcPr>
            <w:tcW w:w="1843" w:type="dxa"/>
            <w:vAlign w:val="bottom"/>
          </w:tcPr>
          <w:p w14:paraId="0ED9684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54DC87C" w14:textId="77777777" w:rsidTr="00545B6E">
        <w:tc>
          <w:tcPr>
            <w:tcW w:w="2419" w:type="dxa"/>
            <w:shd w:val="clear" w:color="auto" w:fill="auto"/>
          </w:tcPr>
          <w:p w14:paraId="29D16471"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Гунибский  </w:t>
            </w:r>
          </w:p>
        </w:tc>
        <w:tc>
          <w:tcPr>
            <w:tcW w:w="1738" w:type="dxa"/>
            <w:vAlign w:val="bottom"/>
          </w:tcPr>
          <w:p w14:paraId="610709E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19 986,0 </w:t>
            </w:r>
          </w:p>
        </w:tc>
        <w:tc>
          <w:tcPr>
            <w:tcW w:w="1701" w:type="dxa"/>
            <w:vAlign w:val="bottom"/>
          </w:tcPr>
          <w:p w14:paraId="6614E93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382,3 </w:t>
            </w:r>
          </w:p>
        </w:tc>
        <w:tc>
          <w:tcPr>
            <w:tcW w:w="1701" w:type="dxa"/>
            <w:vAlign w:val="bottom"/>
          </w:tcPr>
          <w:p w14:paraId="4B43E98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16 499,0 </w:t>
            </w:r>
          </w:p>
        </w:tc>
        <w:tc>
          <w:tcPr>
            <w:tcW w:w="1843" w:type="dxa"/>
            <w:vAlign w:val="bottom"/>
          </w:tcPr>
          <w:p w14:paraId="0763A8C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CE203B1" w14:textId="77777777" w:rsidTr="00545B6E">
        <w:tc>
          <w:tcPr>
            <w:tcW w:w="2419" w:type="dxa"/>
            <w:shd w:val="clear" w:color="auto" w:fill="auto"/>
          </w:tcPr>
          <w:p w14:paraId="641104C0"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Дахадаевский  </w:t>
            </w:r>
          </w:p>
        </w:tc>
        <w:tc>
          <w:tcPr>
            <w:tcW w:w="1738" w:type="dxa"/>
            <w:vAlign w:val="bottom"/>
          </w:tcPr>
          <w:p w14:paraId="7BF0336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6 092,7 </w:t>
            </w:r>
          </w:p>
        </w:tc>
        <w:tc>
          <w:tcPr>
            <w:tcW w:w="1701" w:type="dxa"/>
            <w:vAlign w:val="bottom"/>
          </w:tcPr>
          <w:p w14:paraId="48F2029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759350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2 049,7 </w:t>
            </w:r>
          </w:p>
        </w:tc>
        <w:tc>
          <w:tcPr>
            <w:tcW w:w="1843" w:type="dxa"/>
            <w:vAlign w:val="bottom"/>
          </w:tcPr>
          <w:p w14:paraId="04549B9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3FA321F" w14:textId="77777777" w:rsidTr="00545B6E">
        <w:tc>
          <w:tcPr>
            <w:tcW w:w="2419" w:type="dxa"/>
            <w:shd w:val="clear" w:color="auto" w:fill="auto"/>
          </w:tcPr>
          <w:p w14:paraId="45B45F3D"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Дербентский  </w:t>
            </w:r>
          </w:p>
        </w:tc>
        <w:tc>
          <w:tcPr>
            <w:tcW w:w="1738" w:type="dxa"/>
            <w:vAlign w:val="bottom"/>
          </w:tcPr>
          <w:p w14:paraId="33B67B0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4 557,0 </w:t>
            </w:r>
          </w:p>
        </w:tc>
        <w:tc>
          <w:tcPr>
            <w:tcW w:w="1701" w:type="dxa"/>
            <w:vAlign w:val="bottom"/>
          </w:tcPr>
          <w:p w14:paraId="7A99B90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45,5 </w:t>
            </w:r>
          </w:p>
        </w:tc>
        <w:tc>
          <w:tcPr>
            <w:tcW w:w="1701" w:type="dxa"/>
            <w:vAlign w:val="bottom"/>
          </w:tcPr>
          <w:p w14:paraId="765BBE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3 137,7 </w:t>
            </w:r>
          </w:p>
        </w:tc>
        <w:tc>
          <w:tcPr>
            <w:tcW w:w="1843" w:type="dxa"/>
            <w:vAlign w:val="bottom"/>
          </w:tcPr>
          <w:p w14:paraId="38ACB07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6EC75C73" w14:textId="77777777" w:rsidTr="00545B6E">
        <w:tc>
          <w:tcPr>
            <w:tcW w:w="2419" w:type="dxa"/>
            <w:shd w:val="clear" w:color="auto" w:fill="auto"/>
          </w:tcPr>
          <w:p w14:paraId="4061C340"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Докузпаринский  </w:t>
            </w:r>
          </w:p>
        </w:tc>
        <w:tc>
          <w:tcPr>
            <w:tcW w:w="1738" w:type="dxa"/>
            <w:vAlign w:val="bottom"/>
          </w:tcPr>
          <w:p w14:paraId="018C4EF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EBEE02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BA92FD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249E7A5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7ADCDFC0" w14:textId="77777777" w:rsidTr="00545B6E">
        <w:tc>
          <w:tcPr>
            <w:tcW w:w="2419" w:type="dxa"/>
            <w:shd w:val="clear" w:color="auto" w:fill="auto"/>
          </w:tcPr>
          <w:p w14:paraId="71329E9C"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Казбековский  </w:t>
            </w:r>
          </w:p>
        </w:tc>
        <w:tc>
          <w:tcPr>
            <w:tcW w:w="1738" w:type="dxa"/>
            <w:vAlign w:val="bottom"/>
          </w:tcPr>
          <w:p w14:paraId="3DFBCA2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795,0 </w:t>
            </w:r>
          </w:p>
        </w:tc>
        <w:tc>
          <w:tcPr>
            <w:tcW w:w="1701" w:type="dxa"/>
            <w:vAlign w:val="bottom"/>
          </w:tcPr>
          <w:p w14:paraId="7F87CB6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0,8 </w:t>
            </w:r>
          </w:p>
        </w:tc>
        <w:tc>
          <w:tcPr>
            <w:tcW w:w="1701" w:type="dxa"/>
            <w:vAlign w:val="bottom"/>
          </w:tcPr>
          <w:p w14:paraId="179425D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556,4 </w:t>
            </w:r>
          </w:p>
        </w:tc>
        <w:tc>
          <w:tcPr>
            <w:tcW w:w="1843" w:type="dxa"/>
            <w:vAlign w:val="bottom"/>
          </w:tcPr>
          <w:p w14:paraId="297B50F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791DC6AB" w14:textId="77777777" w:rsidTr="00545B6E">
        <w:tc>
          <w:tcPr>
            <w:tcW w:w="2419" w:type="dxa"/>
            <w:shd w:val="clear" w:color="auto" w:fill="auto"/>
          </w:tcPr>
          <w:p w14:paraId="0680BD6B"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Кайтагский  </w:t>
            </w:r>
          </w:p>
        </w:tc>
        <w:tc>
          <w:tcPr>
            <w:tcW w:w="1738" w:type="dxa"/>
            <w:vAlign w:val="bottom"/>
          </w:tcPr>
          <w:p w14:paraId="13EF5E4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101A52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1729F30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3F5D4B4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1772110" w14:textId="77777777" w:rsidTr="00545B6E">
        <w:tc>
          <w:tcPr>
            <w:tcW w:w="2419" w:type="dxa"/>
            <w:shd w:val="clear" w:color="auto" w:fill="auto"/>
          </w:tcPr>
          <w:p w14:paraId="065B9333"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Карабудахкентский  </w:t>
            </w:r>
          </w:p>
        </w:tc>
        <w:tc>
          <w:tcPr>
            <w:tcW w:w="1738" w:type="dxa"/>
            <w:vAlign w:val="bottom"/>
          </w:tcPr>
          <w:p w14:paraId="022AAF6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3A9875F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5F1386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120DAB7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D25A35D" w14:textId="77777777" w:rsidTr="00545B6E">
        <w:tc>
          <w:tcPr>
            <w:tcW w:w="2419" w:type="dxa"/>
            <w:shd w:val="clear" w:color="auto" w:fill="auto"/>
          </w:tcPr>
          <w:p w14:paraId="423C24D3"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Каякентский  </w:t>
            </w:r>
          </w:p>
        </w:tc>
        <w:tc>
          <w:tcPr>
            <w:tcW w:w="1738" w:type="dxa"/>
            <w:vAlign w:val="bottom"/>
          </w:tcPr>
          <w:p w14:paraId="185D8D7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808EDC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996426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447D7CB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1C90999" w14:textId="77777777" w:rsidTr="00545B6E">
        <w:tc>
          <w:tcPr>
            <w:tcW w:w="2419" w:type="dxa"/>
            <w:shd w:val="clear" w:color="auto" w:fill="auto"/>
          </w:tcPr>
          <w:p w14:paraId="47F8F370"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Кизилюртовский  </w:t>
            </w:r>
          </w:p>
        </w:tc>
        <w:tc>
          <w:tcPr>
            <w:tcW w:w="1738" w:type="dxa"/>
            <w:vAlign w:val="bottom"/>
          </w:tcPr>
          <w:p w14:paraId="349FE28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4C35DB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5F01B0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674A206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6AC4C88" w14:textId="77777777" w:rsidTr="00545B6E">
        <w:tc>
          <w:tcPr>
            <w:tcW w:w="2419" w:type="dxa"/>
            <w:shd w:val="clear" w:color="auto" w:fill="auto"/>
          </w:tcPr>
          <w:p w14:paraId="3881FCB0"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Кизлярский  </w:t>
            </w:r>
          </w:p>
        </w:tc>
        <w:tc>
          <w:tcPr>
            <w:tcW w:w="1738" w:type="dxa"/>
            <w:vAlign w:val="bottom"/>
          </w:tcPr>
          <w:p w14:paraId="6DC7B81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21ED2CA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22D60F3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09121B4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96BE469" w14:textId="77777777" w:rsidTr="00545B6E">
        <w:tc>
          <w:tcPr>
            <w:tcW w:w="2419" w:type="dxa"/>
            <w:shd w:val="clear" w:color="auto" w:fill="auto"/>
          </w:tcPr>
          <w:p w14:paraId="6B00AE8F"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Кумторкалинский  </w:t>
            </w:r>
          </w:p>
        </w:tc>
        <w:tc>
          <w:tcPr>
            <w:tcW w:w="1738" w:type="dxa"/>
            <w:vAlign w:val="bottom"/>
          </w:tcPr>
          <w:p w14:paraId="143583C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1 028,5 </w:t>
            </w:r>
          </w:p>
        </w:tc>
        <w:tc>
          <w:tcPr>
            <w:tcW w:w="1701" w:type="dxa"/>
            <w:vAlign w:val="bottom"/>
          </w:tcPr>
          <w:p w14:paraId="640D75C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36C699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759,0 </w:t>
            </w:r>
          </w:p>
        </w:tc>
        <w:tc>
          <w:tcPr>
            <w:tcW w:w="1843" w:type="dxa"/>
            <w:vAlign w:val="bottom"/>
          </w:tcPr>
          <w:p w14:paraId="211BFAA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61E6FDCF" w14:textId="77777777" w:rsidTr="00545B6E">
        <w:tc>
          <w:tcPr>
            <w:tcW w:w="2419" w:type="dxa"/>
            <w:shd w:val="clear" w:color="auto" w:fill="auto"/>
          </w:tcPr>
          <w:p w14:paraId="4B2660C4"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Кулинский  </w:t>
            </w:r>
          </w:p>
        </w:tc>
        <w:tc>
          <w:tcPr>
            <w:tcW w:w="1738" w:type="dxa"/>
            <w:vAlign w:val="bottom"/>
          </w:tcPr>
          <w:p w14:paraId="1A5B2A2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366BEF2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5C3A49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1D8DBF0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D5596F3" w14:textId="77777777" w:rsidTr="00545B6E">
        <w:tc>
          <w:tcPr>
            <w:tcW w:w="2419" w:type="dxa"/>
            <w:shd w:val="clear" w:color="auto" w:fill="auto"/>
          </w:tcPr>
          <w:p w14:paraId="75A3CEDB"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Курахский  </w:t>
            </w:r>
          </w:p>
        </w:tc>
        <w:tc>
          <w:tcPr>
            <w:tcW w:w="1738" w:type="dxa"/>
            <w:vAlign w:val="bottom"/>
          </w:tcPr>
          <w:p w14:paraId="28438D8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240,4 </w:t>
            </w:r>
          </w:p>
        </w:tc>
        <w:tc>
          <w:tcPr>
            <w:tcW w:w="1701" w:type="dxa"/>
            <w:vAlign w:val="bottom"/>
          </w:tcPr>
          <w:p w14:paraId="4299A2D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1B09561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50399D5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5115D88" w14:textId="77777777" w:rsidTr="00545B6E">
        <w:tc>
          <w:tcPr>
            <w:tcW w:w="2419" w:type="dxa"/>
            <w:shd w:val="clear" w:color="auto" w:fill="auto"/>
          </w:tcPr>
          <w:p w14:paraId="678CD6A5"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Лакский  </w:t>
            </w:r>
          </w:p>
        </w:tc>
        <w:tc>
          <w:tcPr>
            <w:tcW w:w="1738" w:type="dxa"/>
            <w:vAlign w:val="bottom"/>
          </w:tcPr>
          <w:p w14:paraId="2113672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068727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1FC4DB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073F5E4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EAAE246" w14:textId="77777777" w:rsidTr="00545B6E">
        <w:tc>
          <w:tcPr>
            <w:tcW w:w="2419" w:type="dxa"/>
            <w:shd w:val="clear" w:color="auto" w:fill="auto"/>
          </w:tcPr>
          <w:p w14:paraId="263DEEAB"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Левашинский  </w:t>
            </w:r>
          </w:p>
        </w:tc>
        <w:tc>
          <w:tcPr>
            <w:tcW w:w="1738" w:type="dxa"/>
            <w:vAlign w:val="bottom"/>
          </w:tcPr>
          <w:p w14:paraId="30F9DBC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C7244D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6C74E6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6718D4D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508BD8C" w14:textId="77777777" w:rsidTr="00545B6E">
        <w:tc>
          <w:tcPr>
            <w:tcW w:w="2419" w:type="dxa"/>
            <w:shd w:val="clear" w:color="auto" w:fill="auto"/>
          </w:tcPr>
          <w:p w14:paraId="3CB775EA"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Магарамкентский  </w:t>
            </w:r>
          </w:p>
        </w:tc>
        <w:tc>
          <w:tcPr>
            <w:tcW w:w="1738" w:type="dxa"/>
            <w:vAlign w:val="bottom"/>
          </w:tcPr>
          <w:p w14:paraId="65336DB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413,0 </w:t>
            </w:r>
          </w:p>
        </w:tc>
        <w:tc>
          <w:tcPr>
            <w:tcW w:w="1701" w:type="dxa"/>
            <w:vAlign w:val="bottom"/>
          </w:tcPr>
          <w:p w14:paraId="0105124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4,5 </w:t>
            </w:r>
          </w:p>
        </w:tc>
        <w:tc>
          <w:tcPr>
            <w:tcW w:w="1701" w:type="dxa"/>
            <w:vAlign w:val="bottom"/>
          </w:tcPr>
          <w:p w14:paraId="3A9AC68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225,0 </w:t>
            </w:r>
          </w:p>
        </w:tc>
        <w:tc>
          <w:tcPr>
            <w:tcW w:w="1843" w:type="dxa"/>
            <w:vAlign w:val="bottom"/>
          </w:tcPr>
          <w:p w14:paraId="5EBEB3E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95C1848" w14:textId="77777777" w:rsidTr="00545B6E">
        <w:tc>
          <w:tcPr>
            <w:tcW w:w="2419" w:type="dxa"/>
            <w:shd w:val="clear" w:color="auto" w:fill="auto"/>
          </w:tcPr>
          <w:p w14:paraId="4B5C7DC6"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Новолакский  </w:t>
            </w:r>
          </w:p>
        </w:tc>
        <w:tc>
          <w:tcPr>
            <w:tcW w:w="1738" w:type="dxa"/>
            <w:vAlign w:val="bottom"/>
          </w:tcPr>
          <w:p w14:paraId="3651ED9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709,7 </w:t>
            </w:r>
          </w:p>
        </w:tc>
        <w:tc>
          <w:tcPr>
            <w:tcW w:w="1701" w:type="dxa"/>
            <w:vAlign w:val="bottom"/>
          </w:tcPr>
          <w:p w14:paraId="0013CF5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1304D84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482,5 </w:t>
            </w:r>
          </w:p>
        </w:tc>
        <w:tc>
          <w:tcPr>
            <w:tcW w:w="1843" w:type="dxa"/>
            <w:vAlign w:val="bottom"/>
          </w:tcPr>
          <w:p w14:paraId="3BEACA3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164,0 </w:t>
            </w:r>
          </w:p>
        </w:tc>
      </w:tr>
      <w:tr w:rsidR="0053266A" w:rsidRPr="0053266A" w14:paraId="5C11E3F6" w14:textId="77777777" w:rsidTr="00545B6E">
        <w:tc>
          <w:tcPr>
            <w:tcW w:w="2419" w:type="dxa"/>
            <w:shd w:val="clear" w:color="auto" w:fill="auto"/>
          </w:tcPr>
          <w:p w14:paraId="1D1C5F4B"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Ногайский  </w:t>
            </w:r>
          </w:p>
        </w:tc>
        <w:tc>
          <w:tcPr>
            <w:tcW w:w="1738" w:type="dxa"/>
            <w:vAlign w:val="bottom"/>
          </w:tcPr>
          <w:p w14:paraId="648091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1 840,1 </w:t>
            </w:r>
          </w:p>
        </w:tc>
        <w:tc>
          <w:tcPr>
            <w:tcW w:w="1701" w:type="dxa"/>
            <w:vAlign w:val="bottom"/>
          </w:tcPr>
          <w:p w14:paraId="335F3E4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260,9 </w:t>
            </w:r>
          </w:p>
        </w:tc>
        <w:tc>
          <w:tcPr>
            <w:tcW w:w="1701" w:type="dxa"/>
            <w:vAlign w:val="bottom"/>
          </w:tcPr>
          <w:p w14:paraId="67E5088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635,7 </w:t>
            </w:r>
          </w:p>
        </w:tc>
        <w:tc>
          <w:tcPr>
            <w:tcW w:w="1843" w:type="dxa"/>
            <w:vAlign w:val="bottom"/>
          </w:tcPr>
          <w:p w14:paraId="5884071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10B162B" w14:textId="77777777" w:rsidTr="00545B6E">
        <w:tc>
          <w:tcPr>
            <w:tcW w:w="2419" w:type="dxa"/>
            <w:shd w:val="clear" w:color="auto" w:fill="auto"/>
          </w:tcPr>
          <w:p w14:paraId="35633AF2"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Рутульский  </w:t>
            </w:r>
          </w:p>
        </w:tc>
        <w:tc>
          <w:tcPr>
            <w:tcW w:w="1738" w:type="dxa"/>
            <w:vAlign w:val="bottom"/>
          </w:tcPr>
          <w:p w14:paraId="3AD922F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371E46E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1F92CD1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5DD35FB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0F0405A" w14:textId="77777777" w:rsidTr="00545B6E">
        <w:tc>
          <w:tcPr>
            <w:tcW w:w="2419" w:type="dxa"/>
            <w:shd w:val="clear" w:color="auto" w:fill="auto"/>
          </w:tcPr>
          <w:p w14:paraId="715E35AD" w14:textId="098A7565"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С</w:t>
            </w:r>
            <w:r w:rsidR="00902DE0">
              <w:rPr>
                <w:rFonts w:ascii="Times New Roman" w:eastAsia="Times New Roman" w:hAnsi="Times New Roman" w:cs="Times New Roman"/>
                <w:sz w:val="20"/>
                <w:szCs w:val="20"/>
                <w:lang w:eastAsia="ru-RU"/>
              </w:rPr>
              <w:t>улейман-</w:t>
            </w:r>
            <w:r w:rsidRPr="0053266A">
              <w:rPr>
                <w:rFonts w:ascii="Times New Roman" w:eastAsia="Times New Roman" w:hAnsi="Times New Roman" w:cs="Times New Roman"/>
                <w:sz w:val="20"/>
                <w:szCs w:val="20"/>
                <w:lang w:eastAsia="ru-RU"/>
              </w:rPr>
              <w:t xml:space="preserve">Стальский   </w:t>
            </w:r>
          </w:p>
        </w:tc>
        <w:tc>
          <w:tcPr>
            <w:tcW w:w="1738" w:type="dxa"/>
            <w:vAlign w:val="bottom"/>
          </w:tcPr>
          <w:p w14:paraId="463E27A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1 349,9 </w:t>
            </w:r>
          </w:p>
        </w:tc>
        <w:tc>
          <w:tcPr>
            <w:tcW w:w="1701" w:type="dxa"/>
            <w:vAlign w:val="bottom"/>
          </w:tcPr>
          <w:p w14:paraId="5985258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4,4 </w:t>
            </w:r>
          </w:p>
        </w:tc>
        <w:tc>
          <w:tcPr>
            <w:tcW w:w="1701" w:type="dxa"/>
            <w:vAlign w:val="bottom"/>
          </w:tcPr>
          <w:p w14:paraId="63FDE51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1 177,4 </w:t>
            </w:r>
          </w:p>
        </w:tc>
        <w:tc>
          <w:tcPr>
            <w:tcW w:w="1843" w:type="dxa"/>
            <w:vAlign w:val="bottom"/>
          </w:tcPr>
          <w:p w14:paraId="1E4B7C6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83D909A" w14:textId="77777777" w:rsidTr="00545B6E">
        <w:tc>
          <w:tcPr>
            <w:tcW w:w="2419" w:type="dxa"/>
            <w:shd w:val="clear" w:color="auto" w:fill="auto"/>
          </w:tcPr>
          <w:p w14:paraId="2BE19ABB"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lastRenderedPageBreak/>
              <w:t xml:space="preserve">Сергокалинский  </w:t>
            </w:r>
          </w:p>
        </w:tc>
        <w:tc>
          <w:tcPr>
            <w:tcW w:w="1738" w:type="dxa"/>
            <w:vAlign w:val="bottom"/>
          </w:tcPr>
          <w:p w14:paraId="08F9D03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783,6 </w:t>
            </w:r>
          </w:p>
        </w:tc>
        <w:tc>
          <w:tcPr>
            <w:tcW w:w="1701" w:type="dxa"/>
            <w:vAlign w:val="bottom"/>
          </w:tcPr>
          <w:p w14:paraId="72B50D5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26CCBFA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587,6 </w:t>
            </w:r>
          </w:p>
        </w:tc>
        <w:tc>
          <w:tcPr>
            <w:tcW w:w="1843" w:type="dxa"/>
            <w:vAlign w:val="bottom"/>
          </w:tcPr>
          <w:p w14:paraId="17E0703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0D92F9EC" w14:textId="77777777" w:rsidTr="00545B6E">
        <w:tc>
          <w:tcPr>
            <w:tcW w:w="2419" w:type="dxa"/>
            <w:shd w:val="clear" w:color="auto" w:fill="auto"/>
          </w:tcPr>
          <w:p w14:paraId="0CE11447"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Табасаранский  </w:t>
            </w:r>
          </w:p>
        </w:tc>
        <w:tc>
          <w:tcPr>
            <w:tcW w:w="1738" w:type="dxa"/>
            <w:vAlign w:val="bottom"/>
          </w:tcPr>
          <w:p w14:paraId="31D3A15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842,6 </w:t>
            </w:r>
          </w:p>
        </w:tc>
        <w:tc>
          <w:tcPr>
            <w:tcW w:w="1701" w:type="dxa"/>
            <w:vAlign w:val="bottom"/>
          </w:tcPr>
          <w:p w14:paraId="1EE14D4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45DE83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589,4 </w:t>
            </w:r>
          </w:p>
        </w:tc>
        <w:tc>
          <w:tcPr>
            <w:tcW w:w="1843" w:type="dxa"/>
            <w:vAlign w:val="bottom"/>
          </w:tcPr>
          <w:p w14:paraId="61A18C5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407A2A3" w14:textId="77777777" w:rsidTr="00545B6E">
        <w:tc>
          <w:tcPr>
            <w:tcW w:w="2419" w:type="dxa"/>
            <w:shd w:val="clear" w:color="auto" w:fill="auto"/>
          </w:tcPr>
          <w:p w14:paraId="5A8A8B4E"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Тарумовский  </w:t>
            </w:r>
          </w:p>
        </w:tc>
        <w:tc>
          <w:tcPr>
            <w:tcW w:w="1738" w:type="dxa"/>
            <w:vAlign w:val="bottom"/>
          </w:tcPr>
          <w:p w14:paraId="100F0E8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213,6 </w:t>
            </w:r>
          </w:p>
        </w:tc>
        <w:tc>
          <w:tcPr>
            <w:tcW w:w="1701" w:type="dxa"/>
            <w:vAlign w:val="bottom"/>
          </w:tcPr>
          <w:p w14:paraId="2CABEBD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213,6 </w:t>
            </w:r>
          </w:p>
        </w:tc>
        <w:tc>
          <w:tcPr>
            <w:tcW w:w="1701" w:type="dxa"/>
            <w:vAlign w:val="bottom"/>
          </w:tcPr>
          <w:p w14:paraId="5A83587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213,6 </w:t>
            </w:r>
          </w:p>
        </w:tc>
        <w:tc>
          <w:tcPr>
            <w:tcW w:w="1843" w:type="dxa"/>
            <w:vAlign w:val="bottom"/>
          </w:tcPr>
          <w:p w14:paraId="7BE4CFD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213,6 </w:t>
            </w:r>
          </w:p>
        </w:tc>
      </w:tr>
      <w:tr w:rsidR="0053266A" w:rsidRPr="0053266A" w14:paraId="4645FA8B" w14:textId="77777777" w:rsidTr="00545B6E">
        <w:tc>
          <w:tcPr>
            <w:tcW w:w="2419" w:type="dxa"/>
            <w:shd w:val="clear" w:color="auto" w:fill="auto"/>
          </w:tcPr>
          <w:p w14:paraId="03F70E2D"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Тляратинский  </w:t>
            </w:r>
          </w:p>
        </w:tc>
        <w:tc>
          <w:tcPr>
            <w:tcW w:w="1738" w:type="dxa"/>
            <w:vAlign w:val="bottom"/>
          </w:tcPr>
          <w:p w14:paraId="37E7885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952,6 </w:t>
            </w:r>
          </w:p>
        </w:tc>
        <w:tc>
          <w:tcPr>
            <w:tcW w:w="1701" w:type="dxa"/>
            <w:vAlign w:val="bottom"/>
          </w:tcPr>
          <w:p w14:paraId="48669A6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577,2 </w:t>
            </w:r>
          </w:p>
        </w:tc>
        <w:tc>
          <w:tcPr>
            <w:tcW w:w="1701" w:type="dxa"/>
            <w:vAlign w:val="bottom"/>
          </w:tcPr>
          <w:p w14:paraId="233EDDC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682,4 </w:t>
            </w:r>
          </w:p>
        </w:tc>
        <w:tc>
          <w:tcPr>
            <w:tcW w:w="1843" w:type="dxa"/>
            <w:vAlign w:val="bottom"/>
          </w:tcPr>
          <w:p w14:paraId="3DCEEC2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297,8 </w:t>
            </w:r>
          </w:p>
        </w:tc>
      </w:tr>
      <w:tr w:rsidR="0053266A" w:rsidRPr="0053266A" w14:paraId="1D36B86D" w14:textId="77777777" w:rsidTr="00545B6E">
        <w:tc>
          <w:tcPr>
            <w:tcW w:w="2419" w:type="dxa"/>
            <w:shd w:val="clear" w:color="auto" w:fill="auto"/>
          </w:tcPr>
          <w:p w14:paraId="05A97BB2"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Унцукульский  </w:t>
            </w:r>
          </w:p>
        </w:tc>
        <w:tc>
          <w:tcPr>
            <w:tcW w:w="1738" w:type="dxa"/>
            <w:vAlign w:val="bottom"/>
          </w:tcPr>
          <w:p w14:paraId="51FAFCE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24C6292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12680B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1D24860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F9E301C" w14:textId="77777777" w:rsidTr="00545B6E">
        <w:tc>
          <w:tcPr>
            <w:tcW w:w="2419" w:type="dxa"/>
            <w:shd w:val="clear" w:color="auto" w:fill="auto"/>
          </w:tcPr>
          <w:p w14:paraId="574DE711"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Хасавюртовский  </w:t>
            </w:r>
          </w:p>
        </w:tc>
        <w:tc>
          <w:tcPr>
            <w:tcW w:w="1738" w:type="dxa"/>
            <w:vAlign w:val="bottom"/>
          </w:tcPr>
          <w:p w14:paraId="62A65D3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40 973,5 </w:t>
            </w:r>
          </w:p>
        </w:tc>
        <w:tc>
          <w:tcPr>
            <w:tcW w:w="1701" w:type="dxa"/>
            <w:vAlign w:val="bottom"/>
          </w:tcPr>
          <w:p w14:paraId="2353630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10B893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30 948,9 </w:t>
            </w:r>
          </w:p>
        </w:tc>
        <w:tc>
          <w:tcPr>
            <w:tcW w:w="1843" w:type="dxa"/>
            <w:vAlign w:val="bottom"/>
          </w:tcPr>
          <w:p w14:paraId="429B01B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C43F9E9" w14:textId="77777777" w:rsidTr="00545B6E">
        <w:tc>
          <w:tcPr>
            <w:tcW w:w="2419" w:type="dxa"/>
            <w:shd w:val="clear" w:color="auto" w:fill="auto"/>
          </w:tcPr>
          <w:p w14:paraId="02A87F76"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Хивский  </w:t>
            </w:r>
          </w:p>
        </w:tc>
        <w:tc>
          <w:tcPr>
            <w:tcW w:w="1738" w:type="dxa"/>
            <w:vAlign w:val="bottom"/>
          </w:tcPr>
          <w:p w14:paraId="152E8AD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3590293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6897FF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13FFED6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E99592F" w14:textId="77777777" w:rsidTr="00545B6E">
        <w:tc>
          <w:tcPr>
            <w:tcW w:w="2419" w:type="dxa"/>
            <w:shd w:val="clear" w:color="auto" w:fill="auto"/>
          </w:tcPr>
          <w:p w14:paraId="36D749E5"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Хунзахский  </w:t>
            </w:r>
          </w:p>
        </w:tc>
        <w:tc>
          <w:tcPr>
            <w:tcW w:w="1738" w:type="dxa"/>
            <w:vAlign w:val="bottom"/>
          </w:tcPr>
          <w:p w14:paraId="7C3A9F6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7001D14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10C6D76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37435ED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0F1593AE" w14:textId="77777777" w:rsidTr="00545B6E">
        <w:tc>
          <w:tcPr>
            <w:tcW w:w="2419" w:type="dxa"/>
            <w:shd w:val="clear" w:color="auto" w:fill="auto"/>
          </w:tcPr>
          <w:p w14:paraId="4BFF3112"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Цумадинский  </w:t>
            </w:r>
          </w:p>
        </w:tc>
        <w:tc>
          <w:tcPr>
            <w:tcW w:w="1738" w:type="dxa"/>
            <w:vAlign w:val="bottom"/>
          </w:tcPr>
          <w:p w14:paraId="180A66F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21BF88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619353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701C773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B9EF4BC" w14:textId="77777777" w:rsidTr="00545B6E">
        <w:tc>
          <w:tcPr>
            <w:tcW w:w="2419" w:type="dxa"/>
            <w:shd w:val="clear" w:color="auto" w:fill="auto"/>
          </w:tcPr>
          <w:p w14:paraId="49CF3DDF"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Цунтинский  </w:t>
            </w:r>
          </w:p>
        </w:tc>
        <w:tc>
          <w:tcPr>
            <w:tcW w:w="1738" w:type="dxa"/>
            <w:vAlign w:val="bottom"/>
          </w:tcPr>
          <w:p w14:paraId="2E856EA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FF3B47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35E4BD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6390231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7481A51" w14:textId="77777777" w:rsidTr="00545B6E">
        <w:tc>
          <w:tcPr>
            <w:tcW w:w="2419" w:type="dxa"/>
            <w:shd w:val="clear" w:color="auto" w:fill="auto"/>
          </w:tcPr>
          <w:p w14:paraId="0C1F9FCD"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Чародинский  </w:t>
            </w:r>
          </w:p>
        </w:tc>
        <w:tc>
          <w:tcPr>
            <w:tcW w:w="1738" w:type="dxa"/>
            <w:vAlign w:val="bottom"/>
          </w:tcPr>
          <w:p w14:paraId="3442243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759,3 </w:t>
            </w:r>
          </w:p>
        </w:tc>
        <w:tc>
          <w:tcPr>
            <w:tcW w:w="1701" w:type="dxa"/>
            <w:vAlign w:val="bottom"/>
          </w:tcPr>
          <w:p w14:paraId="6874E47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76CAA4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674,9 </w:t>
            </w:r>
          </w:p>
        </w:tc>
        <w:tc>
          <w:tcPr>
            <w:tcW w:w="1843" w:type="dxa"/>
            <w:vAlign w:val="bottom"/>
          </w:tcPr>
          <w:p w14:paraId="4ECE315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DF27DA0" w14:textId="77777777" w:rsidTr="00545B6E">
        <w:tc>
          <w:tcPr>
            <w:tcW w:w="2419" w:type="dxa"/>
            <w:shd w:val="clear" w:color="auto" w:fill="auto"/>
          </w:tcPr>
          <w:p w14:paraId="0426805A"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Шамильский  </w:t>
            </w:r>
          </w:p>
        </w:tc>
        <w:tc>
          <w:tcPr>
            <w:tcW w:w="1738" w:type="dxa"/>
            <w:vAlign w:val="bottom"/>
          </w:tcPr>
          <w:p w14:paraId="5416B7E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6996C5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6DDF62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4C39515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53A8A69" w14:textId="77777777" w:rsidTr="00545B6E">
        <w:tc>
          <w:tcPr>
            <w:tcW w:w="2419" w:type="dxa"/>
            <w:shd w:val="clear" w:color="auto" w:fill="auto"/>
          </w:tcPr>
          <w:p w14:paraId="6ACA491A"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Бежтинский участок</w:t>
            </w:r>
          </w:p>
        </w:tc>
        <w:tc>
          <w:tcPr>
            <w:tcW w:w="1738" w:type="dxa"/>
            <w:vAlign w:val="bottom"/>
          </w:tcPr>
          <w:p w14:paraId="6D634C7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1578C81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5A1255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22229F0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77BD633E" w14:textId="77777777" w:rsidTr="00545B6E">
        <w:tc>
          <w:tcPr>
            <w:tcW w:w="2419" w:type="dxa"/>
            <w:shd w:val="clear" w:color="auto" w:fill="auto"/>
          </w:tcPr>
          <w:p w14:paraId="51DC9597"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Махачкала</w:t>
            </w:r>
          </w:p>
        </w:tc>
        <w:tc>
          <w:tcPr>
            <w:tcW w:w="1738" w:type="dxa"/>
            <w:vAlign w:val="bottom"/>
          </w:tcPr>
          <w:p w14:paraId="1663AB9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435,2 </w:t>
            </w:r>
          </w:p>
        </w:tc>
        <w:tc>
          <w:tcPr>
            <w:tcW w:w="1701" w:type="dxa"/>
            <w:vAlign w:val="bottom"/>
          </w:tcPr>
          <w:p w14:paraId="08BA31E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A19E67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238,5 </w:t>
            </w:r>
          </w:p>
        </w:tc>
        <w:tc>
          <w:tcPr>
            <w:tcW w:w="1843" w:type="dxa"/>
            <w:vAlign w:val="bottom"/>
          </w:tcPr>
          <w:p w14:paraId="7EAAC10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6A11C033" w14:textId="77777777" w:rsidTr="00545B6E">
        <w:tc>
          <w:tcPr>
            <w:tcW w:w="2419" w:type="dxa"/>
            <w:shd w:val="clear" w:color="auto" w:fill="auto"/>
          </w:tcPr>
          <w:p w14:paraId="37953909"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Дербент</w:t>
            </w:r>
          </w:p>
        </w:tc>
        <w:tc>
          <w:tcPr>
            <w:tcW w:w="1738" w:type="dxa"/>
            <w:vAlign w:val="bottom"/>
          </w:tcPr>
          <w:p w14:paraId="72B9DD5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1 610,6 </w:t>
            </w:r>
          </w:p>
        </w:tc>
        <w:tc>
          <w:tcPr>
            <w:tcW w:w="1701" w:type="dxa"/>
            <w:vAlign w:val="bottom"/>
          </w:tcPr>
          <w:p w14:paraId="5F6C5E77"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19,6 </w:t>
            </w:r>
          </w:p>
        </w:tc>
        <w:tc>
          <w:tcPr>
            <w:tcW w:w="1701" w:type="dxa"/>
            <w:vAlign w:val="bottom"/>
          </w:tcPr>
          <w:p w14:paraId="5B70E6C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155146B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AADCD08" w14:textId="77777777" w:rsidTr="00545B6E">
        <w:tc>
          <w:tcPr>
            <w:tcW w:w="2419" w:type="dxa"/>
            <w:shd w:val="clear" w:color="auto" w:fill="auto"/>
          </w:tcPr>
          <w:p w14:paraId="460764CE"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Буйнакск</w:t>
            </w:r>
          </w:p>
        </w:tc>
        <w:tc>
          <w:tcPr>
            <w:tcW w:w="1738" w:type="dxa"/>
            <w:vAlign w:val="bottom"/>
          </w:tcPr>
          <w:p w14:paraId="24B30B7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833,1 </w:t>
            </w:r>
          </w:p>
        </w:tc>
        <w:tc>
          <w:tcPr>
            <w:tcW w:w="1701" w:type="dxa"/>
            <w:vAlign w:val="bottom"/>
          </w:tcPr>
          <w:p w14:paraId="03CC1C9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8719B7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738,3 </w:t>
            </w:r>
          </w:p>
        </w:tc>
        <w:tc>
          <w:tcPr>
            <w:tcW w:w="1843" w:type="dxa"/>
            <w:vAlign w:val="bottom"/>
          </w:tcPr>
          <w:p w14:paraId="49659FB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DA10492" w14:textId="77777777" w:rsidTr="00545B6E">
        <w:tc>
          <w:tcPr>
            <w:tcW w:w="2419" w:type="dxa"/>
            <w:shd w:val="clear" w:color="auto" w:fill="auto"/>
          </w:tcPr>
          <w:p w14:paraId="589F8EA9"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Хасавюрт</w:t>
            </w:r>
          </w:p>
        </w:tc>
        <w:tc>
          <w:tcPr>
            <w:tcW w:w="1738" w:type="dxa"/>
            <w:vAlign w:val="bottom"/>
          </w:tcPr>
          <w:p w14:paraId="7C30D2A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756,4 </w:t>
            </w:r>
          </w:p>
        </w:tc>
        <w:tc>
          <w:tcPr>
            <w:tcW w:w="1701" w:type="dxa"/>
            <w:vAlign w:val="bottom"/>
          </w:tcPr>
          <w:p w14:paraId="780ECBD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AAE5875"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3 030,4 </w:t>
            </w:r>
          </w:p>
        </w:tc>
        <w:tc>
          <w:tcPr>
            <w:tcW w:w="1843" w:type="dxa"/>
            <w:vAlign w:val="bottom"/>
          </w:tcPr>
          <w:p w14:paraId="3D8475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BF69EA3" w14:textId="77777777" w:rsidTr="00545B6E">
        <w:tc>
          <w:tcPr>
            <w:tcW w:w="2419" w:type="dxa"/>
            <w:shd w:val="clear" w:color="auto" w:fill="auto"/>
          </w:tcPr>
          <w:p w14:paraId="4539042B"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Каспийск</w:t>
            </w:r>
          </w:p>
        </w:tc>
        <w:tc>
          <w:tcPr>
            <w:tcW w:w="1738" w:type="dxa"/>
            <w:vAlign w:val="bottom"/>
          </w:tcPr>
          <w:p w14:paraId="3761C92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3D6DB2D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34735A6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48609310"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2C006570" w14:textId="77777777" w:rsidTr="00545B6E">
        <w:tc>
          <w:tcPr>
            <w:tcW w:w="2419" w:type="dxa"/>
            <w:shd w:val="clear" w:color="auto" w:fill="auto"/>
          </w:tcPr>
          <w:p w14:paraId="7F30942D"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Кизляр</w:t>
            </w:r>
          </w:p>
        </w:tc>
        <w:tc>
          <w:tcPr>
            <w:tcW w:w="1738" w:type="dxa"/>
            <w:vAlign w:val="bottom"/>
          </w:tcPr>
          <w:p w14:paraId="05B16EB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2F06F52"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CEB494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4967BE6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4D889369" w14:textId="77777777" w:rsidTr="00545B6E">
        <w:tc>
          <w:tcPr>
            <w:tcW w:w="2419" w:type="dxa"/>
            <w:shd w:val="clear" w:color="auto" w:fill="auto"/>
          </w:tcPr>
          <w:p w14:paraId="2640425F"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Кизилюрт</w:t>
            </w:r>
          </w:p>
        </w:tc>
        <w:tc>
          <w:tcPr>
            <w:tcW w:w="1738" w:type="dxa"/>
            <w:vAlign w:val="bottom"/>
          </w:tcPr>
          <w:p w14:paraId="0A3EF156"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2BBD13E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0FB196C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2AF3296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136C7D36" w14:textId="77777777" w:rsidTr="00545B6E">
        <w:tc>
          <w:tcPr>
            <w:tcW w:w="2419" w:type="dxa"/>
            <w:shd w:val="clear" w:color="auto" w:fill="auto"/>
          </w:tcPr>
          <w:p w14:paraId="0B8BFD10"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Избербаш</w:t>
            </w:r>
          </w:p>
        </w:tc>
        <w:tc>
          <w:tcPr>
            <w:tcW w:w="1738" w:type="dxa"/>
            <w:vAlign w:val="bottom"/>
          </w:tcPr>
          <w:p w14:paraId="1478011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ACEA49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48E5CB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248813C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7AC2E916" w14:textId="77777777" w:rsidTr="00545B6E">
        <w:tc>
          <w:tcPr>
            <w:tcW w:w="2419" w:type="dxa"/>
            <w:shd w:val="clear" w:color="auto" w:fill="auto"/>
          </w:tcPr>
          <w:p w14:paraId="440C3D02"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Южно-Сухокумск</w:t>
            </w:r>
          </w:p>
        </w:tc>
        <w:tc>
          <w:tcPr>
            <w:tcW w:w="1738" w:type="dxa"/>
            <w:vAlign w:val="bottom"/>
          </w:tcPr>
          <w:p w14:paraId="248D5F01"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5E8264B4"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B5E483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7B049B33"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3C904A00" w14:textId="77777777" w:rsidTr="00545B6E">
        <w:tc>
          <w:tcPr>
            <w:tcW w:w="2419" w:type="dxa"/>
            <w:shd w:val="clear" w:color="auto" w:fill="auto"/>
          </w:tcPr>
          <w:p w14:paraId="2274F10C" w14:textId="77777777" w:rsidR="0053266A" w:rsidRPr="0053266A" w:rsidRDefault="0053266A" w:rsidP="0053266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г. Дагестанские Огни</w:t>
            </w:r>
          </w:p>
        </w:tc>
        <w:tc>
          <w:tcPr>
            <w:tcW w:w="1738" w:type="dxa"/>
            <w:vAlign w:val="bottom"/>
          </w:tcPr>
          <w:p w14:paraId="7B501D2B"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4B7BE338"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701" w:type="dxa"/>
            <w:vAlign w:val="bottom"/>
          </w:tcPr>
          <w:p w14:paraId="6AC8CB0F"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c>
          <w:tcPr>
            <w:tcW w:w="1843" w:type="dxa"/>
            <w:vAlign w:val="bottom"/>
          </w:tcPr>
          <w:p w14:paraId="3422F7FC"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3266A">
              <w:rPr>
                <w:rFonts w:ascii="Times New Roman" w:eastAsia="Times New Roman" w:hAnsi="Times New Roman" w:cs="Times New Roman"/>
                <w:sz w:val="20"/>
                <w:szCs w:val="20"/>
                <w:lang w:eastAsia="ru-RU"/>
              </w:rPr>
              <w:t xml:space="preserve">0,0 </w:t>
            </w:r>
          </w:p>
        </w:tc>
      </w:tr>
      <w:tr w:rsidR="0053266A" w:rsidRPr="0053266A" w14:paraId="5D9AFC42" w14:textId="77777777" w:rsidTr="00545B6E">
        <w:tc>
          <w:tcPr>
            <w:tcW w:w="2419" w:type="dxa"/>
            <w:shd w:val="clear" w:color="auto" w:fill="auto"/>
          </w:tcPr>
          <w:p w14:paraId="0673B87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3266A">
              <w:rPr>
                <w:rFonts w:ascii="Times New Roman" w:eastAsia="Times New Roman" w:hAnsi="Times New Roman" w:cs="Times New Roman"/>
                <w:b/>
                <w:sz w:val="20"/>
                <w:szCs w:val="20"/>
                <w:lang w:eastAsia="ru-RU"/>
              </w:rPr>
              <w:t>Всего:</w:t>
            </w:r>
          </w:p>
        </w:tc>
        <w:tc>
          <w:tcPr>
            <w:tcW w:w="1738" w:type="dxa"/>
            <w:vAlign w:val="bottom"/>
          </w:tcPr>
          <w:p w14:paraId="20789E99"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95 457,6 </w:t>
            </w:r>
          </w:p>
        </w:tc>
        <w:tc>
          <w:tcPr>
            <w:tcW w:w="1701" w:type="dxa"/>
            <w:vAlign w:val="bottom"/>
          </w:tcPr>
          <w:p w14:paraId="4E69269A"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1 615,6 </w:t>
            </w:r>
          </w:p>
        </w:tc>
        <w:tc>
          <w:tcPr>
            <w:tcW w:w="1701" w:type="dxa"/>
            <w:vAlign w:val="bottom"/>
          </w:tcPr>
          <w:p w14:paraId="32FAC5AD"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70 309,9 </w:t>
            </w:r>
          </w:p>
        </w:tc>
        <w:tc>
          <w:tcPr>
            <w:tcW w:w="1843" w:type="dxa"/>
            <w:vAlign w:val="bottom"/>
          </w:tcPr>
          <w:p w14:paraId="597E4E9E" w14:textId="77777777" w:rsidR="0053266A" w:rsidRPr="0053266A" w:rsidRDefault="0053266A" w:rsidP="0053266A">
            <w:pPr>
              <w:widowControl w:val="0"/>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53266A">
              <w:rPr>
                <w:rFonts w:ascii="Times New Roman" w:eastAsia="Times New Roman" w:hAnsi="Times New Roman" w:cs="Times New Roman"/>
                <w:b/>
                <w:bCs/>
                <w:sz w:val="20"/>
                <w:szCs w:val="20"/>
                <w:lang w:eastAsia="ru-RU"/>
              </w:rPr>
              <w:t xml:space="preserve">675,4 </w:t>
            </w:r>
          </w:p>
        </w:tc>
      </w:tr>
    </w:tbl>
    <w:p w14:paraId="1DCC494B" w14:textId="77777777" w:rsidR="0053266A" w:rsidRPr="0053266A" w:rsidRDefault="0053266A" w:rsidP="0053266A">
      <w:pPr>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p>
    <w:p w14:paraId="41248981" w14:textId="77777777" w:rsidR="0053266A" w:rsidRPr="0053266A" w:rsidRDefault="0053266A" w:rsidP="0053266A">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B247CA">
        <w:rPr>
          <w:rFonts w:ascii="Times New Roman" w:eastAsia="Times New Roman" w:hAnsi="Times New Roman" w:cs="Times New Roman"/>
          <w:b/>
          <w:color w:val="002060"/>
          <w:sz w:val="28"/>
          <w:szCs w:val="28"/>
          <w:lang w:eastAsia="ru-RU"/>
        </w:rPr>
        <w:t>5)</w:t>
      </w:r>
      <w:r w:rsidRPr="00B247CA">
        <w:rPr>
          <w:rFonts w:ascii="Times New Roman" w:eastAsia="Times New Roman" w:hAnsi="Times New Roman" w:cs="Times New Roman"/>
          <w:color w:val="002060"/>
          <w:sz w:val="28"/>
          <w:szCs w:val="28"/>
          <w:lang w:eastAsia="ru-RU"/>
        </w:rPr>
        <w:t xml:space="preserve"> </w:t>
      </w:r>
      <w:r w:rsidRPr="0053266A">
        <w:rPr>
          <w:rFonts w:ascii="Times New Roman" w:eastAsia="Times New Roman" w:hAnsi="Times New Roman" w:cs="Times New Roman"/>
          <w:sz w:val="28"/>
          <w:szCs w:val="28"/>
          <w:lang w:eastAsia="ru-RU"/>
        </w:rPr>
        <w:t xml:space="preserve">Как показал проведенный анализ, ряд муниципальных образований на 1 января 2022 года имеют просроченную задолженность по муниципальным гарантиям в сумме 675,4 тыс. рублей (уменьшилась на 940,2 тыс. рублей), в том числе: </w:t>
      </w:r>
    </w:p>
    <w:p w14:paraId="31BBE9BD" w14:textId="77777777" w:rsidR="0053266A" w:rsidRPr="0053266A" w:rsidRDefault="0053266A" w:rsidP="0053266A">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МО «Новолакский район» – 164,0 тыс. рублей;</w:t>
      </w:r>
    </w:p>
    <w:p w14:paraId="1102C344" w14:textId="77777777" w:rsidR="0053266A" w:rsidRPr="0053266A" w:rsidRDefault="0053266A" w:rsidP="0053266A">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 МО «Тарумовский район» – 213,6 тыс. рублей; </w:t>
      </w:r>
    </w:p>
    <w:p w14:paraId="3209C5BF" w14:textId="77777777" w:rsidR="0053266A" w:rsidRPr="0053266A" w:rsidRDefault="0053266A" w:rsidP="0053266A">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53266A">
        <w:rPr>
          <w:rFonts w:ascii="Times New Roman" w:eastAsia="Times New Roman" w:hAnsi="Times New Roman" w:cs="Times New Roman"/>
          <w:sz w:val="28"/>
          <w:szCs w:val="28"/>
          <w:lang w:eastAsia="ru-RU"/>
        </w:rPr>
        <w:t xml:space="preserve">- МО «Тляратинский район» – 297,8 тыс. рублей. </w:t>
      </w:r>
    </w:p>
    <w:p w14:paraId="0DEA117A" w14:textId="6E4D63E5"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9FE392F" w14:textId="18E4969E"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472FD5F" w14:textId="1FC64E54"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5B7AD8E" w14:textId="4289ED8A"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06A8F84" w14:textId="53108043"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B1564DB" w14:textId="3ECAE938"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961E403" w14:textId="0B74F254"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0812C93" w14:textId="1697D5C0"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9EFF220" w14:textId="6528AB7C"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447A988" w14:textId="2C3FBF6B"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49F2CC3" w14:textId="77777777" w:rsidR="00902DE0" w:rsidRDefault="00902DE0"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DA34440" w14:textId="6B7E1880"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F7ECAC1" w14:textId="1E352974"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8840AB9" w14:textId="7C9C5543"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3570174" w14:textId="09D49028" w:rsidR="00143E5E" w:rsidRPr="003113E8" w:rsidRDefault="00143E5E" w:rsidP="00143E5E">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3113E8">
        <w:rPr>
          <w:rFonts w:ascii="Times New Roman" w:eastAsia="Times New Roman" w:hAnsi="Times New Roman" w:cs="Times New Roman"/>
          <w:b/>
          <w:color w:val="002060"/>
          <w:sz w:val="28"/>
          <w:szCs w:val="28"/>
          <w:lang w:eastAsia="ru-RU"/>
        </w:rPr>
        <w:lastRenderedPageBreak/>
        <w:t xml:space="preserve">5. Анализ исполнения </w:t>
      </w:r>
    </w:p>
    <w:p w14:paraId="5BDF7DFF" w14:textId="77777777" w:rsidR="00143E5E" w:rsidRPr="003113E8" w:rsidRDefault="00143E5E" w:rsidP="00143E5E">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3113E8">
        <w:rPr>
          <w:rFonts w:ascii="Times New Roman" w:eastAsia="Times New Roman" w:hAnsi="Times New Roman" w:cs="Times New Roman"/>
          <w:b/>
          <w:color w:val="002060"/>
          <w:sz w:val="28"/>
          <w:szCs w:val="28"/>
          <w:lang w:eastAsia="ru-RU"/>
        </w:rPr>
        <w:t>Республиканской инвестиционной программы</w:t>
      </w:r>
    </w:p>
    <w:p w14:paraId="30C76A75" w14:textId="6D4BD31B"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39124BA" w14:textId="77777777" w:rsidR="00524476" w:rsidRPr="00524476" w:rsidRDefault="00524476" w:rsidP="007C1F98">
      <w:pPr>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color w:val="002060"/>
          <w:sz w:val="28"/>
          <w:szCs w:val="28"/>
          <w:lang w:eastAsia="ru-RU"/>
        </w:rPr>
        <w:t>5.1.</w:t>
      </w:r>
      <w:r w:rsidRPr="00524476">
        <w:rPr>
          <w:rFonts w:ascii="Times New Roman" w:eastAsia="Times New Roman" w:hAnsi="Times New Roman" w:cs="Times New Roman"/>
          <w:sz w:val="28"/>
          <w:szCs w:val="28"/>
          <w:lang w:eastAsia="ru-RU"/>
        </w:rPr>
        <w:t xml:space="preserve"> </w:t>
      </w:r>
      <w:r w:rsidRPr="00524476">
        <w:rPr>
          <w:rFonts w:ascii="Times New Roman" w:hAnsi="Times New Roman" w:cs="Times New Roman"/>
          <w:sz w:val="28"/>
          <w:szCs w:val="28"/>
        </w:rPr>
        <w:t>В соответствии с Законом Республики Дагестан от 28 декабря 2020 года № 103 «О республиканском бюджете Республики Дагестан на 2021 год и на плановый период 2022 и 2023 годов»</w:t>
      </w:r>
      <w:r w:rsidRPr="00524476">
        <w:rPr>
          <w:rFonts w:ascii="Times New Roman" w:hAnsi="Times New Roman" w:cs="Times New Roman"/>
          <w:sz w:val="28"/>
        </w:rPr>
        <w:t xml:space="preserve"> (приложение № 17) </w:t>
      </w:r>
      <w:r w:rsidRPr="00524476">
        <w:rPr>
          <w:rFonts w:ascii="Times New Roman" w:eastAsia="Times New Roman" w:hAnsi="Times New Roman" w:cs="Times New Roman"/>
          <w:sz w:val="28"/>
          <w:szCs w:val="24"/>
          <w:lang w:eastAsia="ru-RU"/>
        </w:rPr>
        <w:t xml:space="preserve">на строительство 400 объектов, включенных в Республиканскую инвестиционную программу (далее – РИП), в 2021 году профинансированы </w:t>
      </w:r>
      <w:r w:rsidRPr="00524476">
        <w:rPr>
          <w:rFonts w:ascii="Times New Roman" w:hAnsi="Times New Roman" w:cs="Times New Roman"/>
          <w:sz w:val="28"/>
        </w:rPr>
        <w:t>р</w:t>
      </w:r>
      <w:r w:rsidRPr="00524476">
        <w:rPr>
          <w:rFonts w:ascii="Times New Roman" w:eastAsia="Times New Roman" w:hAnsi="Times New Roman" w:cs="Times New Roman"/>
          <w:sz w:val="28"/>
          <w:szCs w:val="24"/>
          <w:lang w:eastAsia="ru-RU"/>
        </w:rPr>
        <w:t>асходы в сумме 18 437 272,4 тыс. рублей, что составляет 95,2 % от бюджетных назначений (19 359 967,3 тыс. рублей), или меньше на 922 694,9 тыс. рублей, в том числе по направлениям (сферам):</w:t>
      </w:r>
    </w:p>
    <w:p w14:paraId="423AB8BB" w14:textId="77777777" w:rsidR="00524476" w:rsidRPr="00524476" w:rsidRDefault="00524476" w:rsidP="007C1F98">
      <w:pPr>
        <w:spacing w:after="1" w:line="340" w:lineRule="exact"/>
        <w:ind w:firstLine="709"/>
        <w:jc w:val="both"/>
        <w:rPr>
          <w:rFonts w:ascii="Times New Roman" w:hAnsi="Times New Roman" w:cs="Times New Roman"/>
          <w:sz w:val="28"/>
          <w:szCs w:val="28"/>
        </w:rPr>
      </w:pPr>
      <w:r w:rsidRPr="00524476">
        <w:rPr>
          <w:rFonts w:ascii="Times New Roman" w:hAnsi="Times New Roman" w:cs="Times New Roman"/>
          <w:sz w:val="28"/>
          <w:szCs w:val="28"/>
        </w:rPr>
        <w:t>- социальная сфера – 14 574 867,5 тыс. рублей (215 объектов), что на 466 491,2 тыс. рублей меньше бюджетных назначений (15 041 358,7 тыс. рублей);</w:t>
      </w:r>
    </w:p>
    <w:p w14:paraId="61CDAA82" w14:textId="77777777" w:rsidR="00524476" w:rsidRPr="00524476" w:rsidRDefault="00524476" w:rsidP="007C1F98">
      <w:pPr>
        <w:spacing w:after="1" w:line="340" w:lineRule="exact"/>
        <w:ind w:firstLine="709"/>
        <w:jc w:val="both"/>
        <w:rPr>
          <w:rFonts w:ascii="Times New Roman" w:hAnsi="Times New Roman" w:cs="Times New Roman"/>
          <w:sz w:val="28"/>
          <w:szCs w:val="28"/>
        </w:rPr>
      </w:pPr>
      <w:r w:rsidRPr="00524476">
        <w:rPr>
          <w:rFonts w:ascii="Times New Roman" w:hAnsi="Times New Roman" w:cs="Times New Roman"/>
          <w:sz w:val="28"/>
          <w:szCs w:val="28"/>
        </w:rPr>
        <w:t>- жилищно-коммунальное хозяйство – 3 460 117,1 тыс. рублей (152 объектов), что на 242 288,1 тыс. рублей меньше бюджетных назначений (3 702 405,3 тыс. рублей);</w:t>
      </w:r>
    </w:p>
    <w:p w14:paraId="2A132F7E" w14:textId="77777777" w:rsidR="00524476" w:rsidRPr="00524476" w:rsidRDefault="00524476" w:rsidP="007C1F98">
      <w:pPr>
        <w:spacing w:after="1" w:line="340" w:lineRule="exact"/>
        <w:ind w:firstLine="709"/>
        <w:jc w:val="both"/>
        <w:rPr>
          <w:rFonts w:ascii="Times New Roman" w:hAnsi="Times New Roman" w:cs="Times New Roman"/>
          <w:sz w:val="28"/>
          <w:szCs w:val="28"/>
        </w:rPr>
      </w:pPr>
      <w:r w:rsidRPr="00524476">
        <w:rPr>
          <w:rFonts w:ascii="Times New Roman" w:hAnsi="Times New Roman" w:cs="Times New Roman"/>
          <w:sz w:val="28"/>
          <w:szCs w:val="28"/>
        </w:rPr>
        <w:t>- прочие расходы – 402 287,7 тыс. рублей (33 объекта), что на 213 915,6 тыс. рублей меньше бюджетных назначений в сумме 616 203,3 тыс. рублей.</w:t>
      </w:r>
    </w:p>
    <w:p w14:paraId="3D11CEB0" w14:textId="58DEC810" w:rsidR="00524476" w:rsidRPr="00524476" w:rsidRDefault="00524476" w:rsidP="007C1F98">
      <w:pPr>
        <w:widowControl w:val="0"/>
        <w:spacing w:after="1"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
          <w:bCs/>
          <w:color w:val="002060"/>
          <w:sz w:val="28"/>
          <w:szCs w:val="28"/>
          <w:lang w:eastAsia="ru-RU"/>
        </w:rPr>
        <w:t>5.2.</w:t>
      </w:r>
      <w:r w:rsidRPr="00524476">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 xml:space="preserve">Проверка показала, что </w:t>
      </w:r>
      <w:r w:rsidRPr="00524476">
        <w:rPr>
          <w:rFonts w:ascii="Times New Roman" w:eastAsia="Times New Roman" w:hAnsi="Times New Roman" w:cs="Times New Roman"/>
          <w:bCs/>
          <w:sz w:val="28"/>
          <w:szCs w:val="28"/>
          <w:lang w:eastAsia="ru-RU"/>
        </w:rPr>
        <w:t>в 2021 году государственными (муниципальными) заказчиками кассовые расходы произведены</w:t>
      </w:r>
      <w:r w:rsidRPr="00524476">
        <w:rPr>
          <w:rFonts w:ascii="Times New Roman" w:hAnsi="Times New Roman" w:cs="Times New Roman"/>
          <w:sz w:val="28"/>
        </w:rPr>
        <w:t xml:space="preserve"> по 32</w:t>
      </w:r>
      <w:r w:rsidR="00BE0A1C">
        <w:rPr>
          <w:rFonts w:ascii="Times New Roman" w:hAnsi="Times New Roman" w:cs="Times New Roman"/>
          <w:sz w:val="28"/>
        </w:rPr>
        <w:t>5</w:t>
      </w:r>
      <w:r w:rsidRPr="00524476">
        <w:rPr>
          <w:rFonts w:ascii="Times New Roman" w:hAnsi="Times New Roman" w:cs="Times New Roman"/>
          <w:sz w:val="28"/>
        </w:rPr>
        <w:t xml:space="preserve"> объектам (81 % от общего количества) </w:t>
      </w:r>
      <w:r w:rsidRPr="00524476">
        <w:rPr>
          <w:rFonts w:ascii="Times New Roman" w:eastAsia="Times New Roman" w:hAnsi="Times New Roman" w:cs="Times New Roman"/>
          <w:bCs/>
          <w:sz w:val="28"/>
          <w:szCs w:val="28"/>
          <w:lang w:eastAsia="ru-RU"/>
        </w:rPr>
        <w:t>в общем объеме</w:t>
      </w:r>
      <w:r w:rsidRPr="00524476">
        <w:rPr>
          <w:rFonts w:ascii="Times New Roman" w:eastAsia="Times New Roman" w:hAnsi="Times New Roman" w:cs="Times New Roman"/>
          <w:sz w:val="28"/>
          <w:szCs w:val="28"/>
          <w:lang w:eastAsia="ru-RU"/>
        </w:rPr>
        <w:t xml:space="preserve"> 10 353 561,1 тыс. рублей, </w:t>
      </w:r>
      <w:r w:rsidRPr="00524476">
        <w:rPr>
          <w:rFonts w:ascii="Times New Roman" w:eastAsia="Times New Roman" w:hAnsi="Times New Roman" w:cs="Times New Roman"/>
          <w:bCs/>
          <w:sz w:val="28"/>
          <w:szCs w:val="28"/>
          <w:lang w:eastAsia="ru-RU"/>
        </w:rPr>
        <w:t>или 53,5</w:t>
      </w:r>
      <w:r w:rsidRPr="00524476">
        <w:rPr>
          <w:rFonts w:ascii="Times New Roman" w:eastAsia="Times New Roman" w:hAnsi="Times New Roman" w:cs="Times New Roman"/>
          <w:sz w:val="28"/>
          <w:szCs w:val="24"/>
          <w:lang w:eastAsia="ru-RU"/>
        </w:rPr>
        <w:t xml:space="preserve"> % от утвержденных назначений (19 359 967,3</w:t>
      </w:r>
      <w:r w:rsidRPr="00524476">
        <w:rPr>
          <w:rFonts w:ascii="Times New Roman" w:hAnsi="Times New Roman" w:cs="Times New Roman"/>
          <w:sz w:val="28"/>
        </w:rPr>
        <w:t xml:space="preserve"> тыс. рублей)</w:t>
      </w:r>
      <w:r w:rsidRPr="00524476">
        <w:rPr>
          <w:rFonts w:ascii="Times New Roman" w:eastAsia="Times New Roman" w:hAnsi="Times New Roman" w:cs="Times New Roman"/>
          <w:sz w:val="28"/>
          <w:szCs w:val="24"/>
          <w:lang w:eastAsia="ru-RU"/>
        </w:rPr>
        <w:t xml:space="preserve"> и 56,16 % от объема фактического</w:t>
      </w:r>
      <w:r w:rsidRPr="00524476">
        <w:rPr>
          <w:rFonts w:ascii="Times New Roman" w:eastAsia="Times New Roman" w:hAnsi="Times New Roman" w:cs="Times New Roman"/>
          <w:bCs/>
          <w:sz w:val="28"/>
          <w:szCs w:val="28"/>
          <w:lang w:eastAsia="ru-RU"/>
        </w:rPr>
        <w:t xml:space="preserve"> финансирования (</w:t>
      </w:r>
      <w:r w:rsidRPr="00524476">
        <w:rPr>
          <w:rFonts w:ascii="Times New Roman" w:eastAsia="Times New Roman" w:hAnsi="Times New Roman" w:cs="Times New Roman"/>
          <w:sz w:val="28"/>
          <w:szCs w:val="24"/>
          <w:lang w:eastAsia="ru-RU"/>
        </w:rPr>
        <w:t>18 437 272,4 тыс. рублей</w:t>
      </w:r>
      <w:r w:rsidRPr="00524476">
        <w:rPr>
          <w:rFonts w:ascii="Times New Roman" w:eastAsia="Times New Roman" w:hAnsi="Times New Roman" w:cs="Times New Roman"/>
          <w:bCs/>
          <w:sz w:val="28"/>
          <w:szCs w:val="28"/>
          <w:lang w:eastAsia="ru-RU"/>
        </w:rPr>
        <w:t xml:space="preserve">), из них: </w:t>
      </w:r>
    </w:p>
    <w:p w14:paraId="6F330E93"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Cs/>
          <w:sz w:val="28"/>
          <w:szCs w:val="28"/>
          <w:lang w:eastAsia="ru-RU"/>
        </w:rPr>
        <w:t xml:space="preserve">- на </w:t>
      </w:r>
      <w:r w:rsidRPr="00524476">
        <w:rPr>
          <w:rFonts w:ascii="Times New Roman" w:eastAsia="Times New Roman" w:hAnsi="Times New Roman" w:cs="Times New Roman"/>
          <w:sz w:val="28"/>
          <w:szCs w:val="24"/>
          <w:lang w:eastAsia="ru-RU"/>
        </w:rPr>
        <w:t xml:space="preserve">строительство 177 объектов (91,23 % от профинансированных 194 объектов) – 7 944 958,0 тыс. рублей (54,1 % от профинансированного объема в сумме 14 675 729,0 </w:t>
      </w:r>
      <w:r w:rsidRPr="00524476">
        <w:rPr>
          <w:rFonts w:ascii="Times New Roman" w:eastAsia="Times New Roman" w:hAnsi="Times New Roman" w:cs="Times New Roman"/>
          <w:bCs/>
          <w:sz w:val="28"/>
          <w:szCs w:val="28"/>
          <w:lang w:eastAsia="ru-RU"/>
        </w:rPr>
        <w:t>тыс. рублей</w:t>
      </w:r>
      <w:r w:rsidRPr="00524476">
        <w:rPr>
          <w:rFonts w:ascii="Times New Roman" w:eastAsia="Times New Roman" w:hAnsi="Times New Roman" w:cs="Times New Roman"/>
          <w:sz w:val="28"/>
          <w:szCs w:val="24"/>
          <w:lang w:eastAsia="ru-RU"/>
        </w:rPr>
        <w:t xml:space="preserve">); </w:t>
      </w:r>
    </w:p>
    <w:p w14:paraId="14C31909"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4"/>
          <w:lang w:eastAsia="ru-RU"/>
        </w:rPr>
        <w:t xml:space="preserve">- на строительство и одновременную разработку проектно-сметной документации 134 объектов (81,2 % от профинансированных 165 объектов) – 2 299 704,3 тыс. рублей (70 % от профинансированного объема в сумме 3 284 984,2 тыс. рублей); </w:t>
      </w:r>
    </w:p>
    <w:p w14:paraId="1BA43D06"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4"/>
          <w:lang w:eastAsia="ru-RU"/>
        </w:rPr>
        <w:t xml:space="preserve">- только на разработку проектно-сметной документации 14 объектов (34,1 % от профинансированных 41 объектов) – 108 898,8 тыс. рублей (22,8 % от профинансированного объема в сумме 476 559,1 тыс. рублей). </w:t>
      </w:r>
    </w:p>
    <w:p w14:paraId="06C5BEFD" w14:textId="44E13593"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4"/>
          <w:lang w:eastAsia="ru-RU"/>
        </w:rPr>
        <w:t>По направлениям кассовые расходы на строительство 32</w:t>
      </w:r>
      <w:r w:rsidR="00BE0A1C">
        <w:rPr>
          <w:rFonts w:ascii="Times New Roman" w:eastAsia="Times New Roman" w:hAnsi="Times New Roman" w:cs="Times New Roman"/>
          <w:sz w:val="28"/>
          <w:szCs w:val="24"/>
          <w:lang w:eastAsia="ru-RU"/>
        </w:rPr>
        <w:t>5</w:t>
      </w:r>
      <w:r w:rsidRPr="00524476">
        <w:rPr>
          <w:rFonts w:ascii="Times New Roman" w:eastAsia="Times New Roman" w:hAnsi="Times New Roman" w:cs="Times New Roman"/>
          <w:sz w:val="28"/>
          <w:szCs w:val="24"/>
          <w:lang w:eastAsia="ru-RU"/>
        </w:rPr>
        <w:t xml:space="preserve"> объектов произведены:</w:t>
      </w:r>
    </w:p>
    <w:p w14:paraId="6B3C9F0A" w14:textId="10CD9590"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4"/>
          <w:lang w:eastAsia="ru-RU"/>
        </w:rPr>
        <w:t>-</w:t>
      </w:r>
      <w:r w:rsidRPr="00524476">
        <w:rPr>
          <w:rFonts w:ascii="Times New Roman" w:eastAsia="Times New Roman" w:hAnsi="Times New Roman" w:cs="Times New Roman"/>
          <w:sz w:val="28"/>
          <w:szCs w:val="28"/>
          <w:lang w:eastAsia="ru-RU"/>
        </w:rPr>
        <w:t xml:space="preserve"> социальная сфера на 19</w:t>
      </w:r>
      <w:r w:rsidR="00BE0A1C">
        <w:rPr>
          <w:rFonts w:ascii="Times New Roman" w:eastAsia="Times New Roman" w:hAnsi="Times New Roman" w:cs="Times New Roman"/>
          <w:sz w:val="28"/>
          <w:szCs w:val="28"/>
          <w:lang w:eastAsia="ru-RU"/>
        </w:rPr>
        <w:t>4</w:t>
      </w:r>
      <w:r w:rsidRPr="00524476">
        <w:rPr>
          <w:rFonts w:ascii="Times New Roman" w:eastAsia="Times New Roman" w:hAnsi="Times New Roman" w:cs="Times New Roman"/>
          <w:sz w:val="28"/>
          <w:szCs w:val="28"/>
          <w:lang w:eastAsia="ru-RU"/>
        </w:rPr>
        <w:t xml:space="preserve"> объекта (</w:t>
      </w:r>
      <w:r w:rsidR="00BE0A1C">
        <w:rPr>
          <w:rFonts w:ascii="Times New Roman" w:eastAsia="Times New Roman" w:hAnsi="Times New Roman" w:cs="Times New Roman"/>
          <w:sz w:val="28"/>
          <w:szCs w:val="28"/>
          <w:lang w:eastAsia="ru-RU"/>
        </w:rPr>
        <w:t>90,2</w:t>
      </w:r>
      <w:r w:rsidRPr="00524476">
        <w:rPr>
          <w:rFonts w:ascii="Times New Roman" w:eastAsia="Times New Roman" w:hAnsi="Times New Roman" w:cs="Times New Roman"/>
          <w:sz w:val="28"/>
          <w:szCs w:val="28"/>
          <w:lang w:eastAsia="ru-RU"/>
        </w:rPr>
        <w:t xml:space="preserve"> %) – 7 465 976,0 тыс. рублей, что составляет 51,2 % от объема финансирования; </w:t>
      </w:r>
    </w:p>
    <w:p w14:paraId="0FAE2624"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8"/>
          <w:lang w:eastAsia="ru-RU"/>
        </w:rPr>
        <w:t>- жилищно-коммунальное хозяйство на 124 объекта (81,6 % от профинансированных 152 объектов) – 2 768 276,0</w:t>
      </w:r>
      <w:r w:rsidRPr="00524476">
        <w:rPr>
          <w:rFonts w:ascii="Times New Roman" w:eastAsia="Times New Roman" w:hAnsi="Times New Roman" w:cs="Times New Roman"/>
          <w:sz w:val="28"/>
          <w:szCs w:val="24"/>
          <w:lang w:eastAsia="ru-RU"/>
        </w:rPr>
        <w:t xml:space="preserve"> тыс. рублей, что составляет 80,0 % от объема финансирования;</w:t>
      </w:r>
    </w:p>
    <w:p w14:paraId="26F9EEF3"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4"/>
          <w:lang w:eastAsia="ru-RU"/>
        </w:rPr>
        <w:lastRenderedPageBreak/>
        <w:t>- прочие расходы по 7 объектам (2</w:t>
      </w:r>
      <w:r w:rsidRPr="00524476">
        <w:rPr>
          <w:rFonts w:ascii="Times New Roman" w:eastAsia="Times New Roman" w:hAnsi="Times New Roman" w:cs="Times New Roman"/>
          <w:sz w:val="28"/>
          <w:szCs w:val="28"/>
          <w:lang w:eastAsia="ru-RU"/>
        </w:rPr>
        <w:t>1,2 % от профинансированных 33 объектов</w:t>
      </w:r>
      <w:r w:rsidRPr="00524476">
        <w:rPr>
          <w:rFonts w:ascii="Times New Roman" w:eastAsia="Times New Roman" w:hAnsi="Times New Roman" w:cs="Times New Roman"/>
          <w:sz w:val="28"/>
          <w:szCs w:val="24"/>
          <w:lang w:eastAsia="ru-RU"/>
        </w:rPr>
        <w:t xml:space="preserve">) – 119 309,0 тыс. рублей, что составляет 29,6 % от объема финансирования. </w:t>
      </w:r>
    </w:p>
    <w:p w14:paraId="5D5098C6"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По итогам финансового года не использованный остаток средств составил 8 083 711,3 тыс. рублей, или 43,8 % от объема финансирования, в том числе</w:t>
      </w:r>
      <w:r w:rsidRPr="00524476">
        <w:rPr>
          <w:rFonts w:ascii="Times New Roman" w:eastAsia="Times New Roman" w:hAnsi="Times New Roman" w:cs="Times New Roman"/>
          <w:sz w:val="28"/>
          <w:szCs w:val="28"/>
          <w:lang w:eastAsia="ru-RU"/>
        </w:rPr>
        <w:t xml:space="preserve"> по направлениям (сферам):</w:t>
      </w:r>
    </w:p>
    <w:p w14:paraId="7801BC1E"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4"/>
          <w:lang w:eastAsia="ru-RU"/>
        </w:rPr>
        <w:t>-</w:t>
      </w:r>
      <w:r w:rsidRPr="00524476">
        <w:rPr>
          <w:rFonts w:ascii="Times New Roman" w:eastAsia="Times New Roman" w:hAnsi="Times New Roman" w:cs="Times New Roman"/>
          <w:sz w:val="28"/>
          <w:szCs w:val="28"/>
          <w:lang w:eastAsia="ru-RU"/>
        </w:rPr>
        <w:t xml:space="preserve"> социальная сфера – 7 108 891,5 тыс. рублей, или 48,8 % от </w:t>
      </w:r>
      <w:r w:rsidRPr="00524476">
        <w:rPr>
          <w:rFonts w:ascii="Times New Roman" w:eastAsia="Times New Roman" w:hAnsi="Times New Roman" w:cs="Times New Roman"/>
          <w:bCs/>
          <w:sz w:val="28"/>
          <w:szCs w:val="28"/>
          <w:lang w:eastAsia="ru-RU"/>
        </w:rPr>
        <w:t>объема финансирования</w:t>
      </w:r>
      <w:r w:rsidRPr="00524476">
        <w:rPr>
          <w:rFonts w:ascii="Times New Roman" w:eastAsia="Times New Roman" w:hAnsi="Times New Roman" w:cs="Times New Roman"/>
          <w:sz w:val="28"/>
          <w:szCs w:val="28"/>
          <w:lang w:eastAsia="ru-RU"/>
        </w:rPr>
        <w:t>;</w:t>
      </w:r>
    </w:p>
    <w:p w14:paraId="759AC315"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sz w:val="28"/>
          <w:szCs w:val="28"/>
          <w:lang w:eastAsia="ru-RU"/>
        </w:rPr>
        <w:t>- жилищно-коммунальное хозяйство – 691 841,1</w:t>
      </w:r>
      <w:r w:rsidRPr="00524476">
        <w:rPr>
          <w:rFonts w:ascii="Times New Roman" w:eastAsia="Times New Roman" w:hAnsi="Times New Roman" w:cs="Times New Roman"/>
          <w:sz w:val="28"/>
          <w:szCs w:val="24"/>
          <w:lang w:eastAsia="ru-RU"/>
        </w:rPr>
        <w:t xml:space="preserve"> тыс. рублей, или </w:t>
      </w:r>
      <w:r w:rsidRPr="00524476">
        <w:rPr>
          <w:rFonts w:ascii="Times New Roman" w:eastAsia="Times New Roman" w:hAnsi="Times New Roman" w:cs="Times New Roman"/>
          <w:sz w:val="28"/>
          <w:szCs w:val="24"/>
          <w:lang w:eastAsia="ru-RU"/>
        </w:rPr>
        <w:br/>
        <w:t xml:space="preserve">19,9 % </w:t>
      </w:r>
      <w:r w:rsidRPr="00524476">
        <w:rPr>
          <w:rFonts w:ascii="Times New Roman" w:eastAsia="Times New Roman" w:hAnsi="Times New Roman" w:cs="Times New Roman"/>
          <w:sz w:val="28"/>
          <w:szCs w:val="28"/>
          <w:lang w:eastAsia="ru-RU"/>
        </w:rPr>
        <w:t xml:space="preserve">от </w:t>
      </w:r>
      <w:r w:rsidRPr="00524476">
        <w:rPr>
          <w:rFonts w:ascii="Times New Roman" w:eastAsia="Times New Roman" w:hAnsi="Times New Roman" w:cs="Times New Roman"/>
          <w:bCs/>
          <w:sz w:val="28"/>
          <w:szCs w:val="28"/>
          <w:lang w:eastAsia="ru-RU"/>
        </w:rPr>
        <w:t>объема финансирования;</w:t>
      </w:r>
    </w:p>
    <w:p w14:paraId="4D3AE3F4"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Cs/>
          <w:sz w:val="28"/>
          <w:szCs w:val="28"/>
          <w:lang w:eastAsia="ru-RU"/>
        </w:rPr>
        <w:t>- прочие расходы – 282 978,6 тыс. рублей, или 70,3 % от объема финансирования</w:t>
      </w:r>
      <w:r w:rsidRPr="00524476">
        <w:rPr>
          <w:rFonts w:ascii="Times New Roman" w:eastAsia="Times New Roman" w:hAnsi="Times New Roman" w:cs="Times New Roman"/>
          <w:sz w:val="28"/>
          <w:szCs w:val="24"/>
          <w:lang w:eastAsia="ru-RU"/>
        </w:rPr>
        <w:t>.</w:t>
      </w:r>
    </w:p>
    <w:p w14:paraId="6747F40F"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В соответствии со статьей 242 Бюджетного кодекса Российской Федерации не использованный остаток средств в сумме </w:t>
      </w:r>
      <w:r w:rsidRPr="00524476">
        <w:rPr>
          <w:rFonts w:ascii="Times New Roman" w:eastAsia="Times New Roman" w:hAnsi="Times New Roman" w:cs="Times New Roman"/>
          <w:bCs/>
          <w:sz w:val="28"/>
          <w:szCs w:val="28"/>
          <w:lang w:eastAsia="ru-RU"/>
        </w:rPr>
        <w:t xml:space="preserve">8 083 711,2 </w:t>
      </w:r>
      <w:r w:rsidRPr="00524476">
        <w:rPr>
          <w:rFonts w:ascii="Times New Roman" w:eastAsia="Times New Roman" w:hAnsi="Times New Roman" w:cs="Times New Roman"/>
          <w:sz w:val="28"/>
          <w:szCs w:val="28"/>
          <w:lang w:eastAsia="ru-RU"/>
        </w:rPr>
        <w:t>тыс. рублей государственными заказчиками в установленном порядке возвращен в доход республиканского бюджета Республики Дагестан.</w:t>
      </w:r>
    </w:p>
    <w:p w14:paraId="4E6ADD48" w14:textId="488AD8B9"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соответствии с пунктом 35 постановления Правительства Республики Дагестан от 1 июня 2021 г</w:t>
      </w:r>
      <w:r>
        <w:rPr>
          <w:rFonts w:ascii="Times New Roman" w:eastAsia="Times New Roman" w:hAnsi="Times New Roman" w:cs="Times New Roman"/>
          <w:sz w:val="28"/>
          <w:szCs w:val="28"/>
          <w:lang w:eastAsia="ru-RU"/>
        </w:rPr>
        <w:t>ода</w:t>
      </w:r>
      <w:r w:rsidRPr="00524476">
        <w:rPr>
          <w:rFonts w:ascii="Times New Roman" w:eastAsia="Times New Roman" w:hAnsi="Times New Roman" w:cs="Times New Roman"/>
          <w:sz w:val="28"/>
          <w:szCs w:val="28"/>
          <w:lang w:eastAsia="ru-RU"/>
        </w:rPr>
        <w:t xml:space="preserve"> № 125 «Об утверждении положения о Порядке формирования, реализации и финансирования республиканской инвестиционной программы» (далее – Положение), заказчики представляют главному распорядителю бюджетных средств (ГРБС) бухгалтерскую и иную отчетность об использовании средств республиканского бюджета Республики Дагестан в порядке и в сроки, установленные ГРБС.</w:t>
      </w:r>
    </w:p>
    <w:p w14:paraId="74B7FA54"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соответствии с подпунктом 1) пункта 36 Положения, ГРБС ежемесячно рассматривает и анализирует представленную отчетность о выполненных и профинансированных объемах работ за отчетный период и согласно подпункта 3) представляет ежемесячно, не позднее 5 числа месяца, следующего за отчетным, отчет о ходе выполнения работ (услуг) на стройках и объектах, включенных в Программу, в Министерство экономики и территориального развития Республики Дагестан.</w:t>
      </w:r>
    </w:p>
    <w:p w14:paraId="510B6D4A"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соответствии с пунктом 38 Положения, Министерство экономики и территориального развития Республики Дагестан в установленном порядке представляет в Правительство Республики Дагестан ежемесячно, не позднее 10 числе месяца, следующим за отчетным, отчет о ходе реализации Программы.</w:t>
      </w:r>
    </w:p>
    <w:p w14:paraId="3E6C84A1" w14:textId="77777777" w:rsidR="00524476" w:rsidRPr="00524476" w:rsidRDefault="00524476" w:rsidP="007C1F98">
      <w:pPr>
        <w:widowControl w:val="0"/>
        <w:spacing w:after="1"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Однако, в отчете о ходе реализации Программы за 2021 год, представленном Министерством экономики и территориального развития Республики Дагестан, не содержится информация об объемах выполненных работ в денежном выражении на стройках и объектах, включенных в РИП, что не позволяет проанализировать уровень освоения (объем выполненных работ) выделенных средств и выполнение запланированных показателей.</w:t>
      </w:r>
    </w:p>
    <w:p w14:paraId="6428D8AC" w14:textId="77777777" w:rsidR="00524476" w:rsidRPr="00524476" w:rsidRDefault="00524476" w:rsidP="00524476">
      <w:pPr>
        <w:widowControl w:val="0"/>
        <w:spacing w:after="1" w:line="240" w:lineRule="auto"/>
        <w:ind w:firstLine="709"/>
        <w:jc w:val="both"/>
        <w:rPr>
          <w:rFonts w:ascii="Times New Roman" w:eastAsia="Times New Roman" w:hAnsi="Times New Roman" w:cs="Times New Roman"/>
          <w:sz w:val="28"/>
          <w:szCs w:val="28"/>
          <w:lang w:eastAsia="ru-RU"/>
        </w:rPr>
      </w:pPr>
    </w:p>
    <w:p w14:paraId="0E0D2391" w14:textId="77777777" w:rsidR="00524476" w:rsidRPr="00524476" w:rsidRDefault="00524476" w:rsidP="00524476">
      <w:pPr>
        <w:widowControl w:val="0"/>
        <w:tabs>
          <w:tab w:val="left" w:pos="9356"/>
        </w:tabs>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524476">
        <w:rPr>
          <w:rFonts w:ascii="Times New Roman" w:eastAsia="Times New Roman" w:hAnsi="Times New Roman" w:cs="Times New Roman"/>
          <w:b/>
          <w:color w:val="002060"/>
          <w:sz w:val="28"/>
          <w:szCs w:val="28"/>
          <w:lang w:eastAsia="ru-RU"/>
        </w:rPr>
        <w:lastRenderedPageBreak/>
        <w:t xml:space="preserve">Структура расходов </w:t>
      </w:r>
    </w:p>
    <w:p w14:paraId="291A266D" w14:textId="77777777" w:rsidR="00524476" w:rsidRPr="00524476" w:rsidRDefault="00524476" w:rsidP="00524476">
      <w:pPr>
        <w:widowControl w:val="0"/>
        <w:tabs>
          <w:tab w:val="left" w:pos="9356"/>
        </w:tabs>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524476">
        <w:rPr>
          <w:rFonts w:ascii="Times New Roman" w:eastAsia="Times New Roman" w:hAnsi="Times New Roman" w:cs="Times New Roman"/>
          <w:b/>
          <w:color w:val="002060"/>
          <w:sz w:val="28"/>
          <w:szCs w:val="28"/>
          <w:lang w:eastAsia="ru-RU"/>
        </w:rPr>
        <w:t xml:space="preserve">Республиканской инвестиционной программы </w:t>
      </w:r>
    </w:p>
    <w:p w14:paraId="6B40F8A4" w14:textId="77777777" w:rsidR="00524476" w:rsidRPr="00524476" w:rsidRDefault="00524476" w:rsidP="00524476">
      <w:pPr>
        <w:widowControl w:val="0"/>
        <w:tabs>
          <w:tab w:val="left" w:pos="9356"/>
        </w:tabs>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368F8BA3" w14:textId="77777777" w:rsidR="00524476" w:rsidRPr="00524476" w:rsidRDefault="00524476" w:rsidP="00524476">
      <w:pPr>
        <w:widowControl w:val="0"/>
        <w:tabs>
          <w:tab w:val="left" w:pos="9356"/>
        </w:tab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4"/>
          <w:szCs w:val="24"/>
          <w:lang w:eastAsia="ru-RU"/>
        </w:rPr>
        <w:t>млн. рублей</w:t>
      </w:r>
      <w:r w:rsidRPr="00524476">
        <w:rPr>
          <w:noProof/>
          <w:lang w:eastAsia="ru-RU"/>
        </w:rPr>
        <w:drawing>
          <wp:inline distT="0" distB="0" distL="0" distR="0" wp14:anchorId="37A71ECA" wp14:editId="55F08F86">
            <wp:extent cx="5940425" cy="3000375"/>
            <wp:effectExtent l="0" t="0" r="3175" b="0"/>
            <wp:docPr id="6" name="Диаграмма 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ECC0F6" w14:textId="23B5FDD8" w:rsidR="00524476" w:rsidRPr="00046DC9"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Сведения о финансировании и исполнении мероприятий РИП в 2021 году приведены в </w:t>
      </w:r>
      <w:r w:rsidRPr="00164A7B">
        <w:rPr>
          <w:rFonts w:ascii="Times New Roman" w:eastAsia="Times New Roman" w:hAnsi="Times New Roman" w:cs="Times New Roman"/>
          <w:b/>
          <w:bCs/>
          <w:color w:val="002060"/>
          <w:sz w:val="28"/>
          <w:szCs w:val="28"/>
          <w:lang w:eastAsia="ru-RU"/>
        </w:rPr>
        <w:t>Приложении</w:t>
      </w:r>
      <w:r w:rsidR="00046DC9">
        <w:rPr>
          <w:rFonts w:ascii="Times New Roman" w:eastAsia="Times New Roman" w:hAnsi="Times New Roman" w:cs="Times New Roman"/>
          <w:b/>
          <w:bCs/>
          <w:color w:val="002060"/>
          <w:sz w:val="28"/>
          <w:szCs w:val="28"/>
          <w:lang w:eastAsia="ru-RU"/>
        </w:rPr>
        <w:t xml:space="preserve"> № 1 </w:t>
      </w:r>
      <w:r w:rsidR="00046DC9" w:rsidRPr="00046DC9">
        <w:rPr>
          <w:rFonts w:ascii="Times New Roman" w:eastAsia="Times New Roman" w:hAnsi="Times New Roman" w:cs="Times New Roman"/>
          <w:sz w:val="28"/>
          <w:szCs w:val="28"/>
          <w:lang w:eastAsia="ru-RU"/>
        </w:rPr>
        <w:t>к Заключению</w:t>
      </w:r>
      <w:r w:rsidR="00E76CCD" w:rsidRPr="00046DC9">
        <w:rPr>
          <w:rFonts w:ascii="Times New Roman" w:eastAsia="Times New Roman" w:hAnsi="Times New Roman" w:cs="Times New Roman"/>
          <w:sz w:val="28"/>
          <w:szCs w:val="28"/>
          <w:lang w:eastAsia="ru-RU"/>
        </w:rPr>
        <w:t>.</w:t>
      </w:r>
    </w:p>
    <w:p w14:paraId="04B3618E"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bCs/>
          <w:color w:val="002060"/>
          <w:sz w:val="28"/>
          <w:szCs w:val="24"/>
          <w:lang w:eastAsia="ru-RU"/>
        </w:rPr>
        <w:t>5.3.</w:t>
      </w:r>
      <w:r w:rsidRPr="00524476">
        <w:rPr>
          <w:rFonts w:ascii="Times New Roman" w:eastAsia="Times New Roman" w:hAnsi="Times New Roman" w:cs="Times New Roman"/>
          <w:color w:val="002060"/>
          <w:sz w:val="28"/>
          <w:szCs w:val="24"/>
          <w:lang w:eastAsia="ru-RU"/>
        </w:rPr>
        <w:t xml:space="preserve"> </w:t>
      </w:r>
      <w:r w:rsidRPr="00524476">
        <w:rPr>
          <w:rFonts w:ascii="Times New Roman" w:eastAsia="Times New Roman" w:hAnsi="Times New Roman" w:cs="Times New Roman"/>
          <w:sz w:val="28"/>
          <w:szCs w:val="24"/>
          <w:lang w:eastAsia="ru-RU"/>
        </w:rPr>
        <w:t xml:space="preserve">В составе РИП на 2021 год профинансированы расходы на разработку проектно-сметной документации (ПСД) по 41 объекту в сумме 476 559,1 тыс. рублей. Кассовое расходы осуществлены по 14 объектам в сумме 108 898,8 тыс. рублей, или 34,1 % от объема финансирования. Неиспользованный остаток составил 367 660,3 тыс. рублей. </w:t>
      </w:r>
    </w:p>
    <w:p w14:paraId="70B2434C"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4"/>
          <w:lang w:eastAsia="ru-RU"/>
        </w:rPr>
        <w:t xml:space="preserve">Профинансированные расходы (476 559,1 тыс. рублей) на разработку ПСД по 41 объекту направлены: </w:t>
      </w:r>
    </w:p>
    <w:p w14:paraId="01CCBC17"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4"/>
          <w:lang w:eastAsia="ru-RU"/>
        </w:rPr>
        <w:t xml:space="preserve">- на 2 объекта, начатых в 2008 году – 105 313,3 тыс. рублей, при кассовом исполнении по 1 объекту в сумме 22 058,1 тыс. рублей; </w:t>
      </w:r>
    </w:p>
    <w:p w14:paraId="26586D0A"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sz w:val="28"/>
          <w:szCs w:val="24"/>
          <w:lang w:eastAsia="ru-RU"/>
        </w:rPr>
        <w:t>- на 39 объектов, проектирование которых на начало строительства и реконструкцию начато в 2021 году – 371 245,8 тыс. рублей, при кассовом исполнении по 13 объектам в сумме 86 840,7 тыс. рублей.</w:t>
      </w:r>
    </w:p>
    <w:p w14:paraId="295BD255"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color w:val="002060"/>
          <w:sz w:val="28"/>
          <w:szCs w:val="24"/>
          <w:lang w:eastAsia="ru-RU"/>
        </w:rPr>
        <w:t>5.3.1.</w:t>
      </w:r>
      <w:r w:rsidRPr="00524476">
        <w:rPr>
          <w:rFonts w:ascii="Times New Roman" w:eastAsia="Times New Roman" w:hAnsi="Times New Roman" w:cs="Times New Roman"/>
          <w:color w:val="002060"/>
          <w:sz w:val="28"/>
          <w:szCs w:val="24"/>
          <w:lang w:eastAsia="ru-RU"/>
        </w:rPr>
        <w:t xml:space="preserve"> </w:t>
      </w:r>
      <w:r w:rsidRPr="00524476">
        <w:rPr>
          <w:rFonts w:ascii="Times New Roman" w:eastAsia="Times New Roman" w:hAnsi="Times New Roman" w:cs="Times New Roman"/>
          <w:sz w:val="28"/>
          <w:szCs w:val="24"/>
          <w:lang w:eastAsia="ru-RU"/>
        </w:rPr>
        <w:t>В разрезе отраслей затраты на разработку ПСД произведены по следующим объектам:</w:t>
      </w:r>
    </w:p>
    <w:p w14:paraId="42A0CC1D"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bCs/>
          <w:color w:val="002060"/>
          <w:sz w:val="28"/>
          <w:szCs w:val="24"/>
          <w:lang w:eastAsia="ru-RU"/>
        </w:rPr>
        <w:t xml:space="preserve">1) </w:t>
      </w:r>
      <w:r w:rsidRPr="00524476">
        <w:rPr>
          <w:rFonts w:ascii="Times New Roman" w:eastAsia="Times New Roman" w:hAnsi="Times New Roman" w:cs="Times New Roman"/>
          <w:bCs/>
          <w:sz w:val="28"/>
          <w:szCs w:val="24"/>
          <w:lang w:eastAsia="ru-RU"/>
        </w:rPr>
        <w:t>здравоохранение</w:t>
      </w:r>
      <w:r w:rsidRPr="00524476">
        <w:rPr>
          <w:rFonts w:ascii="Times New Roman" w:eastAsia="Times New Roman" w:hAnsi="Times New Roman" w:cs="Times New Roman"/>
          <w:b/>
          <w:bCs/>
          <w:color w:val="002060"/>
          <w:sz w:val="28"/>
          <w:szCs w:val="24"/>
          <w:lang w:eastAsia="ru-RU"/>
        </w:rPr>
        <w:t xml:space="preserve"> </w:t>
      </w:r>
      <w:r w:rsidRPr="00524476">
        <w:rPr>
          <w:rFonts w:ascii="Times New Roman" w:eastAsia="Times New Roman" w:hAnsi="Times New Roman" w:cs="Times New Roman"/>
          <w:sz w:val="28"/>
          <w:szCs w:val="24"/>
          <w:lang w:eastAsia="ru-RU"/>
        </w:rPr>
        <w:t>– при профинансированных средствах на 2 объекта в сумме 6 566,2 тыс. рублей кассовое исполнение произведено на 100 %;</w:t>
      </w:r>
    </w:p>
    <w:p w14:paraId="2DC34815"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bCs/>
          <w:color w:val="002060"/>
          <w:sz w:val="28"/>
          <w:szCs w:val="24"/>
          <w:lang w:eastAsia="ru-RU"/>
        </w:rPr>
        <w:t>2)</w:t>
      </w:r>
      <w:r w:rsidRPr="00524476">
        <w:rPr>
          <w:rFonts w:ascii="Times New Roman" w:eastAsia="Times New Roman" w:hAnsi="Times New Roman" w:cs="Times New Roman"/>
          <w:color w:val="002060"/>
          <w:sz w:val="28"/>
          <w:szCs w:val="24"/>
          <w:lang w:eastAsia="ru-RU"/>
        </w:rPr>
        <w:t xml:space="preserve"> </w:t>
      </w:r>
      <w:r w:rsidRPr="00524476">
        <w:rPr>
          <w:rFonts w:ascii="Times New Roman" w:eastAsia="Times New Roman" w:hAnsi="Times New Roman" w:cs="Times New Roman"/>
          <w:sz w:val="28"/>
          <w:szCs w:val="24"/>
          <w:lang w:eastAsia="ru-RU"/>
        </w:rPr>
        <w:t>физическая культура и спорт – при профинансированных средства на 1 объект в сумме 14 517,9 тыс. рублей кассовое исполнение кассовое исполнение произведено на 100 %;</w:t>
      </w:r>
    </w:p>
    <w:p w14:paraId="37B11569" w14:textId="77777777" w:rsidR="00524476" w:rsidRPr="00524476" w:rsidRDefault="00524476" w:rsidP="00524476">
      <w:pPr>
        <w:spacing w:after="1" w:line="280" w:lineRule="atLeas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bCs/>
          <w:color w:val="002060"/>
          <w:sz w:val="28"/>
          <w:szCs w:val="24"/>
          <w:lang w:eastAsia="ru-RU"/>
        </w:rPr>
        <w:t>3)</w:t>
      </w:r>
      <w:r w:rsidRPr="00524476">
        <w:rPr>
          <w:rFonts w:ascii="Times New Roman" w:eastAsia="Times New Roman" w:hAnsi="Times New Roman" w:cs="Times New Roman"/>
          <w:color w:val="0070C0"/>
          <w:sz w:val="28"/>
          <w:szCs w:val="24"/>
          <w:lang w:eastAsia="ru-RU"/>
        </w:rPr>
        <w:t xml:space="preserve"> </w:t>
      </w:r>
      <w:r w:rsidRPr="00524476">
        <w:rPr>
          <w:rFonts w:ascii="Times New Roman" w:eastAsia="Times New Roman" w:hAnsi="Times New Roman" w:cs="Times New Roman"/>
          <w:sz w:val="28"/>
          <w:szCs w:val="24"/>
          <w:lang w:eastAsia="ru-RU"/>
        </w:rPr>
        <w:t>водоснабжение – при профинансированных средствах на 7 объектов в сумме 102 582,6 тыс. рублей кассовые расходы произведены по 6 объектам в сумме 21 657,7 тыс. рублей, или 21,1 % от объема финансирования. Остаток неиспользованных средств составил 80 924,93 тыс. рублей;</w:t>
      </w:r>
    </w:p>
    <w:p w14:paraId="1F8F376F" w14:textId="77777777" w:rsidR="00524476" w:rsidRPr="00524476" w:rsidRDefault="00524476" w:rsidP="00803588">
      <w:pPr>
        <w:spacing w:after="0" w:line="356"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color w:val="002060"/>
          <w:sz w:val="28"/>
          <w:szCs w:val="24"/>
          <w:lang w:eastAsia="ru-RU"/>
        </w:rPr>
        <w:lastRenderedPageBreak/>
        <w:t>4)</w:t>
      </w:r>
      <w:r w:rsidRPr="00524476">
        <w:rPr>
          <w:rFonts w:ascii="Times New Roman" w:eastAsia="Times New Roman" w:hAnsi="Times New Roman" w:cs="Times New Roman"/>
          <w:color w:val="002060"/>
          <w:sz w:val="28"/>
          <w:szCs w:val="24"/>
          <w:lang w:eastAsia="ru-RU"/>
        </w:rPr>
        <w:t xml:space="preserve"> </w:t>
      </w:r>
      <w:r w:rsidRPr="00524476">
        <w:rPr>
          <w:rFonts w:ascii="Times New Roman" w:eastAsia="Times New Roman" w:hAnsi="Times New Roman" w:cs="Times New Roman"/>
          <w:sz w:val="28"/>
          <w:szCs w:val="24"/>
          <w:lang w:eastAsia="ru-RU"/>
        </w:rPr>
        <w:t>водоотведение – при профинансированных средствах на 5 объектов в сумме 119 829,1 тыс. рублей кассовые расходы произведены по 1 объекту в сумме 22 058,1 тыс. рублей, или 18,4 % от объема финансирования. Остаток неиспользованных средств составил 97 771,0 тыс. рублей;</w:t>
      </w:r>
    </w:p>
    <w:p w14:paraId="544E7271" w14:textId="77777777" w:rsidR="00524476" w:rsidRPr="00524476" w:rsidRDefault="00524476" w:rsidP="00803588">
      <w:pPr>
        <w:widowControl w:val="0"/>
        <w:spacing w:after="0" w:line="356"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bCs/>
          <w:color w:val="002060"/>
          <w:sz w:val="28"/>
          <w:szCs w:val="24"/>
          <w:lang w:eastAsia="ru-RU"/>
        </w:rPr>
        <w:t>5)</w:t>
      </w:r>
      <w:r w:rsidRPr="00524476">
        <w:rPr>
          <w:rFonts w:ascii="Times New Roman" w:eastAsia="Times New Roman" w:hAnsi="Times New Roman" w:cs="Times New Roman"/>
          <w:color w:val="0070C0"/>
          <w:sz w:val="28"/>
          <w:szCs w:val="24"/>
          <w:lang w:eastAsia="ru-RU"/>
        </w:rPr>
        <w:t xml:space="preserve"> </w:t>
      </w:r>
      <w:r w:rsidRPr="00524476">
        <w:rPr>
          <w:rFonts w:ascii="Times New Roman" w:eastAsia="Times New Roman" w:hAnsi="Times New Roman" w:cs="Times New Roman"/>
          <w:sz w:val="28"/>
          <w:szCs w:val="24"/>
          <w:lang w:eastAsia="ru-RU"/>
        </w:rPr>
        <w:t xml:space="preserve">прочие объекты – из профинансированных расходов на 26 объектов в сумме 233 073,2 тыс. рублей (из них резерв на обеспечение участия в мероприятиях федеральных программ по 21 объектам в сумме 104 096,9 тыс. рублей, которые не были использованы) кассовые расходы произведены по 4 объектам на сумму 44 108,9 тыс. рублей, или 18,9 % от объема финансирования. Остаток неиспользованных средств составил 188 964,3 тыс. рублей. </w:t>
      </w:r>
    </w:p>
    <w:p w14:paraId="0C6C0FBE" w14:textId="08A6E4EF" w:rsidR="00524476" w:rsidRPr="00524476" w:rsidRDefault="00524476" w:rsidP="00803588">
      <w:pPr>
        <w:spacing w:after="0" w:line="356" w:lineRule="exact"/>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color w:val="002060"/>
          <w:sz w:val="28"/>
          <w:szCs w:val="24"/>
          <w:lang w:eastAsia="ru-RU"/>
        </w:rPr>
        <w:t>5.3.2.</w:t>
      </w:r>
      <w:r w:rsidRPr="00524476">
        <w:rPr>
          <w:rFonts w:ascii="Times New Roman" w:eastAsia="Times New Roman" w:hAnsi="Times New Roman" w:cs="Times New Roman"/>
          <w:b/>
          <w:color w:val="44546A" w:themeColor="text2"/>
          <w:sz w:val="28"/>
          <w:szCs w:val="24"/>
          <w:lang w:eastAsia="ru-RU"/>
        </w:rPr>
        <w:t xml:space="preserve"> </w:t>
      </w:r>
      <w:r w:rsidRPr="00524476">
        <w:rPr>
          <w:rFonts w:ascii="Times New Roman" w:eastAsia="Times New Roman" w:hAnsi="Times New Roman" w:cs="Times New Roman"/>
          <w:sz w:val="28"/>
          <w:szCs w:val="24"/>
          <w:lang w:eastAsia="ru-RU"/>
        </w:rPr>
        <w:t>Проведенный анализ показал, что из 165 объектов, включенных в перечень Программы на 2021 год с одновременным строительством и разработкой ПСД с объемом финансирования в сумме 3 284 984,2 тыс. рублей, только на разработку ПСД без проведения планируемых строительных работ произведено финансирование по 73 объектам на сумму 66 426,0 тыс. рублей при кассовом исполнении по 49 объектам в сумме 23 890,25 тыс. рублей.</w:t>
      </w:r>
    </w:p>
    <w:p w14:paraId="28A4A2A6" w14:textId="77777777" w:rsidR="00524476" w:rsidRPr="00524476" w:rsidRDefault="00524476" w:rsidP="00803588">
      <w:pPr>
        <w:spacing w:after="0" w:line="356" w:lineRule="exact"/>
        <w:ind w:firstLine="709"/>
        <w:jc w:val="both"/>
        <w:rPr>
          <w:rFonts w:ascii="Times New Roman" w:eastAsia="Times New Roman" w:hAnsi="Times New Roman" w:cs="Times New Roman"/>
          <w:b/>
          <w:color w:val="44546A" w:themeColor="text2"/>
          <w:sz w:val="28"/>
          <w:szCs w:val="24"/>
          <w:lang w:eastAsia="ru-RU"/>
        </w:rPr>
      </w:pPr>
      <w:r w:rsidRPr="00524476">
        <w:rPr>
          <w:rFonts w:ascii="Times New Roman" w:eastAsia="Times New Roman" w:hAnsi="Times New Roman" w:cs="Times New Roman"/>
          <w:sz w:val="28"/>
          <w:szCs w:val="24"/>
          <w:lang w:eastAsia="ru-RU"/>
        </w:rPr>
        <w:t xml:space="preserve">Таким образом, общий объем финансирования на разработку ПСД осуществлен по 114 объектам (41 + 73) на сумму 542 985,1 тыс. рублей при кассовом исполнении по 63 объектам (14 + 49) на сумму 132 789,0 тыс. рублей (24,45 % от финансирования). </w:t>
      </w:r>
    </w:p>
    <w:p w14:paraId="4F007DBD" w14:textId="77777777" w:rsidR="00524476" w:rsidRPr="00524476" w:rsidRDefault="00524476" w:rsidP="00803588">
      <w:pPr>
        <w:spacing w:after="0" w:line="356"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8"/>
          <w:szCs w:val="28"/>
          <w:lang w:eastAsia="ru-RU"/>
        </w:rPr>
        <w:t>5.4.</w:t>
      </w:r>
      <w:r w:rsidRPr="00524476">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 xml:space="preserve">В 2021 году средства, выделенные из федерального бюджета в виде субсидий в сумме 11 173 200,02 тыс. рублей (60,6 % от общего объема финансирования), при кассовом исполнении в сумме 5 578 748,5 тыс. рублей, или 49,9 % от объема финансирования, были использованы на реализацию мероприятий по строительству 120 объектов в рамках 7 государственных программ Российской Федерации: </w:t>
      </w:r>
    </w:p>
    <w:p w14:paraId="60E4A7C8" w14:textId="77777777" w:rsidR="00524476" w:rsidRPr="00524476" w:rsidRDefault="00524476" w:rsidP="00803588">
      <w:pPr>
        <w:spacing w:after="0" w:line="356"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bCs/>
          <w:color w:val="002060"/>
          <w:sz w:val="28"/>
          <w:szCs w:val="28"/>
          <w:lang w:eastAsia="ru-RU"/>
        </w:rPr>
        <w:t>1)</w:t>
      </w:r>
      <w:r w:rsidRPr="00524476">
        <w:rPr>
          <w:rFonts w:ascii="Times New Roman" w:eastAsia="Times New Roman" w:hAnsi="Times New Roman" w:cs="Times New Roman"/>
          <w:sz w:val="28"/>
          <w:szCs w:val="28"/>
          <w:lang w:eastAsia="ru-RU"/>
        </w:rPr>
        <w:t xml:space="preserve"> «Развитие образования» (постановление Правительства Российской Федерации от 26 декабря 2017 г. № 1642) на строительство 87 объектов – 8 509 410,4 тыс. рублей (30 школ на сумму 6 136 379,8 тыс. рублей и 57 детсадов на сумму 2 373 030,6 тыс. рублей), при кассовом исполнении по 84 объектам в сумме 3 109 576,69 тыс. рублей (28 школ на сумму 1 924 643,8 тыс. рублей и 56 детсадов на сумму 1 184 932,8 тыс. рублей), или 35,9 % от объема финансирования, из них на строительство:</w:t>
      </w:r>
    </w:p>
    <w:p w14:paraId="3F05819E" w14:textId="77777777" w:rsidR="00524476" w:rsidRPr="00524476" w:rsidRDefault="00524476" w:rsidP="00803588">
      <w:pPr>
        <w:spacing w:after="0" w:line="356"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- 1 школы в рамках мероприятия по созданию новых мест в общеобразовательных организациях, расположенных в сельской местности и поселках городского типа – 68 236,7 тыс. рублей, при кассовом исполнении в сумме 3 824,6 тыс. рублей, или 5,6 % от объема финансирования; </w:t>
      </w:r>
    </w:p>
    <w:p w14:paraId="514A5BB2" w14:textId="77777777" w:rsidR="00524476" w:rsidRPr="00524476" w:rsidRDefault="00524476" w:rsidP="00803588">
      <w:pPr>
        <w:spacing w:after="0" w:line="356"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- 2 школ в рамках мероприятия по содействию созданию в субъектах Российской Федерации (исходя из прогнозируемой потребности) новых мест </w:t>
      </w:r>
      <w:r w:rsidRPr="00524476">
        <w:rPr>
          <w:rFonts w:ascii="Times New Roman" w:eastAsia="Times New Roman" w:hAnsi="Times New Roman" w:cs="Times New Roman"/>
          <w:sz w:val="28"/>
          <w:szCs w:val="28"/>
          <w:lang w:eastAsia="ru-RU"/>
        </w:rPr>
        <w:lastRenderedPageBreak/>
        <w:t xml:space="preserve">в общеобразовательных организациях – 116 733,9 тыс. рублей, при кассовом исполнении в сумме 74 950,0 тыс. рублей, или 94,9 % от объема финансирования; </w:t>
      </w:r>
    </w:p>
    <w:p w14:paraId="2CAC9894"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- 24 школ в рамках мероприятия по созданию новых мест в общеобразовательных организациях в целях ликвидации третьей смены обучения и формирования условий для получения качественного образования – 5 263 003,7 тыс. рублей, при кассовом исполнении в сумме 1 770 426,6 тыс. рублей, или 33,6 % от объема финансирования;</w:t>
      </w:r>
    </w:p>
    <w:p w14:paraId="7466223B"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- 3 школ в рамках мероприятия по созданию новых мест в общеобразовательных организациях по созданию дополнительных мест в общеобразовательных организациях в связи с ростом числа обучающихся, вызванных демографическим фактором – 688 405,5 тыс. рублей, при кассовом исполнении по 1 объекту в сумме 75 442,5 тыс. рублей, или 10,9 % от объема финансирования;</w:t>
      </w:r>
    </w:p>
    <w:p w14:paraId="0D3C21AE"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- 20 детских садов в рамках мероприятий по созданию дополнительных мест для детей в возрасте от 2 месяцев до 3 лет в общеобразовательных организациях, осуществляющих образовательную деятельность по образовательным программам дошкольного образования – 201 253,5 тыс. рублей, при кассовом исполнении по 19 объектам в сумме 67 676,4 тыс. рублей, или 33,6 % от объема финансирования; </w:t>
      </w:r>
    </w:p>
    <w:p w14:paraId="56E4C795"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- 37 детских садов в рамках мероприятий по созданию дополнительных мест для детей в возрасте от 1,5 до 3 лет в общеобразовательных организациях, осуществляющих образовательную деятельность по образовательным программам дошкольного образования – 2 171 777,1 тыс. рублей, при кассовом исполнении в сумме 1 117 256,4 тыс. рублей, или </w:t>
      </w:r>
      <w:r w:rsidRPr="00524476">
        <w:rPr>
          <w:rFonts w:ascii="Times New Roman" w:eastAsia="Times New Roman" w:hAnsi="Times New Roman" w:cs="Times New Roman"/>
          <w:sz w:val="28"/>
          <w:szCs w:val="28"/>
          <w:lang w:eastAsia="ru-RU"/>
        </w:rPr>
        <w:br/>
        <w:t xml:space="preserve">51,4 % от объема финансирования; </w:t>
      </w:r>
    </w:p>
    <w:p w14:paraId="21C981E3"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bCs/>
          <w:color w:val="002060"/>
          <w:sz w:val="28"/>
          <w:szCs w:val="28"/>
          <w:lang w:eastAsia="ru-RU"/>
        </w:rPr>
        <w:t>2)</w:t>
      </w:r>
      <w:r w:rsidRPr="00524476">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«Комплексное развитие сельских территорий» (постановление Правительства Российской Федерации от 31 мая 2019 г. № 696) на строительство 12 объектов – 683 361,4 тыс. рублей, при кассовом исполнении в сумме 683 361,0 тыс. рублей, или 100 % от объема финансирования, в том числе на строительство:</w:t>
      </w:r>
    </w:p>
    <w:p w14:paraId="4A88A460"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- 2 школ – 443 449,4 тыс. рублей при 100 % кассовом исполнении;</w:t>
      </w:r>
    </w:p>
    <w:p w14:paraId="7716D894"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- 2 плоскостных спортивных сооружения – 10 078,0 тыс. рублей при 100 % кассовом исполнении;</w:t>
      </w:r>
    </w:p>
    <w:p w14:paraId="427FA093"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- 5 объектов газоснабжения – 112 994,1 тыс. рублей, при кассовом исполнении в сумме 112 993,7 тыс. рублей, или 100 % от объема финансирования;</w:t>
      </w:r>
    </w:p>
    <w:p w14:paraId="353FF627"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- 3 объектов водоснабжения – 116 839,8 тыс. рублей при 100 % кассовом исполнении; </w:t>
      </w:r>
    </w:p>
    <w:p w14:paraId="71D30C55"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bCs/>
          <w:color w:val="002060"/>
          <w:sz w:val="28"/>
          <w:szCs w:val="28"/>
          <w:lang w:eastAsia="ru-RU"/>
        </w:rPr>
        <w:t>3)</w:t>
      </w:r>
      <w:r w:rsidRPr="00524476">
        <w:rPr>
          <w:rFonts w:ascii="Times New Roman" w:eastAsia="Times New Roman" w:hAnsi="Times New Roman" w:cs="Times New Roman"/>
          <w:sz w:val="28"/>
          <w:szCs w:val="28"/>
          <w:lang w:eastAsia="ru-RU"/>
        </w:rPr>
        <w:t xml:space="preserve"> «Развитие здравоохранения» (постановление Правительства Российской Федерации от 26 декабря 2017 г. № 1640) средства в сумме 251 506,9 тыс. рублей на строительство 1 объекта – республиканского противотуберкулезного диспансера, при кассовом исполнении в сумме 251 504,8 тыс. рублей, или 99,9 % от объема финансирования;</w:t>
      </w:r>
    </w:p>
    <w:p w14:paraId="488D14BC"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8"/>
          <w:szCs w:val="28"/>
          <w:lang w:eastAsia="ru-RU"/>
        </w:rPr>
        <w:lastRenderedPageBreak/>
        <w:t>4)</w:t>
      </w:r>
      <w:r w:rsidRPr="00524476">
        <w:rPr>
          <w:rFonts w:ascii="Times New Roman" w:eastAsia="Times New Roman" w:hAnsi="Times New Roman" w:cs="Times New Roman"/>
          <w:sz w:val="28"/>
          <w:szCs w:val="28"/>
          <w:lang w:eastAsia="ru-RU"/>
        </w:rPr>
        <w:t xml:space="preserve"> «Развитие культуры» (постановление Правительства Российской Федерации от 15 апреля 2014 г. № 317) средства в сумме 229 445,9 тыс. рублей на строительство 6 объектов при кассовом исполнении в сумме 176 962,0 тыс. рублей, или 77,1 % от объема финансирования;</w:t>
      </w:r>
    </w:p>
    <w:p w14:paraId="676153E0"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8"/>
          <w:szCs w:val="28"/>
          <w:lang w:eastAsia="ru-RU"/>
        </w:rPr>
        <w:t>5)</w:t>
      </w:r>
      <w:r w:rsidRPr="00524476">
        <w:rPr>
          <w:rFonts w:ascii="Times New Roman" w:eastAsia="Times New Roman" w:hAnsi="Times New Roman" w:cs="Times New Roman"/>
          <w:sz w:val="28"/>
          <w:szCs w:val="28"/>
          <w:lang w:eastAsia="ru-RU"/>
        </w:rPr>
        <w:t xml:space="preserve"> «Развитие физической культуры и спорта» (постановление Правительства Российской Федерации от 30 сентября 2021 года № 1661) средства в сумме 33 668,6 тыс. рублей на строительство 1 объекта (строительство футбольного поля с беговыми дорожками и секторами в с. Ансалта Ботлихского района) при кассовом исполнении в сумме 28 701,6 тыс. рублей, или 85,2 % от объема финансирования;</w:t>
      </w:r>
    </w:p>
    <w:p w14:paraId="1BDBA194"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8"/>
          <w:szCs w:val="28"/>
          <w:lang w:eastAsia="ru-RU"/>
        </w:rPr>
        <w:t>6)</w:t>
      </w:r>
      <w:r w:rsidRPr="00524476">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«Обеспечение доступным и комфортным жильем и коммунальными услугами граждан Российской Федерации» (постановление Правительства Российской Федерации от 30 декабря 2017 г. № 1710) на строительство 6 объектов водоснабжения в сумме 717 778,3 тыс. рублей при кассовом исполнении в сумме 715 330,3 тыс. рублей, или 99,6 % от объема финансирования;</w:t>
      </w:r>
    </w:p>
    <w:p w14:paraId="53D25F24"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bCs/>
          <w:color w:val="002060"/>
          <w:sz w:val="28"/>
          <w:szCs w:val="28"/>
          <w:lang w:eastAsia="ru-RU"/>
        </w:rPr>
        <w:t>7)</w:t>
      </w:r>
      <w:r w:rsidRPr="00524476">
        <w:rPr>
          <w:rFonts w:ascii="Times New Roman" w:eastAsia="Times New Roman" w:hAnsi="Times New Roman" w:cs="Times New Roman"/>
          <w:sz w:val="28"/>
          <w:szCs w:val="28"/>
          <w:lang w:eastAsia="ru-RU"/>
        </w:rPr>
        <w:t xml:space="preserve"> «Развитие Северо-Кавказского федерального округа» (постановление Правительства Российской Федерации от 15 апреля 2014 г. </w:t>
      </w:r>
      <w:r w:rsidRPr="00524476">
        <w:rPr>
          <w:rFonts w:ascii="Times New Roman" w:eastAsia="Times New Roman" w:hAnsi="Times New Roman" w:cs="Times New Roman"/>
          <w:sz w:val="28"/>
          <w:szCs w:val="28"/>
          <w:lang w:eastAsia="ru-RU"/>
        </w:rPr>
        <w:br/>
        <w:t>№ 309) на строительство 7 объектов – 748 028,4 тыс. рублей, при кассовом исполнении в сумме 613 311,9 тыс. рублей, или 82,0 % от объема финансирования, в том числе на строительство:</w:t>
      </w:r>
    </w:p>
    <w:p w14:paraId="4898C0A5"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- 1 объекта водоснабжения (модернизация Тарнаирских водопроводных очистных сооружений) – 15 865,0 тыс. рублей, при кассовом исполнении в сумме 8 682,1 тыс. рублей, или 54,7 % от объема финансирования; </w:t>
      </w:r>
    </w:p>
    <w:p w14:paraId="2723483E"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- 6 объектов водоотведения – 732 163,4 тыс. рублей, при кассовом исполнении по 4 объектам в сумме 604 629,8 тыс. рублей, или 82,5 % от объема финансирования.</w:t>
      </w:r>
    </w:p>
    <w:p w14:paraId="0F97453F" w14:textId="7E1CEBE6" w:rsidR="00524476" w:rsidRPr="00524476" w:rsidRDefault="00896D5A" w:rsidP="00524476">
      <w:pPr>
        <w:spacing w:after="1" w:line="280" w:lineRule="atLeast"/>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b/>
          <w:color w:val="002060"/>
          <w:sz w:val="28"/>
          <w:szCs w:val="28"/>
          <w:lang w:eastAsia="ru-RU"/>
        </w:rPr>
        <w:t>5</w:t>
      </w:r>
      <w:r w:rsidR="00524476" w:rsidRPr="00524476">
        <w:rPr>
          <w:rFonts w:ascii="Times New Roman" w:eastAsia="Times New Roman" w:hAnsi="Times New Roman" w:cs="Times New Roman"/>
          <w:b/>
          <w:color w:val="002060"/>
          <w:sz w:val="28"/>
          <w:szCs w:val="28"/>
          <w:lang w:eastAsia="ru-RU"/>
        </w:rPr>
        <w:t>.5.</w:t>
      </w:r>
      <w:r w:rsidR="00524476" w:rsidRPr="00524476">
        <w:rPr>
          <w:rFonts w:ascii="Times New Roman" w:eastAsia="Times New Roman" w:hAnsi="Times New Roman" w:cs="Times New Roman"/>
          <w:sz w:val="28"/>
          <w:szCs w:val="24"/>
          <w:lang w:eastAsia="ru-RU"/>
        </w:rPr>
        <w:t xml:space="preserve"> В нарушение подпункта д) пункта 11 постановления Правительства Республики Дагестан от 1 июня 2021 г. № 125 «Об утверждении Положения о порядке формирования, реализации и финансирования республиканской инвестиционной программы», а также статьи 38 Бюджетного кодекса Российской Федерации (</w:t>
      </w:r>
      <w:r w:rsidR="00524476" w:rsidRPr="00524476">
        <w:rPr>
          <w:rFonts w:ascii="Times New Roman" w:eastAsia="Times New Roman" w:hAnsi="Times New Roman" w:cs="Times New Roman"/>
          <w:bCs/>
          <w:sz w:val="28"/>
          <w:szCs w:val="28"/>
          <w:lang w:eastAsia="ru-RU"/>
        </w:rPr>
        <w:t xml:space="preserve">принцип адресности и целевого характера бюджетных средств, согласно которому бюджетные средства выделяются в распоряжение конкретных получателей с обозначением направления их на финансирование конкретных целей) в перечне строек и объектов РИП на 2021 год средства в сумме </w:t>
      </w:r>
      <w:r w:rsidR="00524476" w:rsidRPr="00524476">
        <w:rPr>
          <w:rFonts w:ascii="Times New Roman" w:eastAsia="Times New Roman" w:hAnsi="Times New Roman" w:cs="Times New Roman"/>
          <w:sz w:val="28"/>
          <w:szCs w:val="24"/>
          <w:lang w:eastAsia="ru-RU"/>
        </w:rPr>
        <w:t xml:space="preserve">4 870,0 тыс. рублей, предусмотренные на разработку ПСД на объекты здравоохранения и полностью освоенные, </w:t>
      </w:r>
      <w:r w:rsidR="00524476" w:rsidRPr="00524476">
        <w:rPr>
          <w:rFonts w:ascii="Times New Roman" w:eastAsia="Times New Roman" w:hAnsi="Times New Roman" w:cs="Times New Roman"/>
          <w:sz w:val="28"/>
          <w:szCs w:val="28"/>
          <w:lang w:eastAsia="ru-RU"/>
        </w:rPr>
        <w:t xml:space="preserve">не распределены в разрезе объектов строительства в приложении № 17 к Закону Республики Дагестан о республиканском бюджете Республики Дагестан на 2021 год и в постановлении Правительства </w:t>
      </w:r>
      <w:r w:rsidR="00B45176" w:rsidRPr="007639C4">
        <w:rPr>
          <w:rFonts w:ascii="Times New Roman" w:eastAsia="Times New Roman" w:hAnsi="Times New Roman" w:cs="Times New Roman"/>
          <w:sz w:val="28"/>
          <w:szCs w:val="28"/>
          <w:lang w:eastAsia="ru-RU"/>
        </w:rPr>
        <w:t>Республики Дагестан</w:t>
      </w:r>
      <w:r w:rsidR="00524476" w:rsidRPr="00524476">
        <w:rPr>
          <w:rFonts w:ascii="Times New Roman" w:eastAsia="Times New Roman" w:hAnsi="Times New Roman" w:cs="Times New Roman"/>
          <w:sz w:val="28"/>
          <w:szCs w:val="28"/>
          <w:lang w:eastAsia="ru-RU"/>
        </w:rPr>
        <w:t xml:space="preserve"> </w:t>
      </w:r>
      <w:r w:rsidR="00524476" w:rsidRPr="00524476">
        <w:rPr>
          <w:rFonts w:ascii="Times New Roman" w:eastAsia="Times New Roman" w:hAnsi="Times New Roman" w:cs="Times New Roman"/>
          <w:sz w:val="28"/>
          <w:szCs w:val="24"/>
          <w:lang w:eastAsia="ru-RU"/>
        </w:rPr>
        <w:t xml:space="preserve">от </w:t>
      </w:r>
      <w:r w:rsidR="00524476" w:rsidRPr="00524476">
        <w:rPr>
          <w:rFonts w:ascii="Times New Roman" w:hAnsi="Times New Roman" w:cs="Times New Roman"/>
          <w:sz w:val="28"/>
        </w:rPr>
        <w:t>24 марта 2021 г. № 52, а при наличии бюджетной отчетности за 2021 год, показатели по финансированию и кассовому исполнению по данным объектам также не указаны в отчете по исполнению РИП за 2021 год</w:t>
      </w:r>
      <w:r w:rsidR="00524476" w:rsidRPr="00524476">
        <w:rPr>
          <w:rFonts w:ascii="Times New Roman" w:eastAsia="Times New Roman" w:hAnsi="Times New Roman" w:cs="Times New Roman"/>
          <w:sz w:val="28"/>
          <w:szCs w:val="24"/>
          <w:lang w:eastAsia="ru-RU"/>
        </w:rPr>
        <w:t>.</w:t>
      </w:r>
    </w:p>
    <w:p w14:paraId="394849BE"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8"/>
          <w:szCs w:val="28"/>
          <w:lang w:eastAsia="ru-RU"/>
        </w:rPr>
        <w:t>5.6.</w:t>
      </w:r>
      <w:r w:rsidRPr="00524476">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 xml:space="preserve">Анализ кассового исполнения расходов на реализацию </w:t>
      </w:r>
      <w:r w:rsidRPr="00524476">
        <w:rPr>
          <w:rFonts w:ascii="Times New Roman" w:eastAsia="Times New Roman" w:hAnsi="Times New Roman" w:cs="Times New Roman"/>
          <w:sz w:val="28"/>
          <w:szCs w:val="28"/>
          <w:lang w:eastAsia="ru-RU"/>
        </w:rPr>
        <w:lastRenderedPageBreak/>
        <w:t>программных мероприятий показал следующее.</w:t>
      </w:r>
    </w:p>
    <w:p w14:paraId="2541DF48"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bCs/>
          <w:color w:val="002060"/>
          <w:sz w:val="28"/>
          <w:szCs w:val="28"/>
          <w:lang w:eastAsia="ru-RU"/>
        </w:rPr>
        <w:t>5.6.1.</w:t>
      </w:r>
      <w:r w:rsidRPr="00524476">
        <w:rPr>
          <w:rFonts w:ascii="Times New Roman" w:eastAsia="Times New Roman" w:hAnsi="Times New Roman" w:cs="Times New Roman"/>
          <w:sz w:val="28"/>
          <w:szCs w:val="28"/>
          <w:lang w:eastAsia="ru-RU"/>
        </w:rPr>
        <w:t xml:space="preserve"> В 2021 году полностью не было произведено кассовое исполнение на сумму 2 440 037,8 тыс. рублей (13,2 % от общего объема профинансированных средств), выделенные на 74 объекта (по 37 объектам на сумму 2 043 767,5 тыс. рублей (83,7 %) заказчиком является ГКУ РД «Дирекция единого государственного заказчика-застройщика»), в том числе:</w:t>
      </w:r>
    </w:p>
    <w:p w14:paraId="6B1F9E27"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1) 15 общеобразовательных учреждений – 1 958 988,1 тыс. рублей (заказчик – ГКУ РД «Дирекция единого государственного заказчика-застройщика»);</w:t>
      </w:r>
    </w:p>
    <w:p w14:paraId="37032592"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2) 3 дошкольных общеобразовательных учреждений – 66 389,0 тыс. рублей (заказчик – ГКУ РД «Дирекция единого государственного заказчика-застройщика»);</w:t>
      </w:r>
    </w:p>
    <w:p w14:paraId="0EC51EFE"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3)</w:t>
      </w:r>
      <w:bookmarkStart w:id="35" w:name="_Hlk41047145"/>
      <w:r w:rsidRPr="00524476">
        <w:rPr>
          <w:rFonts w:ascii="Times New Roman" w:eastAsia="Times New Roman" w:hAnsi="Times New Roman" w:cs="Times New Roman"/>
          <w:sz w:val="28"/>
          <w:szCs w:val="28"/>
          <w:lang w:eastAsia="ru-RU"/>
        </w:rPr>
        <w:t xml:space="preserve"> 3 спортивных объекта – 65 168,8 тыс. рублей (заказчики: ГКУ РД «Дирекция по строительству объектов спорта» – 2 объекта и администрация МО «Сулейман-Стальский район» – 1 объект); </w:t>
      </w:r>
      <w:bookmarkEnd w:id="35"/>
    </w:p>
    <w:p w14:paraId="3B42BEA8"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4) 3 объекта газоснабжения – 35 865,0 тыс. рублей (заказчики: ГКУ РД «Спецгазстройсервис» – 2 объекта и ГКУ РД «Дагсельхозстрой» – 1 объект); </w:t>
      </w:r>
    </w:p>
    <w:p w14:paraId="0A98F858"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5) 19 объектов водоснабжения – 10 040,9 тыс. рублей (заказчики: ГКУ РД «Дирекция единого государственного заказчика-застройщика» – 17 объектов; администрация МО «Карабудахкентский район» – 1 объект; администрация МО «город Кизилюрт» – 1 объект); </w:t>
      </w:r>
    </w:p>
    <w:p w14:paraId="297BFC1F"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6) 5 объектов водоотведения – 34 786,1 тыс. рублей (заказчики: ГКУ РД «Дирекция единого государственного заказчика-застройщика» – 2 объекта; администрация МО «город Дагестанские Огни» – 2 объекта; администрация МО «город Кизилюрт» – 1 объект);</w:t>
      </w:r>
    </w:p>
    <w:p w14:paraId="1483F4ED"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7) 26 прочих объектов – 268 799,5 тыс. рублей, из них 25 объектов в составе резервных средств – 196 430,5 тыс. рублей (заказчики: ГКУ РД «Дирекция единого государственного заказчика-застройщика» – 2 объекта; администрации МО районов и городов – 24 объекта). </w:t>
      </w:r>
    </w:p>
    <w:p w14:paraId="2557DC66" w14:textId="08BED9CE"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8"/>
          <w:szCs w:val="28"/>
          <w:lang w:eastAsia="ru-RU"/>
        </w:rPr>
        <w:t>5.6.2.</w:t>
      </w:r>
      <w:r w:rsidRPr="00524476">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Проверка показала, что по 31 объекту кассовое исполнение составило в среднем 4,6 % от объема выделенных средств (профинансировано – 708 790,9 тыс. рублей, кассовые расходы – 32 532,3 тыс. рублей), из которых по 20 объектам, профинансированным в сумме 554 956,29 тыс. рублей, при кассовом исполнении в сумме 20 010,94 тыс. рублей, или 3,61 % от объема выделенных средств, заказчиком является ГКУ РД «Дирекция единого государственного заказчика-застройщика», в том числе по:</w:t>
      </w:r>
    </w:p>
    <w:p w14:paraId="36AF06A7" w14:textId="1D193490"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1) 4 общеобразовательным учреждениям – 3,4 % (профинансировано 171 060,2 тыс. рублей, кассовые расходы – 5 811,1 тыс. рублей), из них по государственным заказчикам: ГКУ РД «Дирекция единого государственного заказчика-застройщика» – 3 объекта – 4,9 % (профинансировано 114 060,2 тыс. рублей, кассовые расходы – 5 673,5 тыс. рублей) и администрация </w:t>
      </w:r>
      <w:r>
        <w:rPr>
          <w:rFonts w:ascii="Times New Roman" w:eastAsia="Times New Roman" w:hAnsi="Times New Roman" w:cs="Times New Roman"/>
          <w:sz w:val="28"/>
          <w:szCs w:val="28"/>
          <w:lang w:eastAsia="ru-RU"/>
        </w:rPr>
        <w:br/>
      </w:r>
      <w:r w:rsidRPr="00524476">
        <w:rPr>
          <w:rFonts w:ascii="Times New Roman" w:eastAsia="Times New Roman" w:hAnsi="Times New Roman" w:cs="Times New Roman"/>
          <w:sz w:val="28"/>
          <w:szCs w:val="28"/>
          <w:lang w:eastAsia="ru-RU"/>
        </w:rPr>
        <w:t xml:space="preserve">МО «Кайтагский район» – 1 объект – 0,24 % (профинансировано 57 000,0 тыс. рублей, кассовые расходы – 137,55 тыс. рублей); </w:t>
      </w:r>
    </w:p>
    <w:p w14:paraId="739F0716"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2) 9 дошкольным общеобразовательным учреждениям – 2,4 % </w:t>
      </w:r>
      <w:r w:rsidRPr="00524476">
        <w:rPr>
          <w:rFonts w:ascii="Times New Roman" w:eastAsia="Times New Roman" w:hAnsi="Times New Roman" w:cs="Times New Roman"/>
          <w:sz w:val="28"/>
          <w:szCs w:val="28"/>
          <w:lang w:eastAsia="ru-RU"/>
        </w:rPr>
        <w:lastRenderedPageBreak/>
        <w:t xml:space="preserve">(профинансировано 267 484,2 тыс. рублей, кассовые расходы – 6 546,3 тыс. рублей) – государственный заказчик – ГКУ РД «Дирекция единого государственного заказчика-застройщика»; </w:t>
      </w:r>
    </w:p>
    <w:p w14:paraId="36DFCFB4"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3) 2 объектам здравоохранения – 1,4 % (профинансировано – 35 250,0 тыс. рублей, кассовые расходы – 493,69 тыс. рублей), из них по 2 заказчикам: ГКУ РД «Дирекция единого государственного заказчика-застройщика» – </w:t>
      </w:r>
      <w:r w:rsidRPr="00524476">
        <w:rPr>
          <w:rFonts w:ascii="Times New Roman" w:eastAsia="Times New Roman" w:hAnsi="Times New Roman" w:cs="Times New Roman"/>
          <w:sz w:val="28"/>
          <w:szCs w:val="28"/>
          <w:lang w:eastAsia="ru-RU"/>
        </w:rPr>
        <w:br/>
        <w:t>1,3 % (профинансировано – 25 250,0 тыс. рублей, кассовые расходы – 340,6 тыс. рублей) и администрация МО «Докузпаринский район» – 1,53 % (профинансировано – 10 000,0 тыс. рублей, кассовые расходы – 153,0 тыс. рублей);</w:t>
      </w:r>
    </w:p>
    <w:p w14:paraId="432FF7D8"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4) 3 объектам культуры – 4,8 % (профинансировано – 142 350,1 тыс. рублей, кассовые расходы – 6 862,6 тыс. рублей) – заказчики администрации городов и районов: «город Кизляр» – 1 объект – 7,5 % (профинансировано – 57 350,1 тыс. рублей, кассовые расходы – 4 336,05 тыс. рублей); «Бабаюртовский район» – 8,1 % (профинансировано – 5 000,0 тыс. рублей, кассовые расходы – 405,0 тыс. рублей); «Сергокалинский район» – 2,6 % (профинансировано – 80 000,0 тыс. рублей, кассовые расходы – 2 121,5 тыс. рублей); </w:t>
      </w:r>
    </w:p>
    <w:p w14:paraId="2243EFF0"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5) 2 объектам спорта – 5,4 % (профинансировано – 84 392,2 тыс. рублей, кассовые расходы – 4 554,8 тыс. рублей) – заказчик – ГКУ РД «Дирекция по строительству объектов спорта»; </w:t>
      </w:r>
    </w:p>
    <w:p w14:paraId="23589531"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6) 4 объектам газоснабжения – 2,61 % (профинансировано – 31 152,5 тыс. рублей, кассовое исполнение – 813,3 тыс. рублей) – заказчик ГКУ РД «Спецгазстройсервис»;</w:t>
      </w:r>
    </w:p>
    <w:p w14:paraId="18604BD3"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7) 7 объектам водоснабжения – 5,0 % (профинансировано – 148 161,8 тыс. рублей, кассовое исполнение – 7 450,4 тыс. рублей) – заказчик ГКУ РД «Дирекция единого государственного заказчика-застройщика». </w:t>
      </w:r>
    </w:p>
    <w:p w14:paraId="41499B05" w14:textId="332061B3" w:rsidR="00524476" w:rsidRPr="00524476" w:rsidRDefault="00896D5A" w:rsidP="0052447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color w:val="002060"/>
          <w:sz w:val="28"/>
          <w:szCs w:val="28"/>
          <w:lang w:eastAsia="ru-RU"/>
        </w:rPr>
        <w:t>5</w:t>
      </w:r>
      <w:r w:rsidR="00524476" w:rsidRPr="00524476">
        <w:rPr>
          <w:rFonts w:ascii="Times New Roman" w:eastAsia="Times New Roman" w:hAnsi="Times New Roman" w:cs="Times New Roman"/>
          <w:b/>
          <w:color w:val="002060"/>
          <w:sz w:val="28"/>
          <w:szCs w:val="28"/>
          <w:lang w:eastAsia="ru-RU"/>
        </w:rPr>
        <w:t>.7.</w:t>
      </w:r>
      <w:r w:rsidR="00524476" w:rsidRPr="00524476">
        <w:rPr>
          <w:rFonts w:ascii="Times New Roman" w:eastAsia="Times New Roman" w:hAnsi="Times New Roman" w:cs="Times New Roman"/>
          <w:color w:val="002060"/>
          <w:sz w:val="28"/>
          <w:szCs w:val="28"/>
          <w:lang w:eastAsia="ru-RU"/>
        </w:rPr>
        <w:t xml:space="preserve"> </w:t>
      </w:r>
      <w:r w:rsidR="00524476" w:rsidRPr="00524476">
        <w:rPr>
          <w:rFonts w:ascii="Times New Roman" w:eastAsia="Times New Roman" w:hAnsi="Times New Roman" w:cs="Times New Roman"/>
          <w:sz w:val="28"/>
          <w:szCs w:val="28"/>
          <w:lang w:eastAsia="ru-RU"/>
        </w:rPr>
        <w:t>В РИП на 2021 год было осуществлено финансирование на разработку ПСД и строительство 119 вновь начинаемых объектов (29,7 % от общего количества, из них завершено 9 объектов) на сумму 6 240 644,2 тыс. рублей (33,85 % от общего объема финансирования), при кассовом исполнении по 7</w:t>
      </w:r>
      <w:r w:rsidR="00BE0A1C">
        <w:rPr>
          <w:rFonts w:ascii="Times New Roman" w:eastAsia="Times New Roman" w:hAnsi="Times New Roman" w:cs="Times New Roman"/>
          <w:sz w:val="28"/>
          <w:szCs w:val="28"/>
          <w:lang w:eastAsia="ru-RU"/>
        </w:rPr>
        <w:t>5</w:t>
      </w:r>
      <w:r w:rsidR="00524476" w:rsidRPr="00524476">
        <w:rPr>
          <w:rFonts w:ascii="Times New Roman" w:eastAsia="Times New Roman" w:hAnsi="Times New Roman" w:cs="Times New Roman"/>
          <w:sz w:val="28"/>
          <w:szCs w:val="28"/>
          <w:lang w:eastAsia="ru-RU"/>
        </w:rPr>
        <w:t xml:space="preserve"> объектам на сумму 2 038 086,8</w:t>
      </w:r>
      <w:r w:rsidR="00524476" w:rsidRPr="00524476">
        <w:rPr>
          <w:rFonts w:ascii="Times New Roman" w:eastAsia="Times New Roman" w:hAnsi="Times New Roman" w:cs="Times New Roman"/>
          <w:sz w:val="20"/>
          <w:szCs w:val="20"/>
          <w:lang w:eastAsia="ru-RU"/>
        </w:rPr>
        <w:t xml:space="preserve"> </w:t>
      </w:r>
      <w:r w:rsidR="00524476" w:rsidRPr="00524476">
        <w:rPr>
          <w:rFonts w:ascii="Times New Roman" w:eastAsia="Times New Roman" w:hAnsi="Times New Roman" w:cs="Times New Roman"/>
          <w:sz w:val="28"/>
          <w:szCs w:val="28"/>
          <w:lang w:eastAsia="ru-RU"/>
        </w:rPr>
        <w:t>тыс. рублей (32,8 % от финансирования по новым объектам).</w:t>
      </w:r>
    </w:p>
    <w:p w14:paraId="3FCCDF97"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составе отраслей финансирование расходов на новые объекты произведено:</w:t>
      </w:r>
    </w:p>
    <w:p w14:paraId="31AA765A" w14:textId="77777777" w:rsidR="00524476" w:rsidRPr="00524476" w:rsidRDefault="00524476" w:rsidP="00524476">
      <w:pPr>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общее образование – 30 объектов (школы, завершены 3) на сумму 4 773 682,8 тыс. рублей, при кассовом исполнении по 14 объектам в сумме 1 360 951,2 тыс. рублей (28,5 % от финансирования);</w:t>
      </w:r>
    </w:p>
    <w:p w14:paraId="738B3402"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дошкольное образование – 2 объекта (детские сады-ясли) на сумму 386 592,7 тыс. рублей, при кассовом исполнении по ним в сумме 134 708,2 тыс. рублей (34,8 % от финансирования);</w:t>
      </w:r>
    </w:p>
    <w:p w14:paraId="3E571E59"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здравоохранение – 9 объектов на сумму 82 528,1 тыс. рублей, при кассовом исполнении по ним в сумме 53 196,16 тыс. рублей (64,24 % от финансирования);</w:t>
      </w:r>
    </w:p>
    <w:p w14:paraId="2F340C48" w14:textId="77777777" w:rsidR="00524476" w:rsidRPr="00524476" w:rsidRDefault="00524476" w:rsidP="00477D82">
      <w:pPr>
        <w:widowControl w:val="0"/>
        <w:spacing w:after="0" w:line="344"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lastRenderedPageBreak/>
        <w:t>- культура – 7 объектов (завершен 1) на сумму 186 310,0 тыс. рублей, при кассовом исполнении по ним в сумме 133 295,9 тыс. рублей (71,5 % от финансирования);</w:t>
      </w:r>
    </w:p>
    <w:p w14:paraId="7AC7F8B9" w14:textId="77777777" w:rsidR="00524476" w:rsidRPr="00524476" w:rsidRDefault="00524476" w:rsidP="00477D82">
      <w:pPr>
        <w:spacing w:after="0" w:line="344"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физическая культура и спорт – 20 объектов (завершено 3) на сумму 197 689,9 тыс. рублей, при кассовом исполнении по ним в сумме 158 123,8 тыс. рублей (79,9 % от финансирования);</w:t>
      </w:r>
    </w:p>
    <w:p w14:paraId="649DD7DA" w14:textId="77777777" w:rsidR="00524476" w:rsidRPr="00524476" w:rsidRDefault="00524476" w:rsidP="00477D82">
      <w:pPr>
        <w:spacing w:after="0" w:line="344"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газоснабжение – 7 объектов на сумму 42 702,0 тыс. рублей, при кассовом исполнении по 6 объектам в сумме 11 008,3 тыс. рублей (25,7 % от финансирования); </w:t>
      </w:r>
    </w:p>
    <w:p w14:paraId="166EAFC6" w14:textId="77777777" w:rsidR="00524476" w:rsidRPr="00524476" w:rsidRDefault="00524476" w:rsidP="00477D82">
      <w:pPr>
        <w:spacing w:after="0" w:line="344"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водоснабжение – 11 объектов (завершено 2) на сумму 231 216,0 тыс. рублей, при кассовом исполнении по 10 объектам в сумме 142 694,2 тыс. рублей (66,9 % от финансирования);</w:t>
      </w:r>
    </w:p>
    <w:p w14:paraId="2F59EFC9" w14:textId="77777777" w:rsidR="00524476" w:rsidRPr="00524476" w:rsidRDefault="00524476" w:rsidP="00477D82">
      <w:pPr>
        <w:spacing w:after="0" w:line="344"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водоотведение – 3 объекта на сумму 14 515,81 тыс. рублей без кассового исполнения;</w:t>
      </w:r>
    </w:p>
    <w:p w14:paraId="2850B5FB" w14:textId="77777777" w:rsidR="00524476" w:rsidRPr="00524476" w:rsidRDefault="00524476" w:rsidP="00477D82">
      <w:pPr>
        <w:spacing w:after="0" w:line="344"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прочие – 30 объектов на сумму 325 406,8 тыс. рублей при кассовом исполнении по 4 объекта в сумме 44 108,9 тыс. рублей (15,1 % от финансирования). </w:t>
      </w:r>
    </w:p>
    <w:p w14:paraId="40994089" w14:textId="241ABA7D" w:rsidR="00524476" w:rsidRPr="00524476" w:rsidRDefault="00524476" w:rsidP="00477D82">
      <w:pPr>
        <w:widowControl w:val="0"/>
        <w:spacing w:after="0" w:line="344"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
          <w:color w:val="002060"/>
          <w:sz w:val="28"/>
          <w:szCs w:val="28"/>
          <w:lang w:eastAsia="ru-RU"/>
        </w:rPr>
        <w:t>5.8.</w:t>
      </w:r>
      <w:r w:rsidRPr="00524476">
        <w:rPr>
          <w:rFonts w:ascii="Times New Roman" w:eastAsia="Times New Roman" w:hAnsi="Times New Roman" w:cs="Times New Roman"/>
          <w:sz w:val="28"/>
          <w:szCs w:val="28"/>
          <w:lang w:eastAsia="ru-RU"/>
        </w:rPr>
        <w:t xml:space="preserve"> Анализ планирования капитальных вложений показал, что в РИП на 2021 год было включено финансирование 233 переходящих строительством объектов (58,2 %, начало строительства в 2019-2020 годах, из них завершено 62) на сумму 10 208 884,5 тыс. рублей, при кассовом исполнении по 20</w:t>
      </w:r>
      <w:r w:rsidR="00FC7211">
        <w:rPr>
          <w:rFonts w:ascii="Times New Roman" w:eastAsia="Times New Roman" w:hAnsi="Times New Roman" w:cs="Times New Roman"/>
          <w:sz w:val="28"/>
          <w:szCs w:val="28"/>
          <w:lang w:eastAsia="ru-RU"/>
        </w:rPr>
        <w:t>8</w:t>
      </w:r>
      <w:r w:rsidRPr="00524476">
        <w:rPr>
          <w:rFonts w:ascii="Times New Roman" w:eastAsia="Times New Roman" w:hAnsi="Times New Roman" w:cs="Times New Roman"/>
          <w:sz w:val="28"/>
          <w:szCs w:val="28"/>
          <w:lang w:eastAsia="ru-RU"/>
        </w:rPr>
        <w:t xml:space="preserve"> объектам в сумме 6 809 820,3 тыс. рублей, или 59,8 % от финансирования: </w:t>
      </w:r>
    </w:p>
    <w:p w14:paraId="524D9BB0" w14:textId="77777777" w:rsidR="00524476" w:rsidRPr="00524476" w:rsidRDefault="00524476" w:rsidP="00477D82">
      <w:pPr>
        <w:widowControl w:val="0"/>
        <w:spacing w:after="0" w:line="344"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общее образование – 29 объектов (школы, из них завершены 6) с объемом финансирования в сумме 4 176 362,7 тыс. рублей, при кассовом исполнении по ним в сумме 2 695 707,4 тыс. рублей (64,5 % от финансирования);</w:t>
      </w:r>
    </w:p>
    <w:p w14:paraId="065A9990" w14:textId="77777777" w:rsidR="00524476" w:rsidRPr="00524476" w:rsidRDefault="00524476" w:rsidP="00477D82">
      <w:pPr>
        <w:widowControl w:val="0"/>
        <w:spacing w:after="0" w:line="344"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дошкольное образование – 71 объект (37 садов-яслей и 34 сада, из них завершены 29) с объемом финансирования в сумме 2 924 494,9 тыс. рублей, при кассовом исполнении по 68 объектам в сумме 1 514 203,3 тыс. рублей (51,7 % от финансирования);</w:t>
      </w:r>
    </w:p>
    <w:p w14:paraId="5CC1EEFF" w14:textId="77777777" w:rsidR="00524476" w:rsidRPr="00524476" w:rsidRDefault="00524476" w:rsidP="00477D82">
      <w:pPr>
        <w:widowControl w:val="0"/>
        <w:spacing w:after="0" w:line="344"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культура – 1 объект (строительство Дома танца ансамбля «Лезгинка») с объемом финансирования в сумме 93 938,2 тыс. рублей, при кассовом 100 % исполнении;</w:t>
      </w:r>
    </w:p>
    <w:p w14:paraId="16FA83A2" w14:textId="77777777" w:rsidR="00524476" w:rsidRPr="00524476" w:rsidRDefault="00524476" w:rsidP="00477D82">
      <w:pPr>
        <w:widowControl w:val="0"/>
        <w:spacing w:after="0" w:line="344"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физическая культура и спорт – 18 объектов (завершены 5) с объемом финансирования в сумме 244 954,3 тыс. рублей, при кассовом исполнении по 17 объектам в сумме 149 729,8 тыс. рублей (61,1 % от финансирования);</w:t>
      </w:r>
    </w:p>
    <w:p w14:paraId="23988CE9" w14:textId="77777777" w:rsidR="00524476" w:rsidRPr="00524476" w:rsidRDefault="00524476" w:rsidP="00477D82">
      <w:pPr>
        <w:widowControl w:val="0"/>
        <w:spacing w:after="0" w:line="344"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газификация – 33 объекта (завершены 9) с объемом финансирования в сумме 490 583,6 тыс. рублей, при кассовом исполнении по 32 объектам в сумме 472 503,7 тыс. рублей (96,3 % от финансирования);</w:t>
      </w:r>
    </w:p>
    <w:p w14:paraId="2E627CD2"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водоснабжение – 74 объекта (завершены 11) с объемом финансирования в сумме 1 737 769,2 тыс. рублей, при кассовом исполнении </w:t>
      </w:r>
      <w:r w:rsidRPr="00524476">
        <w:rPr>
          <w:rFonts w:ascii="Times New Roman" w:eastAsia="Times New Roman" w:hAnsi="Times New Roman" w:cs="Times New Roman"/>
          <w:sz w:val="28"/>
          <w:szCs w:val="28"/>
          <w:lang w:eastAsia="ru-RU"/>
        </w:rPr>
        <w:lastRenderedPageBreak/>
        <w:t>по 56 объектам в сумме 1 355 226,8 тыс. рублей (77,9 % от финансирования);</w:t>
      </w:r>
    </w:p>
    <w:p w14:paraId="135B4448"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водоотведение – 4 объекта (завершен 1) с объемом финансирования в сумме 463 900,5 тыс. рублей, при кассовом исполнении по 3 объектам в сумме 453 310,9 тыс. рублей (97,7 % от финансирования);</w:t>
      </w:r>
    </w:p>
    <w:p w14:paraId="2F573647"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прочие – 3 объекта (завершен 1) с объемом финансирования в сумме 76 880,9 тыс. рублей, при кассовом исполнении по ним в сумме 75 200,1 тыс. рублей (97,8 % от финансирования).</w:t>
      </w:r>
    </w:p>
    <w:p w14:paraId="47DAC44A" w14:textId="77777777" w:rsidR="00524476" w:rsidRPr="00524476" w:rsidRDefault="00524476" w:rsidP="00072ECD">
      <w:pPr>
        <w:widowControl w:val="0"/>
        <w:spacing w:after="0" w:line="37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
          <w:bCs/>
          <w:color w:val="002060"/>
          <w:sz w:val="28"/>
          <w:szCs w:val="28"/>
          <w:lang w:eastAsia="ru-RU"/>
        </w:rPr>
        <w:t>5.9.</w:t>
      </w:r>
      <w:r w:rsidRPr="00524476">
        <w:rPr>
          <w:rFonts w:ascii="Times New Roman" w:eastAsia="Times New Roman" w:hAnsi="Times New Roman" w:cs="Times New Roman"/>
          <w:bCs/>
          <w:color w:val="002060"/>
          <w:sz w:val="28"/>
          <w:szCs w:val="28"/>
          <w:lang w:eastAsia="ru-RU"/>
        </w:rPr>
        <w:t xml:space="preserve"> </w:t>
      </w:r>
      <w:r w:rsidRPr="00524476">
        <w:rPr>
          <w:rFonts w:ascii="Times New Roman" w:eastAsia="Times New Roman" w:hAnsi="Times New Roman" w:cs="Times New Roman"/>
          <w:bCs/>
          <w:sz w:val="28"/>
          <w:szCs w:val="28"/>
          <w:lang w:eastAsia="ru-RU"/>
        </w:rPr>
        <w:t>В состав РИП на 2021 год было включено финансирование 48 объектов-долгостроев (12 %, начало строительства 2001-2016 годы, из них завершено 9) на сумму 1 987 743,6 тыс. рублей, при кассовом исполнении по 42 объектам в сумме 1 505 653,9 тыс. рублей, или 75,8 % от объема финансирования, в том числе в разрезе отраслей:</w:t>
      </w:r>
    </w:p>
    <w:p w14:paraId="2EA93056"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высшее образование – 2 объекта с объемом финансирования в сумме 36 724,6 тыс. рублей, при кассовом исполнении в сумме 36 674,67 тыс. рублей (99,8 % от объема финансирования);</w:t>
      </w:r>
    </w:p>
    <w:p w14:paraId="2BB02AD6"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bCs/>
          <w:sz w:val="28"/>
          <w:szCs w:val="28"/>
          <w:lang w:eastAsia="ru-RU"/>
        </w:rPr>
        <w:t xml:space="preserve">- </w:t>
      </w:r>
      <w:r w:rsidRPr="00524476">
        <w:rPr>
          <w:rFonts w:ascii="Times New Roman" w:eastAsia="Times New Roman" w:hAnsi="Times New Roman" w:cs="Times New Roman"/>
          <w:sz w:val="28"/>
          <w:szCs w:val="28"/>
          <w:lang w:eastAsia="ru-RU"/>
        </w:rPr>
        <w:t>общее образование – 11 объектов (школы, из них завершен 1) с объемом финансирования в сумме 466 711,5 тыс. рублей, при кассовом исполнении по 10 объектам в сумме 344 132,3 тыс. рублей (73,7 % от финансирования);</w:t>
      </w:r>
    </w:p>
    <w:p w14:paraId="2068142F"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здравоохранение – 9 объектов с объемом финансирования в сумме 802 445,0 тыс. рублей, при кассовом исполнении по ним в сумме 738 849,7 тыс. рублей (89,5 % от финансирования);</w:t>
      </w:r>
    </w:p>
    <w:p w14:paraId="53DB0AA4"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культура – 3 объекта с объемом финансирования в сумме 137 387,7 тыс. рублей, при кассовом исполнении по ним в сумме 49 999,1 тыс. рублей (36,3 % от финансирования);</w:t>
      </w:r>
    </w:p>
    <w:p w14:paraId="15341EEE"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физическая культура и спорт – 3 объекта с объемом финансирования в сумме 65 044,7 тыс. рублей, при кассовом исполнении по 1 объекту в сумме 2 466,0 тыс. рублей (3,7 % от финансирования);</w:t>
      </w:r>
    </w:p>
    <w:p w14:paraId="0B9352C7"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газоснабжение – 12 объектов (завершены 3) с объемом финансирования в сумме 133 611,7 тыс. рублей, при кассовом исполнении по 11 объектам в сумме 100 294,0 тыс. рублей (75,0 % от финансирования);</w:t>
      </w:r>
    </w:p>
    <w:p w14:paraId="2DDB4641"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водоснабжение – 5 объектов (завершены 4) с объемом финансирования в сумме 51 031,1 тыс. рублей, при кассовом исполнении по 4 объектам в сумме 50 817,4 тыс. рублей (99,5 % от финансирования);</w:t>
      </w:r>
    </w:p>
    <w:p w14:paraId="5022FAA9" w14:textId="77777777" w:rsidR="00524476" w:rsidRPr="00524476" w:rsidRDefault="00524476" w:rsidP="00072ECD">
      <w:pPr>
        <w:widowControl w:val="0"/>
        <w:spacing w:after="0" w:line="370" w:lineRule="exact"/>
        <w:ind w:right="283"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водоотведение – 3 объекта с объемом финансирования в сумме 294 786,9 тыс. рублей, при кассовом исполнении по 2 объектам в сумме 182 420,5 тыс. рублей (61,8 % от финансирования).</w:t>
      </w:r>
    </w:p>
    <w:p w14:paraId="6A4AE8B2" w14:textId="77777777" w:rsidR="00524476" w:rsidRPr="00524476" w:rsidRDefault="00524476" w:rsidP="00072ECD">
      <w:pPr>
        <w:widowControl w:val="0"/>
        <w:spacing w:after="0" w:line="37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Arial"/>
          <w:b/>
          <w:color w:val="002060"/>
          <w:sz w:val="28"/>
          <w:szCs w:val="28"/>
          <w:lang w:eastAsia="ru-RU"/>
        </w:rPr>
        <w:t xml:space="preserve">5.10. </w:t>
      </w:r>
      <w:r w:rsidRPr="00524476">
        <w:rPr>
          <w:rFonts w:ascii="Times New Roman" w:eastAsia="Times New Roman" w:hAnsi="Times New Roman" w:cs="Times New Roman"/>
          <w:sz w:val="28"/>
          <w:szCs w:val="28"/>
          <w:lang w:eastAsia="ru-RU"/>
        </w:rPr>
        <w:t xml:space="preserve">Проведенный анализ показал, что в 2021 году произведено </w:t>
      </w:r>
      <w:r w:rsidRPr="00524476">
        <w:rPr>
          <w:rFonts w:ascii="Times New Roman" w:eastAsia="Times New Roman" w:hAnsi="Times New Roman" w:cs="Times New Roman"/>
          <w:sz w:val="28"/>
          <w:szCs w:val="28"/>
          <w:lang w:eastAsia="ru-RU"/>
        </w:rPr>
        <w:lastRenderedPageBreak/>
        <w:t xml:space="preserve">финансирование в сумме 3 177 871,9 тыс. рублей на завершение строительства 80 объектов (47,0 % от планируемых 170 объектов) с кассовыми расходами по данным объектам в сумме 3 171 854,7 тыс. рублей, или 84,0 % от финансирования. </w:t>
      </w:r>
    </w:p>
    <w:p w14:paraId="56CDD9AB"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Из указанного количества завершенных объектов, 7 объектов (8,7 % от количества завершенных объектов) начаты строительством в 2008-2016 годах (объекты-долгострои) с объемом финансирования в сумме 249 584,6 тыс. рублей, при кассовом исполнении по данным объектам в сумме 190 298,0 тыс. рублей, или 76,2 % от финансирования.</w:t>
      </w:r>
    </w:p>
    <w:p w14:paraId="351B8EDE"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4"/>
          <w:lang w:eastAsia="ru-RU"/>
        </w:rPr>
      </w:pPr>
      <w:r w:rsidRPr="00524476">
        <w:rPr>
          <w:rFonts w:ascii="Times New Roman" w:eastAsia="Times New Roman" w:hAnsi="Times New Roman" w:cs="Times New Roman"/>
          <w:b/>
          <w:bCs/>
          <w:color w:val="002060"/>
          <w:sz w:val="28"/>
          <w:szCs w:val="28"/>
          <w:lang w:eastAsia="ru-RU"/>
        </w:rPr>
        <w:t>1)</w:t>
      </w:r>
      <w:r w:rsidRPr="00524476">
        <w:rPr>
          <w:rFonts w:ascii="Times New Roman" w:eastAsia="Times New Roman" w:hAnsi="Times New Roman" w:cs="Times New Roman"/>
          <w:sz w:val="28"/>
          <w:szCs w:val="28"/>
          <w:lang w:eastAsia="ru-RU"/>
        </w:rPr>
        <w:t xml:space="preserve"> П</w:t>
      </w:r>
      <w:r w:rsidRPr="00524476">
        <w:rPr>
          <w:rFonts w:ascii="Times New Roman" w:eastAsia="Times New Roman" w:hAnsi="Times New Roman" w:cs="Times New Roman"/>
          <w:sz w:val="28"/>
          <w:szCs w:val="24"/>
          <w:lang w:eastAsia="ru-RU"/>
        </w:rPr>
        <w:t xml:space="preserve">о 58 завершенным строительством объектам в 2021 году неиспользованный остаток средств составил в общей сумме 505 470,8 тыс. рублей. </w:t>
      </w:r>
    </w:p>
    <w:p w14:paraId="7D44BA54"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Основной объем неиспользованных средств в сумме 466 284,5 тыс. рублей (92,25 % от общего объема неиспользованных средств) образовался по 31 объекту, в том числе:</w:t>
      </w:r>
    </w:p>
    <w:p w14:paraId="50AD26FE"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- 6 объектов общего образования – 139 065,1 тыс. рублей;</w:t>
      </w:r>
    </w:p>
    <w:p w14:paraId="1DBDCF7E"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- 24 объектов дошкольного образования – 277 108,4 тыс. рублей;</w:t>
      </w:r>
    </w:p>
    <w:p w14:paraId="15CDD9DC"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- 1 объект здравоохранения – 50 110,9 тыс. рублей.</w:t>
      </w:r>
    </w:p>
    <w:p w14:paraId="152B9288"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2)</w:t>
      </w:r>
      <w:r w:rsidRPr="00524476">
        <w:rPr>
          <w:rFonts w:ascii="Times New Roman" w:eastAsia="Times New Roman" w:hAnsi="Times New Roman" w:cs="Times New Roman"/>
          <w:sz w:val="28"/>
          <w:szCs w:val="28"/>
          <w:lang w:eastAsia="ru-RU"/>
        </w:rPr>
        <w:t xml:space="preserve"> В 2021 году обеспечен ввод в эксплуатацию 58 объектов, или 72,5 % от числа завершенных строительством 80 объектов, в том числе: </w:t>
      </w:r>
    </w:p>
    <w:p w14:paraId="43A13B6E"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- 9 объектов общего образования (школы) на 2 546 ученических мест;</w:t>
      </w:r>
    </w:p>
    <w:p w14:paraId="1B71C481"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- 29 объектов дошкольного образования на 4 270 мест;</w:t>
      </w:r>
    </w:p>
    <w:p w14:paraId="768C3EA9"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- 1 объект дом культуры на 200 мест;</w:t>
      </w:r>
    </w:p>
    <w:p w14:paraId="7D4CC344"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- 5 объектов физической культуры и спорта площадью 3892 кв. метра;</w:t>
      </w:r>
    </w:p>
    <w:p w14:paraId="04EBFADF"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- 3 объекта газификации протяженностью 34,721 км;</w:t>
      </w:r>
    </w:p>
    <w:p w14:paraId="6C03F787"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- 9 объекта водоснабжения протяженностью 130,73 км;</w:t>
      </w:r>
    </w:p>
    <w:p w14:paraId="6F3BF0EC"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- 1 объект водоотведения очистной мощностью 4 000 куб. м/сутки);</w:t>
      </w:r>
    </w:p>
    <w:p w14:paraId="699689BD"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- 1 административное здание.</w:t>
      </w:r>
    </w:p>
    <w:p w14:paraId="4F2F092D"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Arial"/>
          <w:b/>
          <w:color w:val="002060"/>
          <w:sz w:val="28"/>
          <w:szCs w:val="28"/>
          <w:lang w:eastAsia="ru-RU"/>
        </w:rPr>
        <w:t xml:space="preserve">5.11. </w:t>
      </w:r>
      <w:r w:rsidRPr="00524476">
        <w:rPr>
          <w:rFonts w:ascii="Times New Roman" w:eastAsia="Times New Roman" w:hAnsi="Times New Roman" w:cs="Times New Roman"/>
          <w:sz w:val="28"/>
          <w:szCs w:val="28"/>
          <w:lang w:eastAsia="ru-RU"/>
        </w:rPr>
        <w:t xml:space="preserve">В результате необеспечения в полной мере принципа приоритетности включения в перечень строек не завершенных строительством объектов, а также несоблюдения нормативных сроков строительства объектов, включенных в предыдущие годы </w:t>
      </w:r>
      <w:r w:rsidRPr="00524476">
        <w:rPr>
          <w:rFonts w:ascii="Times New Roman" w:eastAsia="Times New Roman" w:hAnsi="Times New Roman" w:cs="Times New Roman"/>
          <w:bCs/>
          <w:sz w:val="28"/>
          <w:szCs w:val="28"/>
          <w:lang w:eastAsia="ru-RU"/>
        </w:rPr>
        <w:t>в РИП</w:t>
      </w:r>
      <w:r w:rsidRPr="00524476">
        <w:rPr>
          <w:rFonts w:ascii="Times New Roman" w:eastAsia="Times New Roman" w:hAnsi="Times New Roman" w:cs="Times New Roman"/>
          <w:sz w:val="28"/>
          <w:szCs w:val="28"/>
          <w:lang w:eastAsia="ru-RU"/>
        </w:rPr>
        <w:t xml:space="preserve"> сохраняется значительный объем незавершенного строительства.</w:t>
      </w:r>
    </w:p>
    <w:p w14:paraId="5A7FE44E"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1)</w:t>
      </w:r>
      <w:r w:rsidRPr="00524476">
        <w:rPr>
          <w:rFonts w:ascii="Times New Roman" w:eastAsia="Times New Roman" w:hAnsi="Times New Roman" w:cs="Times New Roman"/>
          <w:sz w:val="28"/>
          <w:szCs w:val="28"/>
          <w:lang w:eastAsia="ru-RU"/>
        </w:rPr>
        <w:t xml:space="preserve"> В соответствии с представленными формами по ОКУД 0503190 и 0503790, на 1 января 2022 года по Республике Дагестан значатся </w:t>
      </w:r>
      <w:r w:rsidRPr="00524476">
        <w:rPr>
          <w:rFonts w:ascii="Times New Roman" w:eastAsia="Times New Roman" w:hAnsi="Times New Roman" w:cs="Times New Roman"/>
          <w:b/>
          <w:bCs/>
          <w:sz w:val="28"/>
          <w:szCs w:val="28"/>
          <w:lang w:eastAsia="ru-RU"/>
        </w:rPr>
        <w:t>1 447 объектов</w:t>
      </w:r>
      <w:r w:rsidRPr="00524476">
        <w:rPr>
          <w:rFonts w:ascii="Times New Roman" w:eastAsia="Times New Roman" w:hAnsi="Times New Roman" w:cs="Times New Roman"/>
          <w:sz w:val="28"/>
          <w:szCs w:val="28"/>
          <w:lang w:eastAsia="ru-RU"/>
        </w:rPr>
        <w:t xml:space="preserve"> незавершенного строительства с объемом кассовых расходов в сумме 74 044 983,06 тыс. рублей (фактические расходы – 55 944 318,72 тыс. рублей), в том числе на балансе: казенных учреждений – 1 268 объектов на сумму 65 241 192,02 тыс. рублей (фактические расходы – 50 088 815,57 тыс. рублей) и бюджетных (автономных) учреждений – 179 объектов на сумму 8 803 791,04 тыс. рублей (фактические расходы – 5 855 503,15 тыс. рублей).</w:t>
      </w:r>
    </w:p>
    <w:p w14:paraId="77665FD2"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lastRenderedPageBreak/>
        <w:t>Основной объем незавершенного строительства образовался по объектам, финансирование которых ежегодно предусматривается в республиканском бюджете Республики Дагестан в рамках РИП.</w:t>
      </w:r>
    </w:p>
    <w:p w14:paraId="2D76F32D" w14:textId="2C1C7223"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sz w:val="28"/>
          <w:szCs w:val="28"/>
          <w:lang w:eastAsia="ru-RU"/>
        </w:rPr>
        <w:t>Н</w:t>
      </w:r>
      <w:r w:rsidRPr="00524476">
        <w:rPr>
          <w:rFonts w:ascii="Times New Roman" w:eastAsia="Times New Roman" w:hAnsi="Times New Roman" w:cs="Times New Roman"/>
          <w:bCs/>
          <w:sz w:val="28"/>
          <w:szCs w:val="28"/>
          <w:lang w:eastAsia="ru-RU"/>
        </w:rPr>
        <w:t xml:space="preserve">а 1 января 2022 года </w:t>
      </w:r>
      <w:r w:rsidRPr="00524476">
        <w:rPr>
          <w:rFonts w:ascii="Times New Roman" w:eastAsia="Times New Roman" w:hAnsi="Times New Roman" w:cs="Times New Roman"/>
          <w:sz w:val="28"/>
          <w:szCs w:val="28"/>
          <w:lang w:eastAsia="ru-RU"/>
        </w:rPr>
        <w:t>объем незавершенного строительства объектов, включенных в перечень в рамках РИП</w:t>
      </w:r>
      <w:r w:rsidRPr="00524476">
        <w:rPr>
          <w:rFonts w:ascii="Times New Roman" w:eastAsia="Times New Roman" w:hAnsi="Times New Roman" w:cs="Times New Roman"/>
          <w:bCs/>
          <w:sz w:val="28"/>
          <w:szCs w:val="28"/>
          <w:lang w:eastAsia="ru-RU"/>
        </w:rPr>
        <w:t xml:space="preserve"> </w:t>
      </w:r>
      <w:r w:rsidRPr="00524476">
        <w:rPr>
          <w:rFonts w:ascii="Times New Roman" w:eastAsia="Times New Roman" w:hAnsi="Times New Roman" w:cs="Times New Roman"/>
          <w:sz w:val="28"/>
          <w:szCs w:val="28"/>
          <w:lang w:eastAsia="ru-RU"/>
        </w:rPr>
        <w:t>по кассовым расходам составил 43 873 863,46</w:t>
      </w:r>
      <w:r w:rsidRPr="00524476">
        <w:rPr>
          <w:rFonts w:ascii="Times New Roman" w:eastAsia="Times New Roman" w:hAnsi="Times New Roman" w:cs="Times New Roman"/>
          <w:bCs/>
          <w:sz w:val="28"/>
          <w:szCs w:val="28"/>
          <w:lang w:eastAsia="ru-RU"/>
        </w:rPr>
        <w:t xml:space="preserve"> тыс. рублей (59,25 % от общего объема незавершенного строительства по </w:t>
      </w:r>
      <w:r w:rsidR="00B45176" w:rsidRPr="007639C4">
        <w:rPr>
          <w:rFonts w:ascii="Times New Roman" w:eastAsia="Times New Roman" w:hAnsi="Times New Roman" w:cs="Times New Roman"/>
          <w:sz w:val="28"/>
          <w:szCs w:val="28"/>
          <w:lang w:eastAsia="ru-RU"/>
        </w:rPr>
        <w:t>Республик</w:t>
      </w:r>
      <w:r w:rsidR="00B45176">
        <w:rPr>
          <w:rFonts w:ascii="Times New Roman" w:eastAsia="Times New Roman" w:hAnsi="Times New Roman" w:cs="Times New Roman"/>
          <w:sz w:val="28"/>
          <w:szCs w:val="28"/>
          <w:lang w:eastAsia="ru-RU"/>
        </w:rPr>
        <w:t>е</w:t>
      </w:r>
      <w:r w:rsidR="00B45176" w:rsidRPr="007639C4">
        <w:rPr>
          <w:rFonts w:ascii="Times New Roman" w:eastAsia="Times New Roman" w:hAnsi="Times New Roman" w:cs="Times New Roman"/>
          <w:sz w:val="28"/>
          <w:szCs w:val="28"/>
          <w:lang w:eastAsia="ru-RU"/>
        </w:rPr>
        <w:t xml:space="preserve"> Дагестан</w:t>
      </w:r>
      <w:r w:rsidRPr="00524476">
        <w:rPr>
          <w:rFonts w:ascii="Times New Roman" w:eastAsia="Times New Roman" w:hAnsi="Times New Roman" w:cs="Times New Roman"/>
          <w:bCs/>
          <w:sz w:val="28"/>
          <w:szCs w:val="28"/>
          <w:lang w:eastAsia="ru-RU"/>
        </w:rPr>
        <w:t>) по 533 объектам. Остаток сметной стоимости незавершенных объектов в ценах на начало 2022 года составил порядка 49 952 908,72 тыс. рублей.</w:t>
      </w:r>
    </w:p>
    <w:p w14:paraId="475BD0CD"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
          <w:color w:val="002060"/>
          <w:sz w:val="28"/>
          <w:szCs w:val="28"/>
          <w:lang w:eastAsia="ru-RU"/>
        </w:rPr>
        <w:t>2)</w:t>
      </w:r>
      <w:r w:rsidRPr="00524476">
        <w:rPr>
          <w:rFonts w:ascii="Times New Roman" w:eastAsia="Times New Roman" w:hAnsi="Times New Roman" w:cs="Times New Roman"/>
          <w:bCs/>
          <w:sz w:val="28"/>
          <w:szCs w:val="28"/>
          <w:lang w:eastAsia="ru-RU"/>
        </w:rPr>
        <w:t xml:space="preserve"> Проведенный анализ показал, что по состоянию </w:t>
      </w:r>
      <w:r w:rsidRPr="00524476">
        <w:rPr>
          <w:rFonts w:ascii="Times New Roman" w:eastAsia="Times New Roman" w:hAnsi="Times New Roman" w:cs="Times New Roman"/>
          <w:sz w:val="28"/>
          <w:szCs w:val="28"/>
          <w:lang w:eastAsia="ru-RU"/>
        </w:rPr>
        <w:t>н</w:t>
      </w:r>
      <w:r w:rsidRPr="00524476">
        <w:rPr>
          <w:rFonts w:ascii="Times New Roman" w:eastAsia="Times New Roman" w:hAnsi="Times New Roman" w:cs="Times New Roman"/>
          <w:bCs/>
          <w:sz w:val="28"/>
          <w:szCs w:val="28"/>
          <w:lang w:eastAsia="ru-RU"/>
        </w:rPr>
        <w:t>а 1 января 2022 года количество незавершенных объектов за год увеличилось на 42 единицы (с 491 до 533) с ростом о</w:t>
      </w:r>
      <w:r w:rsidRPr="00524476">
        <w:rPr>
          <w:rFonts w:ascii="Times New Roman" w:eastAsia="Times New Roman" w:hAnsi="Times New Roman" w:cs="Times New Roman"/>
          <w:sz w:val="28"/>
          <w:szCs w:val="28"/>
          <w:lang w:eastAsia="ru-RU"/>
        </w:rPr>
        <w:t xml:space="preserve">бъема незавершенного строительства </w:t>
      </w:r>
      <w:r w:rsidRPr="00524476">
        <w:rPr>
          <w:rFonts w:ascii="Times New Roman" w:eastAsia="Times New Roman" w:hAnsi="Times New Roman" w:cs="Times New Roman"/>
          <w:bCs/>
          <w:sz w:val="28"/>
          <w:szCs w:val="28"/>
          <w:lang w:eastAsia="ru-RU"/>
        </w:rPr>
        <w:t xml:space="preserve">на сумму 6 802 341,5 тыс. рублей (с 37 071 521,8 тыс. рублей до </w:t>
      </w:r>
      <w:r w:rsidRPr="00524476">
        <w:rPr>
          <w:rFonts w:ascii="Times New Roman" w:eastAsia="Times New Roman" w:hAnsi="Times New Roman" w:cs="Times New Roman"/>
          <w:sz w:val="28"/>
          <w:szCs w:val="28"/>
          <w:lang w:eastAsia="ru-RU"/>
        </w:rPr>
        <w:t>43 873 863,4</w:t>
      </w:r>
      <w:r w:rsidRPr="00524476">
        <w:rPr>
          <w:rFonts w:ascii="Times New Roman" w:eastAsia="Times New Roman" w:hAnsi="Times New Roman" w:cs="Times New Roman"/>
          <w:bCs/>
          <w:sz w:val="28"/>
          <w:szCs w:val="28"/>
          <w:lang w:eastAsia="ru-RU"/>
        </w:rPr>
        <w:t xml:space="preserve"> тыс. рублей).</w:t>
      </w:r>
    </w:p>
    <w:p w14:paraId="28661EF1"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За 2021 год из состава незавершенного строительства выбыло 30 объектов на сумму 3 144 281,2 тыс. рублей, при этом из 58 введенных в эксплуатацию завершенных объектов, из состава незавершенного строительства выбыло 28 объектов, которые были переданы муниципальным образованиям, с объемом затраченных на их строительство средств в сумме 2 978 316,2 тыс. рублей.</w:t>
      </w:r>
    </w:p>
    <w:p w14:paraId="70BDCE8D"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
          <w:color w:val="002060"/>
          <w:sz w:val="28"/>
          <w:szCs w:val="28"/>
          <w:lang w:eastAsia="ru-RU"/>
        </w:rPr>
        <w:t>3)</w:t>
      </w:r>
      <w:r w:rsidRPr="00524476">
        <w:rPr>
          <w:rFonts w:ascii="Times New Roman" w:eastAsia="Times New Roman" w:hAnsi="Times New Roman" w:cs="Times New Roman"/>
          <w:bCs/>
          <w:sz w:val="28"/>
          <w:szCs w:val="28"/>
          <w:lang w:eastAsia="ru-RU"/>
        </w:rPr>
        <w:t xml:space="preserve"> В составе незавершенного строительства на 1 января 2022 года отражены объекты: </w:t>
      </w:r>
    </w:p>
    <w:p w14:paraId="3CA9F09B"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высшего образования – 2 объекта на сумму 47 174,6 тыс. рублей, или 0,1 % от общего объема (без изменения количества объектов финансовый объем за год увеличилось на 36 674,6 тыс. рублей);</w:t>
      </w:r>
    </w:p>
    <w:p w14:paraId="5E804E09"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общего образования – 102 объекта на сумму 11 037 247,6 тыс. рублей, или 25,1 % от общего объема (увеличилось на 10 объектов, финансовый объем увеличился на 3 721 209,9 тыс. рублей);</w:t>
      </w:r>
    </w:p>
    <w:p w14:paraId="7B3EA667"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дошкольного образования – 64 объекта на сумму 7 535 584,0 тыс. рублей, или 17,2 % от общего объема (уменьшилось на 17 объектов, объем незавершенного строительства уменьшился на 522 744,8 тыс. рублей);</w:t>
      </w:r>
    </w:p>
    <w:p w14:paraId="2D82B647"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здравоохранения – 31 объект на сумму 4 797 058,5 тыс. рублей, или 10,9 % от общего объема (увеличилось на 9 объектов, финансовый объем увеличился на 792 045,9 тыс. рублей);</w:t>
      </w:r>
    </w:p>
    <w:p w14:paraId="0A979B30"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культуры – 16 объектов на сумму 579 718,1 тыс. рублей, или 1,3 % от общего объема (увеличилось на 7 объектов, финансовый объем увеличился на 277 233,3 тыс. рублей);</w:t>
      </w:r>
    </w:p>
    <w:p w14:paraId="7529284C"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физкультуры и спорта – 36 объектов на сумму 1 035 675,4 тыс. рублей, или 2,3 % от общего объема (увеличилось на 19 объектов, финансовый объем увеличился на 310 319,6 тыс. рублей);</w:t>
      </w:r>
    </w:p>
    <w:p w14:paraId="46FBDDBA"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газификации – 105 объектов на сумму 2 073 518,0 тыс. рублей, или 4,7 % от общего объема (увеличилось на 6 объектов, финансовый объем увеличился на 583 806,0 тыс. рублей);</w:t>
      </w:r>
    </w:p>
    <w:p w14:paraId="4775F49F"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lastRenderedPageBreak/>
        <w:t>- водоснабжения – 137 объектов на сумму 8 308 488,7 тыс. рублей, или 17,9 % от общего объема (увеличилось на 5 объектов, финансовый объем увеличился на 1 421 659,5 тыс. рублей);</w:t>
      </w:r>
    </w:p>
    <w:p w14:paraId="13365F9E"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водоотведения – 17 объектов на сумму 5 733 114,1 тыс. рублей, или 13,0 % от общего объема (без изменения количества объектов, финансовый объем увеличился на 635 731,5 тыс. рублей);</w:t>
      </w:r>
    </w:p>
    <w:p w14:paraId="27FEDA6F"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прочие – 23 объекта на сумму 2 726 284,1 тыс. рублей, или 6,2 % от общего объема (увеличилось на 4 объекта, финансовый объем увеличился на 119 309,0 тыс. рублей).</w:t>
      </w:r>
    </w:p>
    <w:p w14:paraId="770EAA57" w14:textId="77777777" w:rsidR="00524476" w:rsidRPr="00524476" w:rsidRDefault="00524476" w:rsidP="00524476">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14:paraId="08A9B987" w14:textId="77777777" w:rsidR="00524476" w:rsidRPr="00524476" w:rsidRDefault="00524476" w:rsidP="00524476">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524476">
        <w:rPr>
          <w:rFonts w:ascii="Times New Roman" w:eastAsia="Times New Roman" w:hAnsi="Times New Roman" w:cs="Times New Roman"/>
          <w:b/>
          <w:color w:val="002060"/>
          <w:sz w:val="28"/>
          <w:szCs w:val="28"/>
          <w:lang w:eastAsia="ru-RU"/>
        </w:rPr>
        <w:t xml:space="preserve">Объем незавершенного строительства </w:t>
      </w:r>
    </w:p>
    <w:p w14:paraId="723F3580" w14:textId="77777777" w:rsidR="00524476" w:rsidRPr="00524476" w:rsidRDefault="00524476" w:rsidP="00524476">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524476">
        <w:rPr>
          <w:rFonts w:ascii="Times New Roman" w:eastAsia="Times New Roman" w:hAnsi="Times New Roman" w:cs="Times New Roman"/>
          <w:b/>
          <w:color w:val="002060"/>
          <w:sz w:val="28"/>
          <w:szCs w:val="28"/>
          <w:lang w:eastAsia="ru-RU"/>
        </w:rPr>
        <w:t>в разрезе отраслей экономики</w:t>
      </w:r>
    </w:p>
    <w:p w14:paraId="7DF457F2" w14:textId="77777777" w:rsidR="00524476" w:rsidRPr="00524476" w:rsidRDefault="00524476" w:rsidP="00524476">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p>
    <w:p w14:paraId="21DEE736" w14:textId="77777777" w:rsidR="00524476" w:rsidRPr="00524476" w:rsidRDefault="00524476" w:rsidP="00524476">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r w:rsidRPr="00524476">
        <w:rPr>
          <w:rFonts w:ascii="Times New Roman" w:eastAsia="Times New Roman" w:hAnsi="Times New Roman" w:cs="Times New Roman"/>
          <w:b/>
          <w:color w:val="002060"/>
          <w:sz w:val="24"/>
          <w:szCs w:val="24"/>
          <w:lang w:eastAsia="ru-RU"/>
        </w:rPr>
        <w:t>млн рублей</w:t>
      </w:r>
    </w:p>
    <w:p w14:paraId="7F58C5AD" w14:textId="77777777" w:rsidR="00524476" w:rsidRPr="00524476" w:rsidRDefault="00524476" w:rsidP="00524476">
      <w:pPr>
        <w:widowControl w:val="0"/>
        <w:tabs>
          <w:tab w:val="left" w:pos="300"/>
        </w:tabs>
        <w:autoSpaceDE w:val="0"/>
        <w:autoSpaceDN w:val="0"/>
        <w:adjustRightInd w:val="0"/>
        <w:spacing w:after="0" w:line="240" w:lineRule="auto"/>
        <w:rPr>
          <w:rFonts w:ascii="Times New Roman" w:eastAsia="Times New Roman" w:hAnsi="Times New Roman" w:cs="Times New Roman"/>
          <w:b/>
          <w:color w:val="002060"/>
          <w:sz w:val="24"/>
          <w:szCs w:val="24"/>
          <w:lang w:eastAsia="ru-RU"/>
        </w:rPr>
      </w:pPr>
      <w:r w:rsidRPr="00524476">
        <w:rPr>
          <w:rFonts w:ascii="Times New Roman" w:eastAsia="Times New Roman" w:hAnsi="Times New Roman" w:cs="Times New Roman"/>
          <w:b/>
          <w:color w:val="002060"/>
          <w:sz w:val="24"/>
          <w:szCs w:val="24"/>
          <w:lang w:eastAsia="ru-RU"/>
        </w:rPr>
        <w:tab/>
      </w:r>
      <w:r w:rsidRPr="00524476">
        <w:rPr>
          <w:noProof/>
          <w:lang w:eastAsia="ru-RU"/>
        </w:rPr>
        <w:drawing>
          <wp:inline distT="0" distB="0" distL="0" distR="0" wp14:anchorId="54E456D2" wp14:editId="4D4125A6">
            <wp:extent cx="5940425" cy="3699510"/>
            <wp:effectExtent l="0" t="0" r="3175"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A46D7F" w14:textId="77777777" w:rsidR="00524476" w:rsidRPr="00524476" w:rsidRDefault="00524476" w:rsidP="00524476">
      <w:pPr>
        <w:widowControl w:val="0"/>
        <w:autoSpaceDE w:val="0"/>
        <w:autoSpaceDN w:val="0"/>
        <w:adjustRightInd w:val="0"/>
        <w:spacing w:after="0" w:line="240" w:lineRule="auto"/>
        <w:jc w:val="right"/>
        <w:rPr>
          <w:rFonts w:ascii="Times New Roman" w:eastAsia="Times New Roman" w:hAnsi="Times New Roman" w:cs="Times New Roman"/>
          <w:b/>
          <w:color w:val="002060"/>
          <w:sz w:val="24"/>
          <w:szCs w:val="24"/>
          <w:lang w:eastAsia="ru-RU"/>
        </w:rPr>
      </w:pPr>
    </w:p>
    <w:p w14:paraId="3E094720" w14:textId="77777777" w:rsidR="00524476" w:rsidRPr="00524476" w:rsidRDefault="00524476" w:rsidP="0061313A">
      <w:pPr>
        <w:widowControl w:val="0"/>
        <w:tabs>
          <w:tab w:val="left" w:pos="852"/>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
          <w:color w:val="002060"/>
          <w:sz w:val="24"/>
          <w:szCs w:val="24"/>
          <w:lang w:eastAsia="ru-RU"/>
        </w:rPr>
        <w:tab/>
      </w:r>
      <w:r w:rsidRPr="00FB55DE">
        <w:rPr>
          <w:rFonts w:ascii="Times New Roman" w:eastAsia="Times New Roman" w:hAnsi="Times New Roman" w:cs="Times New Roman"/>
          <w:b/>
          <w:color w:val="002060"/>
          <w:sz w:val="28"/>
          <w:szCs w:val="28"/>
          <w:lang w:eastAsia="ru-RU"/>
        </w:rPr>
        <w:t>4)</w:t>
      </w:r>
      <w:r w:rsidRPr="00FB55DE">
        <w:rPr>
          <w:rFonts w:ascii="Times New Roman" w:eastAsia="Times New Roman" w:hAnsi="Times New Roman" w:cs="Times New Roman"/>
          <w:bCs/>
          <w:color w:val="002060"/>
          <w:sz w:val="28"/>
          <w:szCs w:val="28"/>
          <w:lang w:eastAsia="ru-RU"/>
        </w:rPr>
        <w:t xml:space="preserve"> </w:t>
      </w:r>
      <w:r w:rsidRPr="00524476">
        <w:rPr>
          <w:rFonts w:ascii="Times New Roman" w:eastAsia="Times New Roman" w:hAnsi="Times New Roman" w:cs="Times New Roman"/>
          <w:bCs/>
          <w:sz w:val="28"/>
          <w:szCs w:val="28"/>
          <w:lang w:eastAsia="ru-RU"/>
        </w:rPr>
        <w:t>В составе незавершенного строительства в рамках РИП на 1 января 2022 года отражены завершенные строительством 53 объекта на сумму 5 654 316,3 тыс. рублей (из них 47 объектов на сумму 4 732 778,4 тыс. рублей завершены в 2021 году и 6 объектов на сумму 921 537,7 тыс. рублей завершены в 2018-2020 годах), которые остались числится в годовой форме по ОКУД 0503190 «Сведения о вложениях в объекты недвижимого имущества, объектах незавершенного строительства», в том числе:</w:t>
      </w:r>
    </w:p>
    <w:p w14:paraId="04FA73FD" w14:textId="77777777" w:rsidR="00524476" w:rsidRPr="00524476" w:rsidRDefault="00524476" w:rsidP="0061313A">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xml:space="preserve">- 10 объектов общего образования – 2 501 485,2 тыс. рублей; </w:t>
      </w:r>
    </w:p>
    <w:p w14:paraId="174070D4" w14:textId="77777777" w:rsidR="00524476" w:rsidRPr="00524476" w:rsidRDefault="00524476" w:rsidP="0061313A">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- 10 объектов дошкольного образования – 1 633 489,4 тыс. рублей;</w:t>
      </w:r>
    </w:p>
    <w:p w14:paraId="1E35262C" w14:textId="77777777" w:rsidR="00524476" w:rsidRPr="00524476" w:rsidRDefault="00524476" w:rsidP="0061313A">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xml:space="preserve">- 6 объектов спорта – 63 596,8 тыс. рублей; </w:t>
      </w:r>
    </w:p>
    <w:p w14:paraId="78061F74" w14:textId="77777777" w:rsidR="00524476" w:rsidRPr="00524476" w:rsidRDefault="00524476" w:rsidP="0061313A">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lastRenderedPageBreak/>
        <w:t xml:space="preserve">- 12 объектов газификации – 343 771,9 тыс. рублей; </w:t>
      </w:r>
    </w:p>
    <w:p w14:paraId="1DF18B32" w14:textId="77777777" w:rsidR="00524476" w:rsidRPr="00524476" w:rsidRDefault="00524476" w:rsidP="0061313A">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- 13 объектов водоснабжения – 549 363,4 тыс. рублей;</w:t>
      </w:r>
    </w:p>
    <w:p w14:paraId="5675BFED" w14:textId="77777777" w:rsidR="00524476" w:rsidRPr="00524476" w:rsidRDefault="00524476" w:rsidP="0061313A">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- 1 объект водоотведения – 549 635,7 тыс. рублей;</w:t>
      </w:r>
    </w:p>
    <w:p w14:paraId="7E50BADD" w14:textId="77777777" w:rsidR="00524476" w:rsidRPr="00524476" w:rsidRDefault="00524476" w:rsidP="0061313A">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xml:space="preserve">- 1 прочий объект - </w:t>
      </w:r>
      <w:r w:rsidRPr="00524476">
        <w:rPr>
          <w:rFonts w:ascii="Times New Roman" w:eastAsia="Times New Roman" w:hAnsi="Times New Roman" w:cs="Times New Roman"/>
          <w:spacing w:val="-6"/>
          <w:sz w:val="28"/>
          <w:szCs w:val="28"/>
          <w:lang w:eastAsia="ru-RU"/>
        </w:rPr>
        <w:t>12 973,6 тыс. рублей</w:t>
      </w:r>
      <w:r w:rsidRPr="00524476">
        <w:rPr>
          <w:rFonts w:ascii="Times New Roman" w:eastAsia="Times New Roman" w:hAnsi="Times New Roman" w:cs="Times New Roman"/>
          <w:bCs/>
          <w:sz w:val="28"/>
          <w:szCs w:val="28"/>
          <w:lang w:eastAsia="ru-RU"/>
        </w:rPr>
        <w:t>.</w:t>
      </w:r>
    </w:p>
    <w:p w14:paraId="7A1DB355"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FB55DE">
        <w:rPr>
          <w:rFonts w:ascii="Times New Roman" w:eastAsia="Times New Roman" w:hAnsi="Times New Roman" w:cs="Times New Roman"/>
          <w:b/>
          <w:color w:val="002060"/>
          <w:sz w:val="28"/>
          <w:szCs w:val="28"/>
          <w:lang w:eastAsia="ru-RU"/>
        </w:rPr>
        <w:t>5)</w:t>
      </w:r>
      <w:r w:rsidRPr="00FB55DE">
        <w:rPr>
          <w:rFonts w:ascii="Times New Roman" w:eastAsia="Times New Roman" w:hAnsi="Times New Roman" w:cs="Times New Roman"/>
          <w:bCs/>
          <w:color w:val="002060"/>
          <w:sz w:val="28"/>
          <w:szCs w:val="28"/>
          <w:lang w:eastAsia="ru-RU"/>
        </w:rPr>
        <w:t xml:space="preserve"> </w:t>
      </w:r>
      <w:r w:rsidRPr="00524476">
        <w:rPr>
          <w:rFonts w:ascii="Times New Roman" w:eastAsia="Times New Roman" w:hAnsi="Times New Roman" w:cs="Times New Roman"/>
          <w:bCs/>
          <w:sz w:val="28"/>
          <w:szCs w:val="28"/>
          <w:lang w:eastAsia="ru-RU"/>
        </w:rPr>
        <w:t xml:space="preserve">В Перечне незавершенного строительства в рамках РИП значатся 255 объектов-долгостроев, или 47,8 % от количества незавершенных объектов, со сроком строительства от 4 лет до 31 года с объемом незавершенного строительства в сумме 22 787 536,1 тыс. рублей, или 51,9 % от объема незавершенного строительства, в том числе: </w:t>
      </w:r>
    </w:p>
    <w:p w14:paraId="6075B83E"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xml:space="preserve">- 9 объектов – начало строительства 1987-1998 годы, продолжительность 22-33 года с объемом незавершенного строительства в сумме 5 859 739,6 тыс. рублей; </w:t>
      </w:r>
    </w:p>
    <w:p w14:paraId="1F29FFD0"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xml:space="preserve">- 40 объектов – начало строительства 2001-2005 годы, продолжительность 15-19 лет с объемом незавершенного строительства в сумме 2 688 881,6 тыс. рублей; </w:t>
      </w:r>
    </w:p>
    <w:p w14:paraId="29478782"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- 95 объектов – начало строительства 2006-2010 годы, продолжительность 10-14 лет с объемом незавершенного строительства в сумме 8 782 097,92 тыс. рублей;</w:t>
      </w:r>
    </w:p>
    <w:p w14:paraId="382661DD" w14:textId="77777777" w:rsidR="00524476" w:rsidRPr="00524476" w:rsidRDefault="00524476" w:rsidP="00524476">
      <w:pPr>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524476">
        <w:rPr>
          <w:rFonts w:ascii="Times New Roman" w:eastAsia="Times New Roman" w:hAnsi="Times New Roman" w:cs="Times New Roman"/>
          <w:bCs/>
          <w:sz w:val="28"/>
          <w:szCs w:val="28"/>
          <w:lang w:eastAsia="ru-RU"/>
        </w:rPr>
        <w:t xml:space="preserve">- 111 объектов – начало строительства 2011-2016 годы, продолжительность от 4 до 9 лет с объемом незавершенного строительства в сумме 5 456 817,0 тыс. рублей. </w:t>
      </w:r>
    </w:p>
    <w:p w14:paraId="33853ABF" w14:textId="4B66E1E5"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bCs/>
          <w:sz w:val="28"/>
          <w:szCs w:val="28"/>
          <w:lang w:eastAsia="ru-RU"/>
        </w:rPr>
      </w:pPr>
      <w:r w:rsidRPr="00FB55DE">
        <w:rPr>
          <w:rFonts w:ascii="Times New Roman" w:eastAsia="Times New Roman" w:hAnsi="Times New Roman" w:cs="Times New Roman"/>
          <w:b/>
          <w:bCs/>
          <w:color w:val="002060"/>
          <w:sz w:val="28"/>
          <w:szCs w:val="28"/>
          <w:lang w:eastAsia="ru-RU"/>
        </w:rPr>
        <w:t>6)</w:t>
      </w:r>
      <w:r w:rsidRPr="00FB55DE">
        <w:rPr>
          <w:rFonts w:ascii="Times New Roman" w:eastAsia="Times New Roman" w:hAnsi="Times New Roman" w:cs="Times New Roman"/>
          <w:bCs/>
          <w:color w:val="002060"/>
          <w:sz w:val="28"/>
          <w:szCs w:val="28"/>
          <w:lang w:eastAsia="ru-RU"/>
        </w:rPr>
        <w:t xml:space="preserve"> </w:t>
      </w:r>
      <w:r w:rsidRPr="00524476">
        <w:rPr>
          <w:rFonts w:ascii="Times New Roman" w:eastAsia="Times New Roman" w:hAnsi="Times New Roman" w:cs="Times New Roman"/>
          <w:bCs/>
          <w:sz w:val="28"/>
          <w:szCs w:val="28"/>
          <w:lang w:eastAsia="ru-RU"/>
        </w:rPr>
        <w:t>В Перечне незавершенного строительства в рамках РИП значатся 278 объект</w:t>
      </w:r>
      <w:r w:rsidR="005F15C7">
        <w:rPr>
          <w:rFonts w:ascii="Times New Roman" w:eastAsia="Times New Roman" w:hAnsi="Times New Roman" w:cs="Times New Roman"/>
          <w:bCs/>
          <w:sz w:val="28"/>
          <w:szCs w:val="28"/>
          <w:lang w:eastAsia="ru-RU"/>
        </w:rPr>
        <w:t>ов</w:t>
      </w:r>
      <w:r w:rsidRPr="00524476">
        <w:rPr>
          <w:rFonts w:ascii="Times New Roman" w:eastAsia="Times New Roman" w:hAnsi="Times New Roman" w:cs="Times New Roman"/>
          <w:bCs/>
          <w:sz w:val="28"/>
          <w:szCs w:val="28"/>
          <w:lang w:eastAsia="ru-RU"/>
        </w:rPr>
        <w:t>, или 52,1 % от общего количества на сумму 21 086 327,3 тыс. рублей, или 48,0 % от финансового объема, продолжительностью от 1 года до 3 лет, с началом строительства в 2019-2021 годах. Строительство данных объектов ведется с небольшим отклонением от нормативных сроков.</w:t>
      </w:r>
    </w:p>
    <w:p w14:paraId="192B749A"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7)</w:t>
      </w:r>
      <w:r w:rsidRPr="00524476">
        <w:rPr>
          <w:rFonts w:ascii="Times New Roman" w:eastAsia="Times New Roman" w:hAnsi="Times New Roman" w:cs="Times New Roman"/>
          <w:sz w:val="28"/>
          <w:szCs w:val="28"/>
          <w:lang w:eastAsia="ru-RU"/>
        </w:rPr>
        <w:t xml:space="preserve"> Территориальное расположение объектов незавершенного строительства характеризуется следующим образом.</w:t>
      </w:r>
    </w:p>
    <w:p w14:paraId="3324E8CD"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В городских округах Республики Дагестан размещено 105 объекта </w:t>
      </w:r>
      <w:r w:rsidRPr="00524476">
        <w:rPr>
          <w:rFonts w:ascii="Times New Roman" w:eastAsia="Times New Roman" w:hAnsi="Times New Roman" w:cs="Times New Roman"/>
          <w:sz w:val="28"/>
          <w:szCs w:val="28"/>
          <w:lang w:eastAsia="ru-RU"/>
        </w:rPr>
        <w:br/>
        <w:t>(19,1 % от общего количества) со стоимостью незавершенного строительства в сумме 16 971 752,3 тыс. рублей (38,6 % от общей стоимости незавершенного строительства), в том числе объекты:</w:t>
      </w:r>
    </w:p>
    <w:p w14:paraId="2A03C46F"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высшего образования – 2 объекта на сумму </w:t>
      </w:r>
      <w:r w:rsidRPr="00524476">
        <w:rPr>
          <w:rFonts w:ascii="Times New Roman" w:eastAsia="Times New Roman" w:hAnsi="Times New Roman" w:cs="Times New Roman"/>
          <w:bCs/>
          <w:sz w:val="28"/>
          <w:szCs w:val="28"/>
          <w:lang w:eastAsia="ru-RU"/>
        </w:rPr>
        <w:t>47 174,6 тыс. рублей</w:t>
      </w:r>
      <w:r w:rsidRPr="00524476">
        <w:rPr>
          <w:rFonts w:ascii="Times New Roman" w:eastAsia="Times New Roman" w:hAnsi="Times New Roman" w:cs="Times New Roman"/>
          <w:sz w:val="28"/>
          <w:szCs w:val="28"/>
          <w:lang w:eastAsia="ru-RU"/>
        </w:rPr>
        <w:t>;</w:t>
      </w:r>
    </w:p>
    <w:p w14:paraId="6D93A67F"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общего образования – 17 объектов на сумму 2 417 685,3 тыс. рублей;</w:t>
      </w:r>
    </w:p>
    <w:p w14:paraId="54673D9D"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дошкольного образования – 26 объекта на сумму 2 156 244,1 тыс. рублей;</w:t>
      </w:r>
    </w:p>
    <w:p w14:paraId="17B38408"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здравоохранения – 10 объектов на сумму 3 111 072,1 тыс. рублей;</w:t>
      </w:r>
    </w:p>
    <w:p w14:paraId="5CDCF222"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культуры – 3 объекта на сумму 316 381,5 тыс. рублей;</w:t>
      </w:r>
    </w:p>
    <w:p w14:paraId="2341EA47"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физкультуры и спорта – 8 объектов на сумму 812 398,7 тыс. рублей;</w:t>
      </w:r>
    </w:p>
    <w:p w14:paraId="32C57D29"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газификации населенных пунктов – 4 объекта на сумму 179 049,1 тыс. рублей;</w:t>
      </w:r>
    </w:p>
    <w:p w14:paraId="5D5F5FCA"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водоснабжения – 27 объектов на сумму 2 416 512,2 тыс. рублей;</w:t>
      </w:r>
    </w:p>
    <w:p w14:paraId="2EEAB6AE"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lastRenderedPageBreak/>
        <w:t>- водоотведения – 3 объектов на сумму 4 260 855,8 тыс. рублей;</w:t>
      </w:r>
    </w:p>
    <w:p w14:paraId="7D6EF312"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прочие – 5 объектов на сумму 1 254 378,5 тыс. рублей.</w:t>
      </w:r>
    </w:p>
    <w:p w14:paraId="246FECC8"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муниципальных районах Республики Дагестан размещено 428 объектов (80,8 % от общего количества) со стоимостью незавершенного строительства в сумме 26 902 111,1 тыс. рублей (61,3 % от общей стоимости незавершенного строительства), в том числе объекты:</w:t>
      </w:r>
    </w:p>
    <w:p w14:paraId="74DB7637"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общего образования (школы) – 85 объектов на сумму 8 619 562,2 тыс. рублей;</w:t>
      </w:r>
    </w:p>
    <w:p w14:paraId="225319B6"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дошкольного образования – 38 объектов на сумму 5 379 339,9 тыс. рублей;</w:t>
      </w:r>
    </w:p>
    <w:p w14:paraId="690E2D29"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здравоохранения – 21 объект на сумму 1 685 986,3 тыс. рублей;</w:t>
      </w:r>
    </w:p>
    <w:p w14:paraId="5FE77A20"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культуры – 13 объектов на сумму 263 336,5 тыс. рублей;</w:t>
      </w:r>
    </w:p>
    <w:p w14:paraId="4E44FD9C"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физкультуры и спорта – 28 объектов на сумму 223 276,6 тыс. рублей;</w:t>
      </w:r>
    </w:p>
    <w:p w14:paraId="47C2174C"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газификации населенных пунктов – 101 объект на сумму 1 894 468,8 тыс. рублей;</w:t>
      </w:r>
    </w:p>
    <w:p w14:paraId="7C049F57"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водоснабжения – 110 объектов на сумму 5 891 976,5 тыс. рублей;</w:t>
      </w:r>
    </w:p>
    <w:p w14:paraId="5861B98D"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водоотведения – 14 объектов на сумму 1 472 258,3 тыс. рублей;</w:t>
      </w:r>
    </w:p>
    <w:p w14:paraId="38183442" w14:textId="77777777" w:rsidR="00524476" w:rsidRPr="00524476" w:rsidRDefault="00524476" w:rsidP="00524476">
      <w:pPr>
        <w:widowControl w:val="0"/>
        <w:autoSpaceDE w:val="0"/>
        <w:autoSpaceDN w:val="0"/>
        <w:adjustRightInd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прочие – 18 объектов на сумму 1 471 905,6 тыс. рублей.</w:t>
      </w:r>
    </w:p>
    <w:p w14:paraId="1399A03F"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FB55DE">
        <w:rPr>
          <w:rFonts w:ascii="Times New Roman" w:eastAsia="Times New Roman" w:hAnsi="Times New Roman" w:cs="Times New Roman"/>
          <w:b/>
          <w:bCs/>
          <w:color w:val="002060"/>
          <w:sz w:val="28"/>
          <w:szCs w:val="28"/>
          <w:lang w:eastAsia="ru-RU"/>
        </w:rPr>
        <w:t>8)</w:t>
      </w:r>
      <w:r w:rsidRPr="00524476">
        <w:rPr>
          <w:rFonts w:ascii="Times New Roman" w:eastAsia="Times New Roman" w:hAnsi="Times New Roman" w:cs="Times New Roman"/>
          <w:sz w:val="28"/>
          <w:szCs w:val="28"/>
          <w:lang w:eastAsia="ru-RU"/>
        </w:rPr>
        <w:t xml:space="preserve"> По состоянию на 1 января 2022 года в перечне объектов незавершенного строительства отражены 6 объектов с общим объемом произведенных на их строительство затрат в сумме 921 537,7 тыс. рублей, </w:t>
      </w:r>
      <w:r w:rsidRPr="00524476">
        <w:rPr>
          <w:rFonts w:ascii="Times New Roman" w:eastAsia="Times New Roman" w:hAnsi="Times New Roman" w:cs="Times New Roman"/>
          <w:spacing w:val="-6"/>
          <w:sz w:val="28"/>
          <w:szCs w:val="28"/>
          <w:lang w:eastAsia="ru-RU"/>
        </w:rPr>
        <w:t>которые, в нарушение статьи 55 Градостроительного кодекса Российской Федерации, функционируют без наличия соответствующей разрешительной документации (отсутствие оформления прав собственности и др.), в том числе:</w:t>
      </w:r>
    </w:p>
    <w:p w14:paraId="07A54351"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524476">
        <w:rPr>
          <w:rFonts w:ascii="Times New Roman" w:eastAsia="Times New Roman" w:hAnsi="Times New Roman" w:cs="Times New Roman"/>
          <w:spacing w:val="-6"/>
          <w:sz w:val="28"/>
          <w:szCs w:val="28"/>
          <w:lang w:eastAsia="ru-RU"/>
        </w:rPr>
        <w:t>- школа № 26 на 604 ученических места в г. Махачкале – 379 564,9 тыс. рублей;</w:t>
      </w:r>
    </w:p>
    <w:p w14:paraId="6A143744"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524476">
        <w:rPr>
          <w:rFonts w:ascii="Times New Roman" w:eastAsia="Times New Roman" w:hAnsi="Times New Roman" w:cs="Times New Roman"/>
          <w:spacing w:val="-6"/>
          <w:sz w:val="28"/>
          <w:szCs w:val="28"/>
          <w:lang w:eastAsia="ru-RU"/>
        </w:rPr>
        <w:t>- школа на 604 ученических места в с. Коркмаскала Кумторкалинского района – 129 895,6 тыс. рублей;</w:t>
      </w:r>
    </w:p>
    <w:p w14:paraId="2499186D"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524476">
        <w:rPr>
          <w:rFonts w:ascii="Times New Roman" w:eastAsia="Times New Roman" w:hAnsi="Times New Roman" w:cs="Times New Roman"/>
          <w:spacing w:val="-6"/>
          <w:sz w:val="28"/>
          <w:szCs w:val="28"/>
          <w:lang w:eastAsia="ru-RU"/>
        </w:rPr>
        <w:t>- школа на 300 ученических мест в с. Теречное Хасавюртовского района – 252 796,7 тыс. рублей;</w:t>
      </w:r>
    </w:p>
    <w:p w14:paraId="204AD694"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524476">
        <w:rPr>
          <w:rFonts w:ascii="Times New Roman" w:eastAsia="Times New Roman" w:hAnsi="Times New Roman" w:cs="Times New Roman"/>
          <w:spacing w:val="-6"/>
          <w:sz w:val="28"/>
          <w:szCs w:val="28"/>
          <w:lang w:eastAsia="ru-RU"/>
        </w:rPr>
        <w:t xml:space="preserve">- учебный корпус школы в с. Уцмиюрт Бабаюртовского района на 640 ученических мест – 115 990,4 тыс. рублей; </w:t>
      </w:r>
    </w:p>
    <w:p w14:paraId="7216C274"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524476">
        <w:rPr>
          <w:rFonts w:ascii="Times New Roman" w:eastAsia="Times New Roman" w:hAnsi="Times New Roman" w:cs="Times New Roman"/>
          <w:spacing w:val="-6"/>
          <w:sz w:val="28"/>
          <w:szCs w:val="28"/>
          <w:lang w:eastAsia="ru-RU"/>
        </w:rPr>
        <w:t>- водоснабжение с. Цудахар Левашинского района – 30 316,2 тыс. рублей;</w:t>
      </w:r>
    </w:p>
    <w:p w14:paraId="6E2EE269"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pacing w:val="-6"/>
          <w:sz w:val="28"/>
          <w:szCs w:val="28"/>
          <w:lang w:eastAsia="ru-RU"/>
        </w:rPr>
      </w:pPr>
      <w:r w:rsidRPr="00524476">
        <w:rPr>
          <w:rFonts w:ascii="Times New Roman" w:eastAsia="Times New Roman" w:hAnsi="Times New Roman" w:cs="Times New Roman"/>
          <w:spacing w:val="-6"/>
          <w:sz w:val="28"/>
          <w:szCs w:val="28"/>
          <w:lang w:eastAsia="ru-RU"/>
        </w:rPr>
        <w:t>- троллейбусная линия по ул. Ленина г. Каспийска – 12 973,6 тыс. рублей.</w:t>
      </w:r>
    </w:p>
    <w:p w14:paraId="17B0C32B" w14:textId="5F5311FC"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color w:val="002060"/>
          <w:sz w:val="28"/>
          <w:szCs w:val="28"/>
          <w:lang w:eastAsia="ru-RU"/>
        </w:rPr>
        <w:t>5.1</w:t>
      </w:r>
      <w:r w:rsidR="003113E8">
        <w:rPr>
          <w:rFonts w:ascii="Times New Roman" w:eastAsia="Times New Roman" w:hAnsi="Times New Roman" w:cs="Times New Roman"/>
          <w:b/>
          <w:color w:val="002060"/>
          <w:sz w:val="28"/>
          <w:szCs w:val="28"/>
          <w:lang w:eastAsia="ru-RU"/>
        </w:rPr>
        <w:t>2</w:t>
      </w:r>
      <w:r w:rsidRPr="00FB55DE">
        <w:rPr>
          <w:rFonts w:ascii="Times New Roman" w:eastAsia="Times New Roman" w:hAnsi="Times New Roman" w:cs="Times New Roman"/>
          <w:b/>
          <w:color w:val="002060"/>
          <w:sz w:val="28"/>
          <w:szCs w:val="28"/>
          <w:lang w:eastAsia="ru-RU"/>
        </w:rPr>
        <w:t>.</w:t>
      </w:r>
      <w:r w:rsidRPr="00FB55DE">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Отсутствие планомерности в вопросах формирования и реализации РИП приводит к несоблюдению нормативных сроков строительства, удорожанию и росту объектов незавершенного строительства, а также увеличению диспропорции в обеспеченности населения объектами социальной инфраструктуры.</w:t>
      </w:r>
    </w:p>
    <w:p w14:paraId="733C072F"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Проведенный анализ состояния обеспеченности населения объектами социальной инфраструктуры на 1 января 2021 года показал следующее.</w:t>
      </w:r>
    </w:p>
    <w:p w14:paraId="60EC899D"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1)</w:t>
      </w:r>
      <w:r w:rsidRPr="00524476">
        <w:rPr>
          <w:rFonts w:ascii="Times New Roman" w:eastAsia="Times New Roman" w:hAnsi="Times New Roman" w:cs="Times New Roman"/>
          <w:sz w:val="28"/>
          <w:szCs w:val="28"/>
          <w:lang w:eastAsia="ru-RU"/>
        </w:rPr>
        <w:t xml:space="preserve"> Количество больничных учреждений по республике составляет 208 </w:t>
      </w:r>
      <w:r w:rsidRPr="00524476">
        <w:rPr>
          <w:rFonts w:ascii="Times New Roman" w:eastAsia="Times New Roman" w:hAnsi="Times New Roman" w:cs="Times New Roman"/>
          <w:sz w:val="28"/>
          <w:szCs w:val="28"/>
          <w:lang w:eastAsia="ru-RU"/>
        </w:rPr>
        <w:lastRenderedPageBreak/>
        <w:t xml:space="preserve">единиц, в том числе по районам – 165 единиц (200 зданий), по городам – 43 единицы (120 зданий). </w:t>
      </w:r>
    </w:p>
    <w:p w14:paraId="6D682978"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2021 году велось строительство 12 больниц, которое будет продолжено в 2022-2023 годы.</w:t>
      </w:r>
    </w:p>
    <w:p w14:paraId="500BCDD7"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Обеспеченность населения больничными учреждениями в среднем по республике составляет 59,0 койки на 10 тыс. человек населения при нормативе 134,7 койки, в том числе данный показатель по районам составил 35,5 койки, а по городам – 88,8 койки, что в 2,5 раза выше, чем по районам. </w:t>
      </w:r>
    </w:p>
    <w:p w14:paraId="6FE484A6"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Тем самым показатель по районам в 3,8 раза, по городам – в 1,5 раза ниже нормативного. </w:t>
      </w:r>
    </w:p>
    <w:p w14:paraId="2CC1C27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Наиболее низкие показатели обеспеченности учреждениями здравоохранения от 16,8 до 29,9 койки (в 4,5 – 8 раз ниже нормативного) наблюдаются в муниципальных образованиях:</w:t>
      </w:r>
    </w:p>
    <w:p w14:paraId="204D9038"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«Кумторкалинский район» – 16,8 койки, что в 8 раз ниже норматива </w:t>
      </w:r>
      <w:r w:rsidRPr="00524476">
        <w:rPr>
          <w:rFonts w:ascii="Times New Roman" w:eastAsia="Times New Roman" w:hAnsi="Times New Roman" w:cs="Times New Roman"/>
          <w:sz w:val="28"/>
          <w:szCs w:val="28"/>
          <w:lang w:eastAsia="ru-RU"/>
        </w:rPr>
        <w:br/>
        <w:t xml:space="preserve">(2 учреждения); </w:t>
      </w:r>
    </w:p>
    <w:p w14:paraId="5AA27109"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«Кизилюртовский район» – 19,7 койки, что в 6,8 раза ниже норматива </w:t>
      </w:r>
      <w:r w:rsidRPr="00524476">
        <w:rPr>
          <w:rFonts w:ascii="Times New Roman" w:eastAsia="Times New Roman" w:hAnsi="Times New Roman" w:cs="Times New Roman"/>
          <w:sz w:val="28"/>
          <w:szCs w:val="28"/>
          <w:lang w:eastAsia="ru-RU"/>
        </w:rPr>
        <w:br/>
        <w:t>(4 учреждения);</w:t>
      </w:r>
    </w:p>
    <w:p w14:paraId="24D7450E"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«Докузпаринский район» – 20,0 коек, что в 6,7 раз ниже норматива </w:t>
      </w:r>
      <w:r w:rsidRPr="00524476">
        <w:rPr>
          <w:rFonts w:ascii="Times New Roman" w:eastAsia="Times New Roman" w:hAnsi="Times New Roman" w:cs="Times New Roman"/>
          <w:sz w:val="28"/>
          <w:szCs w:val="28"/>
          <w:lang w:eastAsia="ru-RU"/>
        </w:rPr>
        <w:br/>
        <w:t>(2 учреждения);</w:t>
      </w:r>
    </w:p>
    <w:p w14:paraId="7180FB4E"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«Кизлярский район» – 21,0 койки, что в 6,4 раза ниже норматива </w:t>
      </w:r>
      <w:r w:rsidRPr="00524476">
        <w:rPr>
          <w:rFonts w:ascii="Times New Roman" w:eastAsia="Times New Roman" w:hAnsi="Times New Roman" w:cs="Times New Roman"/>
          <w:sz w:val="28"/>
          <w:szCs w:val="28"/>
          <w:lang w:eastAsia="ru-RU"/>
        </w:rPr>
        <w:br/>
        <w:t>(4 учреждения);</w:t>
      </w:r>
    </w:p>
    <w:p w14:paraId="7C35DBA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«Карабудахкентский район» – 24,5 койки, что в 5,5 раза ниже норматива (4 учреждения);</w:t>
      </w:r>
    </w:p>
    <w:p w14:paraId="3938099B"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«Каякентский район» – 25,1 койки, что в 5,4 раза ниже норматива </w:t>
      </w:r>
      <w:r w:rsidRPr="00524476">
        <w:rPr>
          <w:rFonts w:ascii="Times New Roman" w:eastAsia="Times New Roman" w:hAnsi="Times New Roman" w:cs="Times New Roman"/>
          <w:sz w:val="28"/>
          <w:szCs w:val="28"/>
          <w:lang w:eastAsia="ru-RU"/>
        </w:rPr>
        <w:br/>
        <w:t>(4 учреждения);</w:t>
      </w:r>
    </w:p>
    <w:p w14:paraId="35D54FDC"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«Акушинский район» – 26,0 коек, что в 5,2 раза ниже норматива </w:t>
      </w:r>
      <w:r w:rsidRPr="00524476">
        <w:rPr>
          <w:rFonts w:ascii="Times New Roman" w:eastAsia="Times New Roman" w:hAnsi="Times New Roman" w:cs="Times New Roman"/>
          <w:sz w:val="28"/>
          <w:szCs w:val="28"/>
          <w:lang w:eastAsia="ru-RU"/>
        </w:rPr>
        <w:br/>
        <w:t>(3 учреждения);</w:t>
      </w:r>
    </w:p>
    <w:p w14:paraId="5365688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«Буйнакский район» – 26,1 койки, что в 5 раз ниже норматива </w:t>
      </w:r>
      <w:r w:rsidRPr="00524476">
        <w:rPr>
          <w:rFonts w:ascii="Times New Roman" w:eastAsia="Times New Roman" w:hAnsi="Times New Roman" w:cs="Times New Roman"/>
          <w:sz w:val="28"/>
          <w:szCs w:val="28"/>
          <w:lang w:eastAsia="ru-RU"/>
        </w:rPr>
        <w:br/>
        <w:t>(9 учреждений);</w:t>
      </w:r>
    </w:p>
    <w:p w14:paraId="74674F44"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«Ботлихский район» – 26,9 коек, что в 5 раз ниже норматива </w:t>
      </w:r>
      <w:r w:rsidRPr="00524476">
        <w:rPr>
          <w:rFonts w:ascii="Times New Roman" w:eastAsia="Times New Roman" w:hAnsi="Times New Roman" w:cs="Times New Roman"/>
          <w:sz w:val="28"/>
          <w:szCs w:val="28"/>
          <w:lang w:eastAsia="ru-RU"/>
        </w:rPr>
        <w:br/>
        <w:t>(3 учреждения);</w:t>
      </w:r>
    </w:p>
    <w:p w14:paraId="3A58D03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«Магарамкентский район» – 27,0 коек, что в 5 раз ниже норматива </w:t>
      </w:r>
      <w:r w:rsidRPr="00524476">
        <w:rPr>
          <w:rFonts w:ascii="Times New Roman" w:eastAsia="Times New Roman" w:hAnsi="Times New Roman" w:cs="Times New Roman"/>
          <w:sz w:val="28"/>
          <w:szCs w:val="28"/>
          <w:lang w:eastAsia="ru-RU"/>
        </w:rPr>
        <w:br/>
        <w:t xml:space="preserve">(3 учреждения); </w:t>
      </w:r>
    </w:p>
    <w:p w14:paraId="7C380EF6"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«Ахвахский район – 27,3 койки, что в 5 раз ниже норматива </w:t>
      </w:r>
      <w:r w:rsidRPr="00524476">
        <w:rPr>
          <w:rFonts w:ascii="Times New Roman" w:eastAsia="Times New Roman" w:hAnsi="Times New Roman" w:cs="Times New Roman"/>
          <w:sz w:val="28"/>
          <w:szCs w:val="28"/>
          <w:lang w:eastAsia="ru-RU"/>
        </w:rPr>
        <w:br/>
        <w:t>(2 учреждения);</w:t>
      </w:r>
    </w:p>
    <w:p w14:paraId="0DA2FCCA"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«Сулейман-Стальский район» – 27,6 койки, что в 4,9 раза ниже норматива (2 учреждения); </w:t>
      </w:r>
    </w:p>
    <w:p w14:paraId="40C889F4"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Дербентский район» – 29,2 койки, что в 4,5 раза меньше норматива </w:t>
      </w:r>
      <w:r w:rsidRPr="00524476">
        <w:rPr>
          <w:rFonts w:ascii="Times New Roman" w:eastAsia="Times New Roman" w:hAnsi="Times New Roman" w:cs="Times New Roman"/>
          <w:sz w:val="28"/>
          <w:szCs w:val="28"/>
          <w:lang w:eastAsia="ru-RU"/>
        </w:rPr>
        <w:br/>
        <w:t>(7 учреждений);</w:t>
      </w:r>
    </w:p>
    <w:p w14:paraId="686134CC"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«Табасаранский район» – 29,9 коек, что в 4,5 раз ниже норматива </w:t>
      </w:r>
      <w:r w:rsidRPr="00524476">
        <w:rPr>
          <w:rFonts w:ascii="Times New Roman" w:eastAsia="Times New Roman" w:hAnsi="Times New Roman" w:cs="Times New Roman"/>
          <w:sz w:val="28"/>
          <w:szCs w:val="28"/>
          <w:lang w:eastAsia="ru-RU"/>
        </w:rPr>
        <w:br/>
        <w:t xml:space="preserve">(3 учреждения). </w:t>
      </w:r>
    </w:p>
    <w:p w14:paraId="74336A2C"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В городских округах наиболее низкий показатель (в 3,4 - 3,9 раза ниже нормативного) в 2 муниципальных образованиях: </w:t>
      </w:r>
    </w:p>
    <w:p w14:paraId="737D01AF"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«город Избербаш» – 33,4 койки, что в 4 раза ниже норматива </w:t>
      </w:r>
      <w:r w:rsidRPr="00524476">
        <w:rPr>
          <w:rFonts w:ascii="Times New Roman" w:eastAsia="Times New Roman" w:hAnsi="Times New Roman" w:cs="Times New Roman"/>
          <w:sz w:val="28"/>
          <w:szCs w:val="28"/>
          <w:lang w:eastAsia="ru-RU"/>
        </w:rPr>
        <w:br/>
      </w:r>
      <w:r w:rsidRPr="00524476">
        <w:rPr>
          <w:rFonts w:ascii="Times New Roman" w:eastAsia="Times New Roman" w:hAnsi="Times New Roman" w:cs="Times New Roman"/>
          <w:sz w:val="28"/>
          <w:szCs w:val="28"/>
          <w:lang w:eastAsia="ru-RU"/>
        </w:rPr>
        <w:lastRenderedPageBreak/>
        <w:t xml:space="preserve">(2 учреждения); </w:t>
      </w:r>
    </w:p>
    <w:p w14:paraId="1DB67F67" w14:textId="3C19977B"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«город Каспийск» – 40,9 койки, что в 3,3 раза ниже норматива </w:t>
      </w:r>
      <w:r w:rsidR="00B231C1">
        <w:rPr>
          <w:rFonts w:ascii="Times New Roman" w:eastAsia="Times New Roman" w:hAnsi="Times New Roman" w:cs="Times New Roman"/>
          <w:sz w:val="28"/>
          <w:szCs w:val="28"/>
          <w:lang w:eastAsia="ru-RU"/>
        </w:rPr>
        <w:br/>
      </w:r>
      <w:r w:rsidRPr="00524476">
        <w:rPr>
          <w:rFonts w:ascii="Times New Roman" w:eastAsia="Times New Roman" w:hAnsi="Times New Roman" w:cs="Times New Roman"/>
          <w:sz w:val="28"/>
          <w:szCs w:val="28"/>
          <w:lang w:eastAsia="ru-RU"/>
        </w:rPr>
        <w:t>(2 учреждения).</w:t>
      </w:r>
    </w:p>
    <w:p w14:paraId="7D424A6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муниципальном образовании «город Буйнакск» данный показатель составляет 209,7 коек, что в 1,6 раза выше нормативного (3 учреждения).</w:t>
      </w:r>
    </w:p>
    <w:p w14:paraId="732CAC1A"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3D35044" w14:textId="77777777" w:rsidR="00524476" w:rsidRPr="00FB55DE" w:rsidRDefault="00524476" w:rsidP="00524476">
      <w:pPr>
        <w:autoSpaceDE w:val="0"/>
        <w:autoSpaceDN w:val="0"/>
        <w:adjustRightInd w:val="0"/>
        <w:spacing w:after="0" w:line="240" w:lineRule="auto"/>
        <w:jc w:val="center"/>
        <w:outlineLvl w:val="0"/>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Обеспеченность по показателю </w:t>
      </w:r>
    </w:p>
    <w:p w14:paraId="2CBB0D0E" w14:textId="77777777" w:rsidR="00524476" w:rsidRPr="00FB55DE" w:rsidRDefault="00524476" w:rsidP="00524476">
      <w:pPr>
        <w:autoSpaceDE w:val="0"/>
        <w:autoSpaceDN w:val="0"/>
        <w:adjustRightInd w:val="0"/>
        <w:spacing w:after="0" w:line="240" w:lineRule="auto"/>
        <w:jc w:val="center"/>
        <w:outlineLvl w:val="0"/>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«количество коек на 10 тыс. человек населения </w:t>
      </w:r>
    </w:p>
    <w:p w14:paraId="1EF0AF73" w14:textId="77777777" w:rsidR="00524476" w:rsidRPr="00524476" w:rsidRDefault="00524476" w:rsidP="00524476">
      <w:pPr>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color w:val="002060"/>
          <w:sz w:val="28"/>
          <w:szCs w:val="28"/>
          <w:lang w:eastAsia="ru-RU"/>
        </w:rPr>
        <w:t>в больничных учреждениях</w:t>
      </w:r>
      <w:r w:rsidRPr="00524476">
        <w:rPr>
          <w:rFonts w:ascii="Times New Roman" w:eastAsia="Times New Roman" w:hAnsi="Times New Roman" w:cs="Times New Roman"/>
          <w:noProof/>
          <w:sz w:val="24"/>
          <w:szCs w:val="24"/>
          <w:lang w:eastAsia="ru-RU"/>
        </w:rPr>
        <w:drawing>
          <wp:inline distT="0" distB="0" distL="0" distR="0" wp14:anchorId="7222FEE9" wp14:editId="4D91014B">
            <wp:extent cx="5943600" cy="2860675"/>
            <wp:effectExtent l="0" t="0" r="0" b="0"/>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878EB2"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579F3D0"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2)</w:t>
      </w:r>
      <w:r w:rsidRPr="00524476">
        <w:rPr>
          <w:rFonts w:ascii="Times New Roman" w:eastAsia="Times New Roman" w:hAnsi="Times New Roman" w:cs="Times New Roman"/>
          <w:sz w:val="28"/>
          <w:szCs w:val="28"/>
          <w:lang w:eastAsia="ru-RU"/>
        </w:rPr>
        <w:t xml:space="preserve"> Количество амбулаторно-поликлинических учреждений по республике составляет 104 единицы, в том числе по районам – 45 единиц, по городам – 59 единиц. </w:t>
      </w:r>
    </w:p>
    <w:p w14:paraId="628B78C2"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2021 году велось строительство 7 поликлиник, из которых завершена 1, но не введена в эксплуатацию.</w:t>
      </w:r>
    </w:p>
    <w:p w14:paraId="1BA4909B"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Обеспеченность населения амбулаторно-поликлиническими учреждениями составляет в среднем по республике 101,3 посещения в смену на 10 тыс. человек населения, что в 1,8 раза меньше нормативного показателя в 181,5 посещений в смену, в том числе данный показатель по районам составил 84,8 посещений (в среднем в 2,1 раза ниже норматива), по городам – 121,4 посещения (в среднем в 1,5 раз ниже норматива). </w:t>
      </w:r>
    </w:p>
    <w:p w14:paraId="134C53E4"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Наиболее низкая обеспеченность амбулаторно-поликлиническими учреждениями, с показателями от 27,4 до 33,9 посещений (в среднем ниже нормативного в 6 раз) наблюдается в 4 муниципальных образованиях:</w:t>
      </w:r>
    </w:p>
    <w:p w14:paraId="723B138A" w14:textId="3CD50BC5"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Кизлярский район – 27,4 посещений, что в 6,6 раза ниже норматива </w:t>
      </w:r>
      <w:r w:rsidR="00B231C1">
        <w:rPr>
          <w:rFonts w:ascii="Times New Roman" w:eastAsia="Times New Roman" w:hAnsi="Times New Roman" w:cs="Times New Roman"/>
          <w:sz w:val="28"/>
          <w:szCs w:val="28"/>
          <w:lang w:eastAsia="ru-RU"/>
        </w:rPr>
        <w:br/>
      </w:r>
      <w:r w:rsidRPr="00524476">
        <w:rPr>
          <w:rFonts w:ascii="Times New Roman" w:eastAsia="Times New Roman" w:hAnsi="Times New Roman" w:cs="Times New Roman"/>
          <w:sz w:val="28"/>
          <w:szCs w:val="28"/>
          <w:lang w:eastAsia="ru-RU"/>
        </w:rPr>
        <w:t xml:space="preserve">(1 учреждение); </w:t>
      </w:r>
    </w:p>
    <w:p w14:paraId="5F697A6F" w14:textId="54316659"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Каякентский район – 29,6 посещения, что в 6,1 раза ниже норматива </w:t>
      </w:r>
      <w:r w:rsidR="00B231C1">
        <w:rPr>
          <w:rFonts w:ascii="Times New Roman" w:eastAsia="Times New Roman" w:hAnsi="Times New Roman" w:cs="Times New Roman"/>
          <w:sz w:val="28"/>
          <w:szCs w:val="28"/>
          <w:lang w:eastAsia="ru-RU"/>
        </w:rPr>
        <w:br/>
      </w:r>
      <w:r w:rsidRPr="00524476">
        <w:rPr>
          <w:rFonts w:ascii="Times New Roman" w:eastAsia="Times New Roman" w:hAnsi="Times New Roman" w:cs="Times New Roman"/>
          <w:sz w:val="28"/>
          <w:szCs w:val="28"/>
          <w:lang w:eastAsia="ru-RU"/>
        </w:rPr>
        <w:t xml:space="preserve">(1 учреждение); </w:t>
      </w:r>
    </w:p>
    <w:p w14:paraId="6C8AE457"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Левашинский район – 33,5 посещения, что в 5,4 раза ниже норматива (1 учреждение); </w:t>
      </w:r>
    </w:p>
    <w:p w14:paraId="2766CCA7"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lastRenderedPageBreak/>
        <w:t>- Унцукульский район – 33,9 посещений, что в 5,4 раза ниже норматива (1 учреждений).</w:t>
      </w:r>
    </w:p>
    <w:p w14:paraId="2DC5DDA3"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городах наиболее низкие показатели сложились в г. Каспийске – 47,5 посещений (ниже норматива в 3,8 раза, 2 учреждения) и в г. Хасавюрте – 76,6 посещений (в 2,4 раза ниже норматива, 2 учреждения).</w:t>
      </w:r>
    </w:p>
    <w:p w14:paraId="1AD48E2F"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При этом наиболее высокий показатель (выше нормативного в 1,2-3,2 раза) сложился в 4 городских округах: </w:t>
      </w:r>
    </w:p>
    <w:p w14:paraId="675F5DFD"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город Кизляр – 275,4 посещения, что в 1,5 раза выше норматива (3 учреждений); </w:t>
      </w:r>
    </w:p>
    <w:p w14:paraId="50A5A699"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город Кизилюрт – 231,8 посещений, что в 1,3 раза выше норматива (2 учреждения); </w:t>
      </w:r>
    </w:p>
    <w:p w14:paraId="7DF526CD"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город Избербаш – 227,3 посещений, что в 1,3 раза выше норматива (2 учреждения);  </w:t>
      </w:r>
    </w:p>
    <w:p w14:paraId="40DE83E7"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город Буйнакск – 226,6 посещений, что в 1,2 раза выше норматива (2 учреждения). </w:t>
      </w:r>
    </w:p>
    <w:p w14:paraId="33771175" w14:textId="77777777" w:rsidR="00524476" w:rsidRPr="00524476" w:rsidRDefault="00524476" w:rsidP="00524476">
      <w:pPr>
        <w:widowControl w:val="0"/>
        <w:spacing w:after="0" w:line="240" w:lineRule="auto"/>
        <w:ind w:firstLine="709"/>
        <w:jc w:val="both"/>
        <w:rPr>
          <w:rFonts w:ascii="Times New Roman" w:eastAsia="Times New Roman" w:hAnsi="Times New Roman" w:cs="Times New Roman"/>
          <w:sz w:val="28"/>
          <w:szCs w:val="28"/>
          <w:lang w:eastAsia="ru-RU"/>
        </w:rPr>
      </w:pPr>
    </w:p>
    <w:p w14:paraId="79E5757D" w14:textId="77777777" w:rsidR="00524476" w:rsidRPr="00FB55DE" w:rsidRDefault="00524476" w:rsidP="00524476">
      <w:pPr>
        <w:widowControl w:val="0"/>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Обеспеченность по показателю </w:t>
      </w:r>
    </w:p>
    <w:p w14:paraId="72D94141" w14:textId="77777777" w:rsidR="00524476" w:rsidRPr="00FB55DE" w:rsidRDefault="00524476" w:rsidP="00524476">
      <w:pPr>
        <w:widowControl w:val="0"/>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«количество посещений в смену на 10 тыс. человек населения </w:t>
      </w:r>
    </w:p>
    <w:p w14:paraId="13A95CC4" w14:textId="77777777" w:rsidR="00524476" w:rsidRPr="00FB55DE" w:rsidRDefault="00524476" w:rsidP="00524476">
      <w:pPr>
        <w:widowControl w:val="0"/>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в амбулаторно-поликлинических учреждениях</w:t>
      </w:r>
    </w:p>
    <w:p w14:paraId="6358924F" w14:textId="77777777" w:rsidR="00524476" w:rsidRPr="00524476" w:rsidRDefault="00524476" w:rsidP="00524476">
      <w:pPr>
        <w:widowControl w:val="0"/>
        <w:spacing w:after="0" w:line="240" w:lineRule="auto"/>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noProof/>
          <w:sz w:val="24"/>
          <w:szCs w:val="24"/>
          <w:lang w:eastAsia="ru-RU"/>
        </w:rPr>
        <w:drawing>
          <wp:inline distT="0" distB="0" distL="0" distR="0" wp14:anchorId="097C92C2" wp14:editId="2B8539A8">
            <wp:extent cx="5961380" cy="2860675"/>
            <wp:effectExtent l="0" t="0" r="0" b="0"/>
            <wp:docPr id="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7F1C900" w14:textId="77777777" w:rsidR="00524476" w:rsidRPr="00524476" w:rsidRDefault="00524476" w:rsidP="00524476">
      <w:pPr>
        <w:widowControl w:val="0"/>
        <w:spacing w:after="0" w:line="240" w:lineRule="auto"/>
        <w:jc w:val="both"/>
        <w:rPr>
          <w:rFonts w:ascii="Times New Roman" w:eastAsia="Times New Roman" w:hAnsi="Times New Roman" w:cs="Times New Roman"/>
          <w:sz w:val="28"/>
          <w:szCs w:val="28"/>
          <w:lang w:eastAsia="ru-RU"/>
        </w:rPr>
      </w:pPr>
    </w:p>
    <w:p w14:paraId="71B8D8D8"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3)</w:t>
      </w:r>
      <w:r w:rsidRPr="00524476">
        <w:rPr>
          <w:rFonts w:ascii="Times New Roman" w:eastAsia="Times New Roman" w:hAnsi="Times New Roman" w:cs="Times New Roman"/>
          <w:sz w:val="28"/>
          <w:szCs w:val="28"/>
          <w:lang w:eastAsia="ru-RU"/>
        </w:rPr>
        <w:t xml:space="preserve"> Количество общеобразовательных учреждений по республике составляет 1 412 единиц, из них 1 319 – государственные и 93 – частные (все в городах), в том числе по районам – 1 200 единиц (государственные), по городам – 212 единиц. </w:t>
      </w:r>
    </w:p>
    <w:p w14:paraId="5B63BA1F"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2021 году велось строительство 53 общеобразовательных учреждений, из которых введено в эксплуатацию 9 школ на 2 546 ученических мест.</w:t>
      </w:r>
    </w:p>
    <w:p w14:paraId="1BE82795"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Обеспеченность населения общеобразовательными организациями в среднем по республике составляет 67,2 % учащихся, посещающих общеобразовательные организации в первую смену при нормативе потребности 90 %, в том числе в муниципальных районах данный показатель </w:t>
      </w:r>
      <w:r w:rsidRPr="00524476">
        <w:rPr>
          <w:rFonts w:ascii="Times New Roman" w:eastAsia="Times New Roman" w:hAnsi="Times New Roman" w:cs="Times New Roman"/>
          <w:sz w:val="28"/>
          <w:szCs w:val="28"/>
          <w:lang w:eastAsia="ru-RU"/>
        </w:rPr>
        <w:lastRenderedPageBreak/>
        <w:t xml:space="preserve">составляет 74,2 %, а в городских округах – 59,6 %. </w:t>
      </w:r>
    </w:p>
    <w:p w14:paraId="34433D52"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По районам наименее низкий показатель обеспеченности (от 53,8 до </w:t>
      </w:r>
      <w:r w:rsidRPr="00524476">
        <w:rPr>
          <w:rFonts w:ascii="Times New Roman" w:eastAsia="Times New Roman" w:hAnsi="Times New Roman" w:cs="Times New Roman"/>
          <w:sz w:val="28"/>
          <w:szCs w:val="28"/>
          <w:lang w:eastAsia="ru-RU"/>
        </w:rPr>
        <w:br/>
        <w:t xml:space="preserve">58,5 %), что в среднем в 1,2 раза меньше нормативного, сложился в 2 муниципальных образованиях: </w:t>
      </w:r>
    </w:p>
    <w:p w14:paraId="1294437D"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Хасавюртовский район – 53,8 %, что в 1,2 раза ниже норматива </w:t>
      </w:r>
      <w:r w:rsidRPr="00524476">
        <w:rPr>
          <w:rFonts w:ascii="Times New Roman" w:eastAsia="Times New Roman" w:hAnsi="Times New Roman" w:cs="Times New Roman"/>
          <w:sz w:val="28"/>
          <w:szCs w:val="28"/>
          <w:lang w:eastAsia="ru-RU"/>
        </w:rPr>
        <w:br/>
        <w:t>(54 учреждения);</w:t>
      </w:r>
    </w:p>
    <w:p w14:paraId="5CEDDDF0"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Карабудахкентский район – 58,5 %, что в 1,1 раза ниже норматива </w:t>
      </w:r>
      <w:r w:rsidRPr="00524476">
        <w:rPr>
          <w:rFonts w:ascii="Times New Roman" w:eastAsia="Times New Roman" w:hAnsi="Times New Roman" w:cs="Times New Roman"/>
          <w:sz w:val="28"/>
          <w:szCs w:val="28"/>
          <w:lang w:eastAsia="ru-RU"/>
        </w:rPr>
        <w:br/>
        <w:t>(29 учреждений).</w:t>
      </w:r>
    </w:p>
    <w:p w14:paraId="2C681DA0"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Наиболее высокий показатель (от 95,8 до 100 %), что в 1,4-1,5 раза выше норматива, сложился в 10 МО районов:</w:t>
      </w:r>
    </w:p>
    <w:p w14:paraId="31454A02"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Агульский район – 100 %, что в 1,5 раза выше норматива </w:t>
      </w:r>
      <w:r w:rsidRPr="00524476">
        <w:rPr>
          <w:rFonts w:ascii="Times New Roman" w:eastAsia="Times New Roman" w:hAnsi="Times New Roman" w:cs="Times New Roman"/>
          <w:sz w:val="28"/>
          <w:szCs w:val="28"/>
          <w:lang w:eastAsia="ru-RU"/>
        </w:rPr>
        <w:br/>
        <w:t>(15 учреждений);</w:t>
      </w:r>
    </w:p>
    <w:p w14:paraId="4A35021F"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Ахвахский район – 100 %, что в 1,5 раза выше норматива </w:t>
      </w:r>
      <w:r w:rsidRPr="00524476">
        <w:rPr>
          <w:rFonts w:ascii="Times New Roman" w:eastAsia="Times New Roman" w:hAnsi="Times New Roman" w:cs="Times New Roman"/>
          <w:sz w:val="28"/>
          <w:szCs w:val="28"/>
          <w:lang w:eastAsia="ru-RU"/>
        </w:rPr>
        <w:br/>
        <w:t>(15 учреждений);</w:t>
      </w:r>
    </w:p>
    <w:p w14:paraId="6E9F3F78"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Гергебельский район – 100 %, что в 1,5 раза выше норматива </w:t>
      </w:r>
      <w:r w:rsidRPr="00524476">
        <w:rPr>
          <w:rFonts w:ascii="Times New Roman" w:eastAsia="Times New Roman" w:hAnsi="Times New Roman" w:cs="Times New Roman"/>
          <w:sz w:val="28"/>
          <w:szCs w:val="28"/>
          <w:lang w:eastAsia="ru-RU"/>
        </w:rPr>
        <w:br/>
        <w:t>(10 учреждений);</w:t>
      </w:r>
    </w:p>
    <w:p w14:paraId="6E52C11F"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Гумбетовский район – 100 %, что в 1,1 раза выше норматива </w:t>
      </w:r>
      <w:r w:rsidRPr="00524476">
        <w:rPr>
          <w:rFonts w:ascii="Times New Roman" w:eastAsia="Times New Roman" w:hAnsi="Times New Roman" w:cs="Times New Roman"/>
          <w:sz w:val="28"/>
          <w:szCs w:val="28"/>
          <w:lang w:eastAsia="ru-RU"/>
        </w:rPr>
        <w:br/>
        <w:t>(19 учреждение);</w:t>
      </w:r>
    </w:p>
    <w:p w14:paraId="77C7BD11"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Гунибский район – 100 %, что в 1,4 раза выше норматива </w:t>
      </w:r>
      <w:r w:rsidRPr="00524476">
        <w:rPr>
          <w:rFonts w:ascii="Times New Roman" w:eastAsia="Times New Roman" w:hAnsi="Times New Roman" w:cs="Times New Roman"/>
          <w:sz w:val="28"/>
          <w:szCs w:val="28"/>
          <w:lang w:eastAsia="ru-RU"/>
        </w:rPr>
        <w:br/>
        <w:t>(26 учреждений);</w:t>
      </w:r>
    </w:p>
    <w:p w14:paraId="44AD2A4A"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Кулинский район – 100 %, что в 1,5 раза выше норматива </w:t>
      </w:r>
      <w:r w:rsidRPr="00524476">
        <w:rPr>
          <w:rFonts w:ascii="Times New Roman" w:eastAsia="Times New Roman" w:hAnsi="Times New Roman" w:cs="Times New Roman"/>
          <w:sz w:val="28"/>
          <w:szCs w:val="28"/>
          <w:lang w:eastAsia="ru-RU"/>
        </w:rPr>
        <w:br/>
        <w:t>(14 учреждений);</w:t>
      </w:r>
    </w:p>
    <w:p w14:paraId="423C2F20"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Чародинский район – 100 %, что в 1,5 раза выше норматива </w:t>
      </w:r>
      <w:r w:rsidRPr="00524476">
        <w:rPr>
          <w:rFonts w:ascii="Times New Roman" w:eastAsia="Times New Roman" w:hAnsi="Times New Roman" w:cs="Times New Roman"/>
          <w:sz w:val="28"/>
          <w:szCs w:val="28"/>
          <w:lang w:eastAsia="ru-RU"/>
        </w:rPr>
        <w:br/>
        <w:t>(9 учреждений).</w:t>
      </w:r>
    </w:p>
    <w:p w14:paraId="19E8BB17"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Дахадаевский район – 96,5 %, что в 1,4 раза выше норматива </w:t>
      </w:r>
      <w:r w:rsidRPr="00524476">
        <w:rPr>
          <w:rFonts w:ascii="Times New Roman" w:eastAsia="Times New Roman" w:hAnsi="Times New Roman" w:cs="Times New Roman"/>
          <w:sz w:val="28"/>
          <w:szCs w:val="28"/>
          <w:lang w:eastAsia="ru-RU"/>
        </w:rPr>
        <w:br/>
        <w:t>(48 учреждение);</w:t>
      </w:r>
    </w:p>
    <w:p w14:paraId="105E1A61"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Хивский район – 95,8 %, что в 1,4 раза выше норматива </w:t>
      </w:r>
      <w:r w:rsidRPr="00524476">
        <w:rPr>
          <w:rFonts w:ascii="Times New Roman" w:eastAsia="Times New Roman" w:hAnsi="Times New Roman" w:cs="Times New Roman"/>
          <w:sz w:val="28"/>
          <w:szCs w:val="28"/>
          <w:lang w:eastAsia="ru-RU"/>
        </w:rPr>
        <w:br/>
        <w:t>(29 учреждений);</w:t>
      </w:r>
    </w:p>
    <w:p w14:paraId="0526B77C"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Хунзахский район – 99,7 %, что в 1,5 раза выше норматива </w:t>
      </w:r>
      <w:r w:rsidRPr="00524476">
        <w:rPr>
          <w:rFonts w:ascii="Times New Roman" w:eastAsia="Times New Roman" w:hAnsi="Times New Roman" w:cs="Times New Roman"/>
          <w:sz w:val="28"/>
          <w:szCs w:val="28"/>
          <w:lang w:eastAsia="ru-RU"/>
        </w:rPr>
        <w:br/>
        <w:t>(39 учреждение).</w:t>
      </w:r>
    </w:p>
    <w:p w14:paraId="3959C506"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В 3 городских округах низкий показатель обеспеченности (от 54,4 до 57,4 %), что в среднем в 1,2 раза меньше нормативного, сложился в 3 муниципальных образованиях: </w:t>
      </w:r>
    </w:p>
    <w:p w14:paraId="43E83AC4"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 Махачкала – 57,4 %, что в 1,2 раза ниже норматива (87 учреждений);</w:t>
      </w:r>
    </w:p>
    <w:p w14:paraId="3F2344E6"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г. Дагестанские Огни – 54,4 %, что в 1,2 раза ниже норматива </w:t>
      </w:r>
      <w:r w:rsidRPr="00524476">
        <w:rPr>
          <w:rFonts w:ascii="Times New Roman" w:eastAsia="Times New Roman" w:hAnsi="Times New Roman" w:cs="Times New Roman"/>
          <w:sz w:val="28"/>
          <w:szCs w:val="28"/>
          <w:lang w:eastAsia="ru-RU"/>
        </w:rPr>
        <w:br/>
        <w:t>(8 учреждений);</w:t>
      </w:r>
    </w:p>
    <w:p w14:paraId="47170146"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 Хасавюрт – 54,4 %, что в 1,2 раза ниже норматива (25 учреждений).</w:t>
      </w:r>
    </w:p>
    <w:p w14:paraId="5898AC7A"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Среди городов наиболее высокий показатель обеспеченности сложился в городе Южно-Сухокумске – 90,1 %, что в 1,3 раза выше норматива </w:t>
      </w:r>
      <w:r w:rsidRPr="00524476">
        <w:rPr>
          <w:rFonts w:ascii="Times New Roman" w:eastAsia="Times New Roman" w:hAnsi="Times New Roman" w:cs="Times New Roman"/>
          <w:sz w:val="28"/>
          <w:szCs w:val="28"/>
          <w:lang w:eastAsia="ru-RU"/>
        </w:rPr>
        <w:br/>
        <w:t>(4 учреждения).</w:t>
      </w:r>
    </w:p>
    <w:p w14:paraId="741D9A2F"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p>
    <w:p w14:paraId="2EB1036C" w14:textId="77777777" w:rsidR="00524476" w:rsidRPr="00524476" w:rsidRDefault="00524476" w:rsidP="00524476">
      <w:pPr>
        <w:widowControl w:val="0"/>
        <w:spacing w:after="0" w:line="340" w:lineRule="exact"/>
        <w:ind w:firstLine="709"/>
        <w:jc w:val="both"/>
        <w:rPr>
          <w:rFonts w:ascii="Times New Roman" w:eastAsia="Times New Roman" w:hAnsi="Times New Roman" w:cs="Times New Roman"/>
          <w:sz w:val="28"/>
          <w:szCs w:val="28"/>
          <w:lang w:eastAsia="ru-RU"/>
        </w:rPr>
      </w:pPr>
    </w:p>
    <w:p w14:paraId="0BEBF320" w14:textId="77777777" w:rsidR="00524476" w:rsidRPr="00FB55DE" w:rsidRDefault="00524476" w:rsidP="00524476">
      <w:pPr>
        <w:widowControl w:val="0"/>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lastRenderedPageBreak/>
        <w:t xml:space="preserve">Обеспеченность населения по показателю </w:t>
      </w:r>
    </w:p>
    <w:p w14:paraId="75DAD96E" w14:textId="77777777" w:rsidR="00524476" w:rsidRPr="00FB55DE" w:rsidRDefault="00524476" w:rsidP="00524476">
      <w:pPr>
        <w:widowControl w:val="0"/>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«количество учащихся, посещающих общеобразовательную </w:t>
      </w:r>
    </w:p>
    <w:p w14:paraId="67D443C0" w14:textId="77777777" w:rsidR="00524476" w:rsidRPr="00FB55DE" w:rsidRDefault="00524476" w:rsidP="00524476">
      <w:pPr>
        <w:widowControl w:val="0"/>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организацию в первую смену»</w:t>
      </w:r>
    </w:p>
    <w:p w14:paraId="55380114" w14:textId="77777777" w:rsidR="00524476" w:rsidRPr="00FB55DE" w:rsidRDefault="00524476" w:rsidP="00524476">
      <w:pPr>
        <w:widowControl w:val="0"/>
        <w:spacing w:after="0" w:line="240" w:lineRule="auto"/>
        <w:jc w:val="center"/>
        <w:rPr>
          <w:rFonts w:ascii="Times New Roman" w:eastAsia="Times New Roman" w:hAnsi="Times New Roman" w:cs="Times New Roman"/>
          <w:b/>
          <w:color w:val="002060"/>
          <w:sz w:val="28"/>
          <w:szCs w:val="28"/>
          <w:lang w:eastAsia="ru-RU"/>
        </w:rPr>
      </w:pPr>
    </w:p>
    <w:p w14:paraId="608E3E6C" w14:textId="77777777" w:rsidR="00524476" w:rsidRPr="00FB55DE" w:rsidRDefault="00524476" w:rsidP="00524476">
      <w:pPr>
        <w:widowControl w:val="0"/>
        <w:spacing w:after="0" w:line="240" w:lineRule="auto"/>
        <w:ind w:firstLine="709"/>
        <w:jc w:val="right"/>
        <w:rPr>
          <w:rFonts w:ascii="Times New Roman" w:eastAsia="Times New Roman" w:hAnsi="Times New Roman" w:cs="Times New Roman"/>
          <w:b/>
          <w:color w:val="002060"/>
          <w:sz w:val="24"/>
          <w:szCs w:val="24"/>
          <w:lang w:eastAsia="ru-RU"/>
        </w:rPr>
      </w:pPr>
      <w:r w:rsidRPr="00FB55DE">
        <w:rPr>
          <w:rFonts w:ascii="Times New Roman" w:eastAsia="Times New Roman" w:hAnsi="Times New Roman" w:cs="Times New Roman"/>
          <w:b/>
          <w:color w:val="002060"/>
          <w:sz w:val="24"/>
          <w:szCs w:val="24"/>
          <w:lang w:eastAsia="ru-RU"/>
        </w:rPr>
        <w:t>%</w:t>
      </w:r>
    </w:p>
    <w:p w14:paraId="4BFD8D20" w14:textId="77777777" w:rsidR="00524476" w:rsidRPr="00524476" w:rsidRDefault="00524476" w:rsidP="00524476">
      <w:pPr>
        <w:widowControl w:val="0"/>
        <w:spacing w:after="0" w:line="240" w:lineRule="auto"/>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noProof/>
          <w:sz w:val="24"/>
          <w:szCs w:val="24"/>
          <w:u w:val="single"/>
          <w:lang w:eastAsia="ru-RU"/>
        </w:rPr>
        <w:drawing>
          <wp:inline distT="0" distB="0" distL="0" distR="0" wp14:anchorId="051AB67B" wp14:editId="03702822">
            <wp:extent cx="5808565" cy="2797200"/>
            <wp:effectExtent l="0" t="0" r="1905" b="3175"/>
            <wp:docPr id="3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1BE0EF"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1D9128A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4)</w:t>
      </w:r>
      <w:r w:rsidRPr="00524476">
        <w:rPr>
          <w:rFonts w:ascii="Times New Roman" w:eastAsia="Times New Roman" w:hAnsi="Times New Roman" w:cs="Times New Roman"/>
          <w:sz w:val="28"/>
          <w:szCs w:val="28"/>
          <w:lang w:eastAsia="ru-RU"/>
        </w:rPr>
        <w:t xml:space="preserve"> Количество дошкольных образовательных учреждений по республике составляет 1131 единиц, в том числе по районам – 828 и по городам – 303. </w:t>
      </w:r>
    </w:p>
    <w:p w14:paraId="64D0B9B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2021 году велось строительство 70 дошкольных образовательных учреждений, из которых введено в эксплуатацию 29 единиц на 4270 мест.</w:t>
      </w:r>
    </w:p>
    <w:p w14:paraId="3670E29E"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Обеспеченность населения дошкольными образовательными организациями в среднем по республике составляет 24,8 %, что в 4 раза меньше 100 % нормативной потребности, в том числе по муниципальным районам данный показатель составляет 21 %, что в 4,8 раза ниже норматива, в городских округах – 40,3 %, что в 2,5 раза ниже норматива. </w:t>
      </w:r>
    </w:p>
    <w:p w14:paraId="23B29207"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11 муниципальных районах обеспеченность местами в дошкольных учреждениях в 6 - 12 раз меньше нормативной потребности и составляет 8,5 – 15,2 %, в том числе:</w:t>
      </w:r>
    </w:p>
    <w:p w14:paraId="1498ED17"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Акушинский район – 8,5 %, что в 12 раз меньше норматива (7 учреждений);</w:t>
      </w:r>
    </w:p>
    <w:p w14:paraId="49CC36F7"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Кизлярский район – 10,3 %, что в 9,7 раза меньше норматива (18 учреждений);</w:t>
      </w:r>
    </w:p>
    <w:p w14:paraId="3A6570A1"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Кизилюртовский район – 10,3 %, что в 9,7 раза меньше норматива (14 учреждений);</w:t>
      </w:r>
    </w:p>
    <w:p w14:paraId="609EB497"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Дахадаевский район – 11,1 %, что в 9 раз меньше норматива (13 учреждений);</w:t>
      </w:r>
    </w:p>
    <w:p w14:paraId="4382F878"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Лакский район – 11,7 %, что в 8,5 раза меньше норматива (9 учреждений);</w:t>
      </w:r>
    </w:p>
    <w:p w14:paraId="1282F7DA"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 Тарумовский район – 12,1 %, что в 8,3 раза меньше норматива (13 </w:t>
      </w:r>
      <w:r w:rsidRPr="00524476">
        <w:rPr>
          <w:rFonts w:ascii="Times New Roman" w:eastAsia="Times New Roman" w:hAnsi="Times New Roman" w:cs="Times New Roman"/>
          <w:sz w:val="28"/>
          <w:szCs w:val="28"/>
          <w:lang w:eastAsia="ru-RU"/>
        </w:rPr>
        <w:lastRenderedPageBreak/>
        <w:t>учреждений);</w:t>
      </w:r>
    </w:p>
    <w:p w14:paraId="456B1B05"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Рутульский район – 13,9 %, что в 12,5 раза меньше норматива (31 учреждение);</w:t>
      </w:r>
    </w:p>
    <w:p w14:paraId="38F86AD4"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Тляратинский район – 14,3 %, что в 7 раз меньше норматива (31 учреждение);</w:t>
      </w:r>
    </w:p>
    <w:p w14:paraId="2D2722F4"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Шамильский район – 14,3 %, что в 7 раз меньше норматива (20 учреждений);</w:t>
      </w:r>
    </w:p>
    <w:p w14:paraId="5174BF9C"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Кулинский район – 14,5 %, что в 6,9 раза меньше норматива (10 учреждений);</w:t>
      </w:r>
    </w:p>
    <w:p w14:paraId="06E79CC4"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Кайтагский район – 14,6 %, что в 6,8 раза меньше норматива (7 учреждений).</w:t>
      </w:r>
    </w:p>
    <w:p w14:paraId="7E75BD8D"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Самый высокий показатель обеспеченности по районам – в Ногайском районе – 55,8 %, что 1,8 раз ниже норматива (11 учреждений).</w:t>
      </w:r>
    </w:p>
    <w:p w14:paraId="05F5CCD4"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Самый низкий показатель обеспеченности дошкольными образовательными организациями – от 16,3 до 40,2 %, или менее чем в 2,5-6,1 раза сложился в 3 городских округах:</w:t>
      </w:r>
    </w:p>
    <w:p w14:paraId="41BF8535"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 Хасавюрт – 16,3 %, что в 6,1 раза меньше норматива (34 учреждения);</w:t>
      </w:r>
    </w:p>
    <w:p w14:paraId="6B6611D3"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 Южно-Сухокумск – 39,5 %, что в 6,1 раза меньше норматива (3 учреждения);</w:t>
      </w:r>
    </w:p>
    <w:p w14:paraId="45C6C81C"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 Махачкала – 40,2 %, что в 2,5 раза меньше норматива (112 учреждений);</w:t>
      </w:r>
    </w:p>
    <w:p w14:paraId="75F7A8C5"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Самый высокий показатель обеспеченности по городам – в городе Кизляре – 58,9 %, что в 1,7 раз ниже норматива (23 учреждения).</w:t>
      </w:r>
    </w:p>
    <w:p w14:paraId="39127C29" w14:textId="77777777" w:rsidR="00524476" w:rsidRPr="00524476" w:rsidRDefault="00524476" w:rsidP="00524476">
      <w:pPr>
        <w:widowControl w:val="0"/>
        <w:shd w:val="clear" w:color="auto" w:fill="FFFFFF"/>
        <w:spacing w:after="0" w:line="340" w:lineRule="exact"/>
        <w:ind w:firstLine="709"/>
        <w:jc w:val="both"/>
        <w:rPr>
          <w:rFonts w:ascii="Times New Roman" w:eastAsia="Times New Roman" w:hAnsi="Times New Roman" w:cs="Times New Roman"/>
          <w:sz w:val="28"/>
          <w:szCs w:val="28"/>
          <w:lang w:eastAsia="ru-RU"/>
        </w:rPr>
      </w:pPr>
    </w:p>
    <w:p w14:paraId="15320EA2" w14:textId="77777777" w:rsidR="00524476" w:rsidRPr="00FB55DE" w:rsidRDefault="00524476" w:rsidP="00524476">
      <w:pPr>
        <w:widowControl w:val="0"/>
        <w:shd w:val="clear" w:color="auto" w:fill="FFFFFF"/>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Обеспеченность населения по показателю «количество детей, </w:t>
      </w:r>
    </w:p>
    <w:p w14:paraId="3C68193F" w14:textId="77777777" w:rsidR="00524476" w:rsidRPr="00FB55DE" w:rsidRDefault="00524476" w:rsidP="00524476">
      <w:pPr>
        <w:widowControl w:val="0"/>
        <w:shd w:val="clear" w:color="auto" w:fill="FFFFFF"/>
        <w:spacing w:after="0" w:line="240" w:lineRule="auto"/>
        <w:jc w:val="center"/>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посещающих дошкольную образовательную организацию»</w:t>
      </w:r>
    </w:p>
    <w:p w14:paraId="009D48CD" w14:textId="77777777" w:rsidR="00524476" w:rsidRPr="00FB55DE" w:rsidRDefault="00524476" w:rsidP="00524476">
      <w:pPr>
        <w:widowControl w:val="0"/>
        <w:shd w:val="clear" w:color="auto" w:fill="FFFFFF"/>
        <w:spacing w:after="0" w:line="240" w:lineRule="auto"/>
        <w:jc w:val="center"/>
        <w:rPr>
          <w:rFonts w:ascii="Times New Roman" w:eastAsia="Times New Roman" w:hAnsi="Times New Roman" w:cs="Times New Roman"/>
          <w:b/>
          <w:color w:val="002060"/>
          <w:sz w:val="28"/>
          <w:szCs w:val="28"/>
          <w:lang w:eastAsia="ru-RU"/>
        </w:rPr>
      </w:pPr>
    </w:p>
    <w:p w14:paraId="2CFE9BD1" w14:textId="77777777" w:rsidR="00524476" w:rsidRPr="00FB55DE" w:rsidRDefault="00524476" w:rsidP="00524476">
      <w:pPr>
        <w:widowControl w:val="0"/>
        <w:spacing w:after="0" w:line="240" w:lineRule="auto"/>
        <w:ind w:firstLine="709"/>
        <w:jc w:val="right"/>
        <w:rPr>
          <w:rFonts w:ascii="Times New Roman" w:eastAsia="Times New Roman" w:hAnsi="Times New Roman" w:cs="Times New Roman"/>
          <w:b/>
          <w:color w:val="002060"/>
          <w:sz w:val="24"/>
          <w:szCs w:val="24"/>
          <w:lang w:eastAsia="ru-RU"/>
        </w:rPr>
      </w:pPr>
      <w:r w:rsidRPr="00FB55DE">
        <w:rPr>
          <w:rFonts w:ascii="Times New Roman" w:eastAsia="Times New Roman" w:hAnsi="Times New Roman" w:cs="Times New Roman"/>
          <w:b/>
          <w:color w:val="002060"/>
          <w:sz w:val="24"/>
          <w:szCs w:val="24"/>
          <w:lang w:eastAsia="ru-RU"/>
        </w:rPr>
        <w:t>%</w:t>
      </w:r>
    </w:p>
    <w:p w14:paraId="3EAC755F" w14:textId="77777777" w:rsidR="00524476" w:rsidRPr="00524476" w:rsidRDefault="00524476" w:rsidP="00524476">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noProof/>
          <w:sz w:val="24"/>
          <w:szCs w:val="24"/>
          <w:lang w:eastAsia="ru-RU"/>
        </w:rPr>
        <w:drawing>
          <wp:inline distT="0" distB="0" distL="0" distR="0" wp14:anchorId="1883198B" wp14:editId="7A26F127">
            <wp:extent cx="5961380" cy="2860675"/>
            <wp:effectExtent l="0" t="0" r="0" b="0"/>
            <wp:docPr id="3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1F97AF"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lastRenderedPageBreak/>
        <w:t>5)</w:t>
      </w:r>
      <w:r w:rsidRPr="00524476">
        <w:rPr>
          <w:rFonts w:ascii="Times New Roman" w:eastAsia="Times New Roman" w:hAnsi="Times New Roman" w:cs="Times New Roman"/>
          <w:sz w:val="28"/>
          <w:szCs w:val="28"/>
          <w:lang w:eastAsia="ru-RU"/>
        </w:rPr>
        <w:t xml:space="preserve"> Количество спортивных залов по республике составляет 1 453 единицы. </w:t>
      </w:r>
    </w:p>
    <w:p w14:paraId="4C0B18BF"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2021 году велось строительство 12 спортивных сооружений (залы, футбольные площадки с беговыми дорожками, стадионы), строительство которых будет продолжено в 2022-2023 годах.</w:t>
      </w:r>
    </w:p>
    <w:p w14:paraId="60C1411C"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Средний уровень обеспеченности населения спортивными залами в среднем по республике составляет 29,9 % (нормативная потребность – 3,5 тыс. кв. метров спортивных залов на 10 тыс. человек), в том числе: в районах – </w:t>
      </w:r>
      <w:r w:rsidRPr="00524476">
        <w:rPr>
          <w:rFonts w:ascii="Times New Roman" w:eastAsia="Times New Roman" w:hAnsi="Times New Roman" w:cs="Times New Roman"/>
          <w:sz w:val="28"/>
          <w:szCs w:val="28"/>
          <w:lang w:eastAsia="ru-RU"/>
        </w:rPr>
        <w:br/>
        <w:t xml:space="preserve">30,9 % и в городах – 28,8 %. </w:t>
      </w:r>
    </w:p>
    <w:p w14:paraId="70EBB453"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Низкий уровень – от 8,1 до 19,7 % обеспеченности населения спортивными залами сложился в муниципальных образованиях районов:</w:t>
      </w:r>
    </w:p>
    <w:p w14:paraId="1D71B63C"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Агульский район – 8,1 %;</w:t>
      </w:r>
    </w:p>
    <w:p w14:paraId="2E68ECCC"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Рутульский район – 8,4 %;</w:t>
      </w:r>
    </w:p>
    <w:p w14:paraId="0A510F27"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Ахтынский район – 12,8 %;</w:t>
      </w:r>
    </w:p>
    <w:p w14:paraId="62BEF1C1"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Кизилюртовский район – 14,0 %;</w:t>
      </w:r>
    </w:p>
    <w:p w14:paraId="524D67DB"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Кумторкалинский район – 14,5 %;</w:t>
      </w:r>
    </w:p>
    <w:p w14:paraId="7E96283A"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Магарамкентский район – 17,0 %;</w:t>
      </w:r>
    </w:p>
    <w:p w14:paraId="619239F2"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Бабаюртовский – 18,1 %;</w:t>
      </w:r>
    </w:p>
    <w:p w14:paraId="41C5E2F0"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Кизлярский район – 18,4 %;</w:t>
      </w:r>
    </w:p>
    <w:p w14:paraId="5F9FEBD9"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Сулейман-Стальский район – 19,8 %;</w:t>
      </w:r>
    </w:p>
    <w:p w14:paraId="1527DBCC"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Цунтинский район – 13,6 %.</w:t>
      </w:r>
    </w:p>
    <w:p w14:paraId="3527CD2B" w14:textId="188767D8"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По городским округам самый низкий показатель сложился в </w:t>
      </w:r>
      <w:r w:rsidR="0061313A">
        <w:rPr>
          <w:rFonts w:ascii="Times New Roman" w:eastAsia="Times New Roman" w:hAnsi="Times New Roman" w:cs="Times New Roman"/>
          <w:sz w:val="28"/>
          <w:szCs w:val="28"/>
          <w:lang w:eastAsia="ru-RU"/>
        </w:rPr>
        <w:br/>
      </w:r>
      <w:r w:rsidRPr="00524476">
        <w:rPr>
          <w:rFonts w:ascii="Times New Roman" w:eastAsia="Times New Roman" w:hAnsi="Times New Roman" w:cs="Times New Roman"/>
          <w:sz w:val="28"/>
          <w:szCs w:val="28"/>
          <w:lang w:eastAsia="ru-RU"/>
        </w:rPr>
        <w:t>г.</w:t>
      </w:r>
      <w:r w:rsidR="0061313A">
        <w:rPr>
          <w:rFonts w:ascii="Times New Roman" w:eastAsia="Times New Roman" w:hAnsi="Times New Roman" w:cs="Times New Roman"/>
          <w:sz w:val="28"/>
          <w:szCs w:val="28"/>
          <w:lang w:eastAsia="ru-RU"/>
        </w:rPr>
        <w:t xml:space="preserve"> </w:t>
      </w:r>
      <w:r w:rsidRPr="00524476">
        <w:rPr>
          <w:rFonts w:ascii="Times New Roman" w:eastAsia="Times New Roman" w:hAnsi="Times New Roman" w:cs="Times New Roman"/>
          <w:sz w:val="28"/>
          <w:szCs w:val="28"/>
          <w:lang w:eastAsia="ru-RU"/>
        </w:rPr>
        <w:t xml:space="preserve">Махачкале – 25,1% и в г. Буйнакске – 25,7 %. </w:t>
      </w:r>
    </w:p>
    <w:p w14:paraId="52F6BCF7"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color w:val="002060"/>
          <w:sz w:val="28"/>
          <w:szCs w:val="28"/>
          <w:lang w:eastAsia="ru-RU"/>
        </w:rPr>
        <w:t>6)</w:t>
      </w:r>
      <w:r w:rsidRPr="00FB55DE">
        <w:rPr>
          <w:rFonts w:ascii="Times New Roman" w:eastAsia="Times New Roman" w:hAnsi="Times New Roman" w:cs="Times New Roman"/>
          <w:color w:val="002060"/>
          <w:sz w:val="28"/>
          <w:szCs w:val="28"/>
          <w:lang w:eastAsia="ru-RU"/>
        </w:rPr>
        <w:t xml:space="preserve"> </w:t>
      </w:r>
      <w:r w:rsidRPr="00524476">
        <w:rPr>
          <w:rFonts w:ascii="Times New Roman" w:eastAsia="Times New Roman" w:hAnsi="Times New Roman" w:cs="Times New Roman"/>
          <w:sz w:val="28"/>
          <w:szCs w:val="28"/>
          <w:lang w:eastAsia="ru-RU"/>
        </w:rPr>
        <w:t>Количество плоскостных сооружений в республике составляет 2112 единиц.</w:t>
      </w:r>
    </w:p>
    <w:p w14:paraId="5EBC4178"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2021 году велось строительство 26 плоскостных сооружений, из которых введено в эксплуатацию 5 единиц площадью 3892 кв. метра.</w:t>
      </w:r>
    </w:p>
    <w:p w14:paraId="77288E74"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Средний уровень обеспеченности населения плоскостными сооружениями в среднем по республике составляет 44,9 % (нормативная потребность – 19,494 тыс. кв. метров плоскостных сооружений на 10 тыс. человек), в том числе: в районах – 67,2 % и в городах – 44,9 %. </w:t>
      </w:r>
    </w:p>
    <w:p w14:paraId="69EDEDA0"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Низкий уровень – от 1,8 до 19,7 % обеспеченности населения плоскостными сооружениями сложился в муниципальных образованиях районов:</w:t>
      </w:r>
    </w:p>
    <w:p w14:paraId="67C20C22"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Табасаранский район – 1,8 %;</w:t>
      </w:r>
    </w:p>
    <w:p w14:paraId="1A585B9B"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Кайтагский район – 5,9 %;</w:t>
      </w:r>
    </w:p>
    <w:p w14:paraId="4ABF0853"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Гергебельский район – 6,2 %;</w:t>
      </w:r>
    </w:p>
    <w:p w14:paraId="1DAF28C7"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Кумторкалинский район – 7,1 %;</w:t>
      </w:r>
    </w:p>
    <w:p w14:paraId="63BC1EDA"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Ахвахский район – 11,2 %;</w:t>
      </w:r>
    </w:p>
    <w:p w14:paraId="42F872C1"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Буйнакский район – 10,5 %;</w:t>
      </w:r>
    </w:p>
    <w:p w14:paraId="50571C9F"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Ботлихский район – 12,8 %;</w:t>
      </w:r>
    </w:p>
    <w:p w14:paraId="38F1D6AE"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Тляратинский район – 17,8 %;</w:t>
      </w:r>
    </w:p>
    <w:p w14:paraId="30C59FAA"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Хунзахский район – 16,9 %;</w:t>
      </w:r>
    </w:p>
    <w:p w14:paraId="288AF70E"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Рутульский район – 18,5 %.</w:t>
      </w:r>
    </w:p>
    <w:p w14:paraId="763493B2"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lastRenderedPageBreak/>
        <w:t xml:space="preserve">По городским округам самый низкий показатель сложился в </w:t>
      </w:r>
      <w:r w:rsidRPr="00524476">
        <w:rPr>
          <w:rFonts w:ascii="Times New Roman" w:eastAsia="Times New Roman" w:hAnsi="Times New Roman" w:cs="Times New Roman"/>
          <w:sz w:val="28"/>
          <w:szCs w:val="28"/>
          <w:lang w:eastAsia="ru-RU"/>
        </w:rPr>
        <w:br/>
        <w:t xml:space="preserve">г. Каспийске – 6,8 % и в г. Махачкале – 10,6 %. </w:t>
      </w:r>
    </w:p>
    <w:p w14:paraId="5A131C08"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color w:val="002060"/>
          <w:sz w:val="28"/>
          <w:szCs w:val="28"/>
          <w:lang w:eastAsia="ru-RU"/>
        </w:rPr>
        <w:t>7)</w:t>
      </w:r>
      <w:r w:rsidRPr="00524476">
        <w:rPr>
          <w:rFonts w:ascii="Times New Roman" w:eastAsia="Times New Roman" w:hAnsi="Times New Roman" w:cs="Times New Roman"/>
          <w:sz w:val="28"/>
          <w:szCs w:val="28"/>
          <w:lang w:eastAsia="ru-RU"/>
        </w:rPr>
        <w:t xml:space="preserve"> Количество сооружений культуры в республике составляет 2089 единиц (информация по театрам отсутствует), в том числе: </w:t>
      </w:r>
    </w:p>
    <w:p w14:paraId="2A274F3A"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клубные учреждения 958 единиц;</w:t>
      </w:r>
    </w:p>
    <w:p w14:paraId="41172243"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библиотеки – 1045 единиц;</w:t>
      </w:r>
    </w:p>
    <w:p w14:paraId="2F8A350A"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учреждения дополнительного образования (детские школы искусств) – 86 единиц.</w:t>
      </w:r>
    </w:p>
    <w:p w14:paraId="64218C29" w14:textId="77777777" w:rsidR="00524476" w:rsidRPr="00524476" w:rsidRDefault="00524476" w:rsidP="00524476">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В 2021 году велось строительство 11 объектов культуры, из которых введен в эксплуатацию 1 объект.</w:t>
      </w:r>
    </w:p>
    <w:p w14:paraId="760ADE54"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Обеспеченность населения </w:t>
      </w:r>
      <w:r w:rsidRPr="00524476">
        <w:rPr>
          <w:rFonts w:ascii="Times New Roman" w:eastAsia="Times New Roman" w:hAnsi="Times New Roman" w:cs="Times New Roman"/>
          <w:bCs/>
          <w:spacing w:val="1"/>
          <w:sz w:val="28"/>
          <w:szCs w:val="28"/>
          <w:lang w:eastAsia="ru-RU"/>
        </w:rPr>
        <w:t xml:space="preserve">клубными </w:t>
      </w:r>
      <w:r w:rsidRPr="00524476">
        <w:rPr>
          <w:rFonts w:ascii="Times New Roman" w:eastAsia="Times New Roman" w:hAnsi="Times New Roman" w:cs="Times New Roman"/>
          <w:sz w:val="28"/>
          <w:szCs w:val="28"/>
          <w:lang w:eastAsia="ru-RU"/>
        </w:rPr>
        <w:t>учреждениями в среднем по республике составляет 56,4 % (при нормативной потребности в 150-200 мест для населенных пунктов с числом жителей 500 - 1 000 человек), в том числе: в районах – 61,1 %, в городах – 17 %.</w:t>
      </w:r>
    </w:p>
    <w:p w14:paraId="1A0029C4"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xml:space="preserve">Полностью отсутствуют клубные учреждения в Цунтинском районе. Недостаточный уровень обеспечения </w:t>
      </w:r>
      <w:r w:rsidRPr="00524476">
        <w:rPr>
          <w:rFonts w:ascii="Times New Roman" w:eastAsia="Times New Roman" w:hAnsi="Times New Roman" w:cs="Times New Roman"/>
          <w:bCs/>
          <w:spacing w:val="1"/>
          <w:sz w:val="28"/>
          <w:szCs w:val="28"/>
          <w:lang w:eastAsia="ru-RU"/>
        </w:rPr>
        <w:t xml:space="preserve">клубными </w:t>
      </w:r>
      <w:r w:rsidRPr="00524476">
        <w:rPr>
          <w:rFonts w:ascii="Times New Roman" w:eastAsia="Times New Roman" w:hAnsi="Times New Roman" w:cs="Times New Roman"/>
          <w:sz w:val="28"/>
          <w:szCs w:val="28"/>
          <w:lang w:eastAsia="ru-RU"/>
        </w:rPr>
        <w:t>учреждениями – от 15,2 до 26,7 % наблюдается в 4 муниципальных районах:</w:t>
      </w:r>
    </w:p>
    <w:p w14:paraId="134EF163"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Кизилюртовский район – 15,2 %;</w:t>
      </w:r>
    </w:p>
    <w:p w14:paraId="568F2ABF"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Цумадинский район – 17,4 %;</w:t>
      </w:r>
    </w:p>
    <w:p w14:paraId="4D67BBAD"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Кизлярский район – 24,5 %.</w:t>
      </w:r>
    </w:p>
    <w:p w14:paraId="1F97B0F8"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Кумторкалинский район – 26,7 %.</w:t>
      </w:r>
    </w:p>
    <w:p w14:paraId="196CDAC2"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Среди городских округов полностью отсутствуют клубы в городе Дербенте. Самый низкий уровень обеспеченности от 3,8 до 12,2 % в 5 городских округах:</w:t>
      </w:r>
    </w:p>
    <w:p w14:paraId="001114F4"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 Каспийск – 3,8 %;</w:t>
      </w:r>
    </w:p>
    <w:p w14:paraId="2A5D8B44"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города Махачкала – 11,3 %;</w:t>
      </w:r>
    </w:p>
    <w:p w14:paraId="61B47323"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 Кизилюрт – 11,8 %;</w:t>
      </w:r>
    </w:p>
    <w:p w14:paraId="62B1FF79"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 Буйнакск – 12,2 %;</w:t>
      </w:r>
    </w:p>
    <w:p w14:paraId="61A2A52A" w14:textId="77777777" w:rsidR="00524476" w:rsidRPr="00524476" w:rsidRDefault="00524476" w:rsidP="00524476">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24476">
        <w:rPr>
          <w:rFonts w:ascii="Times New Roman" w:eastAsia="Times New Roman" w:hAnsi="Times New Roman" w:cs="Times New Roman"/>
          <w:sz w:val="28"/>
          <w:szCs w:val="28"/>
          <w:lang w:eastAsia="ru-RU"/>
        </w:rPr>
        <w:t>- город Дагестанские Огни – 13,3 %.</w:t>
      </w:r>
    </w:p>
    <w:p w14:paraId="10EEB364" w14:textId="1D4C0091" w:rsidR="0053266A" w:rsidRDefault="0053266A"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7BE8349" w14:textId="32BF3B5F"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D5579A9" w14:textId="0329338C"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EAB2BBE" w14:textId="67BA0678"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6971065" w14:textId="4C5CD49F"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055C11D" w14:textId="14DE37DA"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C115028" w14:textId="2F3CDD95"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D0D68CE" w14:textId="167A9236"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747E041" w14:textId="1B731820"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9713681" w14:textId="7744B326"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199B32A" w14:textId="207B1D90"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E29E5D8" w14:textId="186362B8"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7CED8C1" w14:textId="155E2887"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845704C" w14:textId="7AF208B8"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291B06A" w14:textId="340DFB7E" w:rsidR="00143E5E" w:rsidRPr="009A7996" w:rsidRDefault="00143E5E" w:rsidP="00143E5E">
      <w:pPr>
        <w:widowControl w:val="0"/>
        <w:spacing w:after="0" w:line="240" w:lineRule="auto"/>
        <w:jc w:val="center"/>
        <w:rPr>
          <w:rFonts w:ascii="Times New Roman" w:eastAsia="Times New Roman" w:hAnsi="Times New Roman" w:cs="Times New Roman"/>
          <w:b/>
          <w:color w:val="002060"/>
          <w:sz w:val="28"/>
          <w:szCs w:val="28"/>
          <w:lang w:eastAsia="ru-RU"/>
        </w:rPr>
      </w:pPr>
      <w:r w:rsidRPr="009A7996">
        <w:rPr>
          <w:rFonts w:ascii="Times New Roman" w:eastAsia="Calibri" w:hAnsi="Times New Roman" w:cs="Times New Roman"/>
          <w:b/>
          <w:color w:val="002060"/>
          <w:sz w:val="28"/>
          <w:szCs w:val="28"/>
          <w:lang w:eastAsia="ru-RU"/>
        </w:rPr>
        <w:lastRenderedPageBreak/>
        <w:t xml:space="preserve">6. </w:t>
      </w:r>
      <w:r w:rsidR="00CC01F3">
        <w:rPr>
          <w:rFonts w:ascii="Times New Roman" w:eastAsia="Calibri" w:hAnsi="Times New Roman" w:cs="Times New Roman"/>
          <w:b/>
          <w:color w:val="002060"/>
          <w:sz w:val="28"/>
          <w:szCs w:val="28"/>
          <w:lang w:eastAsia="ru-RU"/>
        </w:rPr>
        <w:t>Р</w:t>
      </w:r>
      <w:r w:rsidRPr="009A7996">
        <w:rPr>
          <w:rFonts w:ascii="Times New Roman" w:eastAsia="Calibri" w:hAnsi="Times New Roman" w:cs="Times New Roman"/>
          <w:b/>
          <w:color w:val="002060"/>
          <w:sz w:val="28"/>
          <w:szCs w:val="28"/>
          <w:lang w:eastAsia="ru-RU"/>
        </w:rPr>
        <w:t>еализаци</w:t>
      </w:r>
      <w:r w:rsidR="00CC01F3">
        <w:rPr>
          <w:rFonts w:ascii="Times New Roman" w:eastAsia="Calibri" w:hAnsi="Times New Roman" w:cs="Times New Roman"/>
          <w:b/>
          <w:color w:val="002060"/>
          <w:sz w:val="28"/>
          <w:szCs w:val="28"/>
          <w:lang w:eastAsia="ru-RU"/>
        </w:rPr>
        <w:t xml:space="preserve">я </w:t>
      </w:r>
      <w:r w:rsidRPr="009A7996">
        <w:rPr>
          <w:rFonts w:ascii="Times New Roman" w:eastAsia="Times New Roman" w:hAnsi="Times New Roman" w:cs="Times New Roman"/>
          <w:b/>
          <w:color w:val="002060"/>
          <w:sz w:val="28"/>
          <w:szCs w:val="28"/>
          <w:lang w:eastAsia="ru-RU"/>
        </w:rPr>
        <w:t xml:space="preserve">национальных (региональных) проектов </w:t>
      </w:r>
    </w:p>
    <w:p w14:paraId="4A299412" w14:textId="77777777" w:rsidR="00143E5E" w:rsidRPr="009A7996" w:rsidRDefault="00143E5E" w:rsidP="00143E5E">
      <w:pPr>
        <w:widowControl w:val="0"/>
        <w:spacing w:after="0" w:line="240" w:lineRule="auto"/>
        <w:jc w:val="center"/>
        <w:rPr>
          <w:rFonts w:ascii="Times New Roman" w:eastAsia="Times New Roman" w:hAnsi="Times New Roman" w:cs="Times New Roman"/>
          <w:b/>
          <w:color w:val="002060"/>
          <w:sz w:val="28"/>
          <w:szCs w:val="28"/>
          <w:lang w:eastAsia="ru-RU"/>
        </w:rPr>
      </w:pPr>
      <w:r w:rsidRPr="009A7996">
        <w:rPr>
          <w:rFonts w:ascii="Times New Roman" w:eastAsia="Times New Roman" w:hAnsi="Times New Roman" w:cs="Times New Roman"/>
          <w:b/>
          <w:color w:val="002060"/>
          <w:sz w:val="28"/>
          <w:szCs w:val="28"/>
          <w:lang w:eastAsia="ru-RU"/>
        </w:rPr>
        <w:t>на терри</w:t>
      </w:r>
      <w:r>
        <w:rPr>
          <w:rFonts w:ascii="Times New Roman" w:eastAsia="Times New Roman" w:hAnsi="Times New Roman" w:cs="Times New Roman"/>
          <w:b/>
          <w:color w:val="002060"/>
          <w:sz w:val="28"/>
          <w:szCs w:val="28"/>
          <w:lang w:eastAsia="ru-RU"/>
        </w:rPr>
        <w:t>тории Республики Дагестан в 2021</w:t>
      </w:r>
      <w:r w:rsidRPr="009A7996">
        <w:rPr>
          <w:rFonts w:ascii="Times New Roman" w:eastAsia="Times New Roman" w:hAnsi="Times New Roman" w:cs="Times New Roman"/>
          <w:b/>
          <w:color w:val="002060"/>
          <w:sz w:val="28"/>
          <w:szCs w:val="28"/>
          <w:lang w:eastAsia="ru-RU"/>
        </w:rPr>
        <w:t xml:space="preserve"> году</w:t>
      </w:r>
    </w:p>
    <w:p w14:paraId="26B2E2E0"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
          <w:bCs/>
          <w:sz w:val="28"/>
          <w:szCs w:val="28"/>
          <w:lang w:eastAsia="ru-RU"/>
        </w:rPr>
      </w:pPr>
    </w:p>
    <w:p w14:paraId="3BD22B1F" w14:textId="1B2171C6"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b/>
          <w:bCs/>
          <w:color w:val="002060"/>
          <w:sz w:val="28"/>
          <w:szCs w:val="28"/>
          <w:lang w:eastAsia="ru-RU"/>
        </w:rPr>
        <w:t>6.1.</w:t>
      </w:r>
      <w:r w:rsidRPr="006F4305">
        <w:rPr>
          <w:rFonts w:ascii="Times New Roman" w:eastAsia="Times New Roman" w:hAnsi="Times New Roman" w:cs="Times New Roman"/>
          <w:color w:val="002060"/>
          <w:sz w:val="28"/>
          <w:szCs w:val="28"/>
          <w:lang w:eastAsia="ru-RU"/>
        </w:rPr>
        <w:t xml:space="preserve"> </w:t>
      </w:r>
      <w:r w:rsidRPr="006F4305">
        <w:rPr>
          <w:rFonts w:ascii="Times New Roman" w:eastAsia="Calibri" w:hAnsi="Times New Roman" w:cs="Times New Roman"/>
          <w:bCs/>
          <w:sz w:val="28"/>
          <w:szCs w:val="28"/>
          <w:lang w:eastAsia="ru-RU"/>
        </w:rPr>
        <w:t xml:space="preserve">В 2021 году </w:t>
      </w:r>
      <w:r w:rsidRPr="006F4305">
        <w:rPr>
          <w:rFonts w:ascii="Times New Roman" w:eastAsia="Calibri" w:hAnsi="Times New Roman" w:cs="Times New Roman"/>
          <w:sz w:val="28"/>
          <w:szCs w:val="28"/>
          <w:lang w:eastAsia="ru-RU"/>
        </w:rPr>
        <w:t xml:space="preserve">Республика Дагестан участвовала в реализации </w:t>
      </w:r>
      <w:r w:rsidRPr="006F4305">
        <w:rPr>
          <w:rFonts w:ascii="Times New Roman" w:eastAsia="Calibri" w:hAnsi="Times New Roman" w:cs="Times New Roman"/>
          <w:sz w:val="28"/>
          <w:szCs w:val="28"/>
          <w:lang w:eastAsia="ru-RU"/>
        </w:rPr>
        <w:br/>
        <w:t>12 национальных проектов: «Демография», «Здравоохранение», «Образование», «Жилье и городская среда», «Экология», «Безопасные и качественные автомобильные дороги», «Цифровая экономика», «Культура», «Малое и среднее предпринимательство и поддержка индивидуальной предпринимательской инициативы», «Международная кооперация и экспорт», «Производительность труда и поддержка занятости» и «Наука и университеты».</w:t>
      </w:r>
    </w:p>
    <w:p w14:paraId="08CD0813"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При этом, в 2021 году средства на финансирование национальных проектов «Производительность труда и поддержка занятости» и «Наука и университеты» не предусмотрены. </w:t>
      </w:r>
    </w:p>
    <w:p w14:paraId="3CBB8324" w14:textId="072BB6F1" w:rsidR="006F4305" w:rsidRPr="006F4305" w:rsidRDefault="00CC01F3" w:rsidP="006F4305">
      <w:pPr>
        <w:widowControl w:val="0"/>
        <w:spacing w:after="0" w:line="240" w:lineRule="auto"/>
        <w:ind w:firstLine="709"/>
        <w:jc w:val="both"/>
        <w:rPr>
          <w:rFonts w:ascii="Times New Roman" w:eastAsia="Calibri" w:hAnsi="Times New Roman" w:cs="Times New Roman"/>
          <w:sz w:val="28"/>
          <w:szCs w:val="28"/>
          <w:lang w:eastAsia="ru-RU"/>
        </w:rPr>
      </w:pPr>
      <w:r w:rsidRPr="00CC01F3">
        <w:rPr>
          <w:rFonts w:ascii="Times New Roman" w:eastAsia="Calibri" w:hAnsi="Times New Roman" w:cs="Times New Roman"/>
          <w:b/>
          <w:bCs/>
          <w:color w:val="002060"/>
          <w:sz w:val="28"/>
          <w:szCs w:val="28"/>
          <w:lang w:eastAsia="ru-RU"/>
        </w:rPr>
        <w:t>6.2.</w:t>
      </w:r>
      <w:r w:rsidRPr="00CC01F3">
        <w:rPr>
          <w:rFonts w:ascii="Times New Roman" w:eastAsia="Calibri" w:hAnsi="Times New Roman" w:cs="Times New Roman"/>
          <w:color w:val="002060"/>
          <w:sz w:val="28"/>
          <w:szCs w:val="28"/>
          <w:lang w:eastAsia="ru-RU"/>
        </w:rPr>
        <w:t xml:space="preserve"> </w:t>
      </w:r>
      <w:r w:rsidR="006F4305" w:rsidRPr="006F4305">
        <w:rPr>
          <w:rFonts w:ascii="Times New Roman" w:eastAsia="Calibri" w:hAnsi="Times New Roman" w:cs="Times New Roman"/>
          <w:sz w:val="28"/>
          <w:szCs w:val="28"/>
          <w:lang w:eastAsia="ru-RU"/>
        </w:rPr>
        <w:t xml:space="preserve">В рамках национальных проектов осуществлялась реализация </w:t>
      </w:r>
      <w:r w:rsidR="006F4305" w:rsidRPr="006F4305">
        <w:rPr>
          <w:rFonts w:ascii="Times New Roman" w:eastAsia="Calibri" w:hAnsi="Times New Roman" w:cs="Times New Roman"/>
          <w:sz w:val="28"/>
          <w:szCs w:val="28"/>
          <w:lang w:eastAsia="ru-RU"/>
        </w:rPr>
        <w:br/>
        <w:t>45 региональных проекта, из которых финансировались мероприятия</w:t>
      </w:r>
      <w:r w:rsidR="006F4305" w:rsidRPr="006F4305">
        <w:rPr>
          <w:rFonts w:ascii="Times New Roman" w:eastAsia="Calibri" w:hAnsi="Times New Roman" w:cs="Times New Roman"/>
          <w:color w:val="FF0000"/>
          <w:sz w:val="28"/>
          <w:szCs w:val="28"/>
          <w:lang w:eastAsia="ru-RU"/>
        </w:rPr>
        <w:t xml:space="preserve"> </w:t>
      </w:r>
      <w:r w:rsidR="006F4305" w:rsidRPr="006F4305">
        <w:rPr>
          <w:rFonts w:ascii="Times New Roman" w:eastAsia="Calibri" w:hAnsi="Times New Roman" w:cs="Times New Roman"/>
          <w:color w:val="FF0000"/>
          <w:sz w:val="28"/>
          <w:szCs w:val="28"/>
          <w:lang w:eastAsia="ru-RU"/>
        </w:rPr>
        <w:br/>
      </w:r>
      <w:r w:rsidR="006F4305" w:rsidRPr="006F4305">
        <w:rPr>
          <w:rFonts w:ascii="Times New Roman" w:eastAsia="Calibri" w:hAnsi="Times New Roman" w:cs="Times New Roman"/>
          <w:sz w:val="28"/>
          <w:szCs w:val="28"/>
          <w:lang w:eastAsia="ru-RU"/>
        </w:rPr>
        <w:t xml:space="preserve">29 региональных проектов. </w:t>
      </w:r>
    </w:p>
    <w:p w14:paraId="00A2C570"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FB55DE">
        <w:rPr>
          <w:rFonts w:ascii="Times New Roman" w:eastAsia="Calibri" w:hAnsi="Times New Roman" w:cs="Times New Roman"/>
          <w:b/>
          <w:bCs/>
          <w:color w:val="002060"/>
          <w:sz w:val="28"/>
          <w:szCs w:val="28"/>
          <w:lang w:eastAsia="ru-RU"/>
        </w:rPr>
        <w:t>6.3.</w:t>
      </w:r>
      <w:r w:rsidRPr="00FB55DE">
        <w:rPr>
          <w:rFonts w:ascii="Times New Roman" w:eastAsia="Calibri" w:hAnsi="Times New Roman" w:cs="Times New Roman"/>
          <w:color w:val="002060"/>
          <w:sz w:val="28"/>
          <w:szCs w:val="28"/>
          <w:lang w:eastAsia="ru-RU"/>
        </w:rPr>
        <w:t xml:space="preserve"> </w:t>
      </w:r>
      <w:r w:rsidRPr="006F4305">
        <w:rPr>
          <w:rFonts w:ascii="Times New Roman" w:eastAsia="Calibri" w:hAnsi="Times New Roman" w:cs="Times New Roman"/>
          <w:sz w:val="28"/>
          <w:szCs w:val="28"/>
          <w:lang w:eastAsia="ru-RU"/>
        </w:rPr>
        <w:t>На финансовое обеспечение 10 национальных проектов в 2021 году были предусмотрены средства в сумме 23 787,3 млн рублей, в том числе за счет средств:</w:t>
      </w:r>
    </w:p>
    <w:p w14:paraId="7F7D067E"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федерального бюджета – 18 799,5 млн рублей, или 79,0 % от общего объема утвержденных назначений;</w:t>
      </w:r>
    </w:p>
    <w:p w14:paraId="7A6F0170"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республиканского бюджета Республики Дагестан – 3 046,4 млн рублей, или 12,8 % от общего объема годовых назначений;</w:t>
      </w:r>
    </w:p>
    <w:p w14:paraId="0F972033"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иных источников – 1 941,4 млн рублей (средства Федерального фонда обязательного медицинского страхования – 1 512,4 млн рублей, средства Федерального фонда социального страхования – 83,5 млн рублей, муниципальных образований – 121,9 млн рублей, иных источников – </w:t>
      </w:r>
      <w:r w:rsidRPr="006F4305">
        <w:rPr>
          <w:rFonts w:ascii="Times New Roman" w:eastAsia="Calibri" w:hAnsi="Times New Roman" w:cs="Times New Roman"/>
          <w:sz w:val="28"/>
          <w:szCs w:val="28"/>
          <w:lang w:eastAsia="ru-RU"/>
        </w:rPr>
        <w:br/>
        <w:t>223,6 млн рублей), или 8,2 % от общего объема годовых назначений.</w:t>
      </w:r>
    </w:p>
    <w:p w14:paraId="33BAF768"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pacing w:val="-6"/>
          <w:sz w:val="28"/>
          <w:szCs w:val="28"/>
          <w:lang w:eastAsia="ru-RU"/>
        </w:rPr>
      </w:pPr>
      <w:r w:rsidRPr="006F4305">
        <w:rPr>
          <w:rFonts w:ascii="Times New Roman" w:eastAsia="Calibri" w:hAnsi="Times New Roman" w:cs="Times New Roman"/>
          <w:sz w:val="28"/>
          <w:szCs w:val="28"/>
          <w:lang w:eastAsia="ru-RU"/>
        </w:rPr>
        <w:t xml:space="preserve">В общем объеме бюджетных ассигнований (23 787,3 млн рублей) наибольший объем расходов был предусмотрен на реализацию мероприятий </w:t>
      </w:r>
      <w:r w:rsidRPr="006F4305">
        <w:rPr>
          <w:rFonts w:ascii="Times New Roman" w:eastAsia="Calibri" w:hAnsi="Times New Roman" w:cs="Times New Roman"/>
          <w:spacing w:val="-6"/>
          <w:sz w:val="28"/>
          <w:szCs w:val="28"/>
          <w:lang w:eastAsia="ru-RU"/>
        </w:rPr>
        <w:t xml:space="preserve">национальных проектов «Демография» – 7 812,6 млн рублей, или 32,8 %, «Образование» - 7 866,3 млн рублей, или 33,1 %, «Здравоохранение» – </w:t>
      </w:r>
      <w:r w:rsidRPr="006F4305">
        <w:rPr>
          <w:rFonts w:ascii="Times New Roman" w:eastAsia="Calibri" w:hAnsi="Times New Roman" w:cs="Times New Roman"/>
          <w:spacing w:val="-6"/>
          <w:sz w:val="28"/>
          <w:szCs w:val="28"/>
          <w:lang w:eastAsia="ru-RU"/>
        </w:rPr>
        <w:br/>
        <w:t>2 816,8 млн рублей, или 11,8 %, «Безопасные и качественные автомобильные дороги» - 2 687,0 млн рублей, или 11,3 %.</w:t>
      </w:r>
    </w:p>
    <w:p w14:paraId="26B21112"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FB55DE">
        <w:rPr>
          <w:rFonts w:ascii="Times New Roman" w:eastAsia="Calibri" w:hAnsi="Times New Roman" w:cs="Times New Roman"/>
          <w:b/>
          <w:bCs/>
          <w:color w:val="002060"/>
          <w:sz w:val="28"/>
          <w:szCs w:val="28"/>
          <w:lang w:eastAsia="ru-RU"/>
        </w:rPr>
        <w:t>6.4. </w:t>
      </w:r>
      <w:r w:rsidRPr="006F4305">
        <w:rPr>
          <w:rFonts w:ascii="Times New Roman" w:eastAsia="Calibri" w:hAnsi="Times New Roman" w:cs="Times New Roman"/>
          <w:bCs/>
          <w:sz w:val="28"/>
          <w:szCs w:val="28"/>
          <w:lang w:eastAsia="ru-RU"/>
        </w:rPr>
        <w:t>Ф</w:t>
      </w:r>
      <w:r w:rsidRPr="006F4305">
        <w:rPr>
          <w:rFonts w:ascii="Times New Roman" w:eastAsia="Calibri" w:hAnsi="Times New Roman" w:cs="Times New Roman"/>
          <w:sz w:val="28"/>
          <w:szCs w:val="28"/>
          <w:lang w:eastAsia="ru-RU"/>
        </w:rPr>
        <w:t xml:space="preserve">актически в 2021 году мероприятия национальных проектов профинансированы в сумме 23 423,3 млн рублей, или 98,5 % от годовых назначений (23 787,3 млн рублей).  </w:t>
      </w:r>
    </w:p>
    <w:p w14:paraId="1845B389"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По региональному проекту «Обеспечение устойчивого сокращения непригодного для проживания жилищного фонда» национального проекта «Жилье и городская среда» расходы профинансированы в сумме </w:t>
      </w:r>
      <w:r w:rsidRPr="006F4305">
        <w:rPr>
          <w:rFonts w:ascii="Times New Roman" w:eastAsia="Calibri" w:hAnsi="Times New Roman" w:cs="Times New Roman"/>
          <w:sz w:val="28"/>
          <w:szCs w:val="28"/>
          <w:lang w:eastAsia="ru-RU"/>
        </w:rPr>
        <w:br/>
        <w:t>72,4 млн рублей, или 83,3 % от годовых назначений (86,9 млн рублей).</w:t>
      </w:r>
    </w:p>
    <w:p w14:paraId="450559FF"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Следует отметить, что на протяжении 2021 года наблюдалось неритмичное финансирование национальных проектов. Одновременно темпы </w:t>
      </w:r>
      <w:r w:rsidRPr="006F4305">
        <w:rPr>
          <w:rFonts w:ascii="Times New Roman" w:eastAsia="Calibri" w:hAnsi="Times New Roman" w:cs="Times New Roman"/>
          <w:sz w:val="28"/>
          <w:szCs w:val="28"/>
          <w:lang w:eastAsia="ru-RU"/>
        </w:rPr>
        <w:lastRenderedPageBreak/>
        <w:t xml:space="preserve">освоения бюджетных средств оценивались как недостаточные для своевременного и качественного исполнения запланированных мероприятий и достижения целевых показателей. </w:t>
      </w:r>
    </w:p>
    <w:p w14:paraId="795A738F"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p>
    <w:p w14:paraId="1E1032AE" w14:textId="77777777" w:rsidR="006F4305" w:rsidRPr="006F4305" w:rsidRDefault="006F4305" w:rsidP="006F4305">
      <w:pPr>
        <w:spacing w:after="0" w:line="240" w:lineRule="auto"/>
        <w:jc w:val="center"/>
        <w:rPr>
          <w:rFonts w:ascii="Times New Roman" w:eastAsia="Calibri" w:hAnsi="Times New Roman" w:cs="Times New Roman"/>
          <w:b/>
          <w:bCs/>
          <w:color w:val="002060"/>
          <w:sz w:val="28"/>
          <w:szCs w:val="28"/>
          <w:lang w:eastAsia="ru-RU"/>
        </w:rPr>
      </w:pPr>
      <w:r w:rsidRPr="006F4305">
        <w:rPr>
          <w:rFonts w:ascii="Times New Roman" w:eastAsia="Calibri" w:hAnsi="Times New Roman" w:cs="Times New Roman"/>
          <w:b/>
          <w:bCs/>
          <w:color w:val="002060"/>
          <w:sz w:val="28"/>
          <w:szCs w:val="28"/>
          <w:lang w:eastAsia="ru-RU"/>
        </w:rPr>
        <w:t xml:space="preserve">Финансирование </w:t>
      </w:r>
    </w:p>
    <w:p w14:paraId="6E750F41" w14:textId="77777777" w:rsidR="006F4305" w:rsidRPr="006F4305" w:rsidRDefault="006F4305" w:rsidP="006F4305">
      <w:pPr>
        <w:spacing w:after="0" w:line="240" w:lineRule="auto"/>
        <w:jc w:val="center"/>
        <w:rPr>
          <w:rFonts w:ascii="Times New Roman" w:eastAsia="Calibri" w:hAnsi="Times New Roman" w:cs="Times New Roman"/>
          <w:b/>
          <w:bCs/>
          <w:color w:val="002060"/>
          <w:sz w:val="28"/>
          <w:szCs w:val="28"/>
          <w:lang w:eastAsia="ru-RU"/>
        </w:rPr>
      </w:pPr>
      <w:r w:rsidRPr="006F4305">
        <w:rPr>
          <w:rFonts w:ascii="Times New Roman" w:eastAsia="Calibri" w:hAnsi="Times New Roman" w:cs="Times New Roman"/>
          <w:b/>
          <w:bCs/>
          <w:color w:val="002060"/>
          <w:sz w:val="28"/>
          <w:szCs w:val="28"/>
          <w:lang w:eastAsia="ru-RU"/>
        </w:rPr>
        <w:t>национальных проектов в 2021 году</w:t>
      </w:r>
    </w:p>
    <w:p w14:paraId="1BD72CD9" w14:textId="77777777" w:rsidR="006F4305" w:rsidRPr="006F4305" w:rsidRDefault="006F4305" w:rsidP="006F4305">
      <w:pPr>
        <w:spacing w:after="0" w:line="240" w:lineRule="auto"/>
        <w:ind w:firstLine="709"/>
        <w:jc w:val="right"/>
        <w:rPr>
          <w:rFonts w:ascii="Times New Roman" w:eastAsia="Calibri" w:hAnsi="Times New Roman" w:cs="Times New Roman"/>
          <w:b/>
          <w:color w:val="002060"/>
          <w:sz w:val="24"/>
          <w:szCs w:val="24"/>
          <w:lang w:eastAsia="ru-RU"/>
        </w:rPr>
      </w:pPr>
      <w:r w:rsidRPr="006F4305">
        <w:rPr>
          <w:rFonts w:ascii="Times New Roman" w:eastAsia="Calibri" w:hAnsi="Times New Roman" w:cs="Times New Roman"/>
          <w:b/>
          <w:color w:val="002060"/>
          <w:sz w:val="24"/>
          <w:szCs w:val="24"/>
          <w:lang w:eastAsia="ru-RU"/>
        </w:rPr>
        <w:t>млн рублей</w:t>
      </w:r>
    </w:p>
    <w:p w14:paraId="28E03A9A" w14:textId="77777777" w:rsidR="006F4305" w:rsidRPr="006F4305" w:rsidRDefault="006F4305" w:rsidP="006F4305">
      <w:pPr>
        <w:spacing w:after="0" w:line="240" w:lineRule="auto"/>
        <w:ind w:firstLine="709"/>
        <w:jc w:val="right"/>
        <w:rPr>
          <w:rFonts w:ascii="Times New Roman" w:eastAsia="Calibri" w:hAnsi="Times New Roman" w:cs="Times New Roman"/>
          <w:b/>
          <w:color w:val="002060"/>
          <w:sz w:val="24"/>
          <w:szCs w:val="24"/>
          <w:lang w:eastAsia="ru-RU"/>
        </w:rPr>
      </w:pPr>
    </w:p>
    <w:p w14:paraId="3D350182" w14:textId="77777777" w:rsidR="006F4305" w:rsidRPr="006F4305" w:rsidRDefault="006F4305" w:rsidP="006F4305">
      <w:pPr>
        <w:spacing w:after="0" w:line="240" w:lineRule="auto"/>
        <w:ind w:left="-709" w:right="-426"/>
        <w:jc w:val="center"/>
        <w:rPr>
          <w:rFonts w:ascii="Times New Roman" w:eastAsia="Calibri" w:hAnsi="Times New Roman" w:cs="Times New Roman"/>
          <w:noProof/>
          <w:sz w:val="28"/>
          <w:szCs w:val="28"/>
          <w:lang w:eastAsia="ru-RU"/>
        </w:rPr>
      </w:pPr>
      <w:r w:rsidRPr="006F4305">
        <w:rPr>
          <w:rFonts w:ascii="Times New Roman" w:eastAsia="Calibri" w:hAnsi="Times New Roman" w:cs="Times New Roman"/>
          <w:noProof/>
          <w:sz w:val="28"/>
          <w:szCs w:val="28"/>
          <w:lang w:eastAsia="ru-RU"/>
        </w:rPr>
        <w:drawing>
          <wp:inline distT="0" distB="0" distL="0" distR="0" wp14:anchorId="63474A31" wp14:editId="40F62759">
            <wp:extent cx="6046994" cy="30194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66216" cy="3029023"/>
                    </a:xfrm>
                    <a:prstGeom prst="rect">
                      <a:avLst/>
                    </a:prstGeom>
                    <a:noFill/>
                  </pic:spPr>
                </pic:pic>
              </a:graphicData>
            </a:graphic>
          </wp:inline>
        </w:drawing>
      </w:r>
    </w:p>
    <w:p w14:paraId="3587B0B8" w14:textId="77777777" w:rsidR="006F4305" w:rsidRPr="006F4305" w:rsidRDefault="006F4305" w:rsidP="006F4305">
      <w:pPr>
        <w:spacing w:after="0" w:line="240" w:lineRule="auto"/>
        <w:ind w:left="-284"/>
        <w:jc w:val="right"/>
        <w:rPr>
          <w:rFonts w:ascii="Times New Roman" w:eastAsia="Calibri" w:hAnsi="Times New Roman" w:cs="Times New Roman"/>
          <w:b/>
          <w:color w:val="002060"/>
          <w:sz w:val="24"/>
          <w:szCs w:val="24"/>
          <w:lang w:eastAsia="ru-RU"/>
        </w:rPr>
      </w:pPr>
    </w:p>
    <w:p w14:paraId="31934A2D" w14:textId="43777851"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bookmarkStart w:id="36" w:name="RANGE!A1:H82"/>
      <w:r w:rsidRPr="006F4305">
        <w:rPr>
          <w:rFonts w:ascii="Times New Roman" w:eastAsia="Calibri" w:hAnsi="Times New Roman" w:cs="Times New Roman"/>
          <w:sz w:val="28"/>
          <w:szCs w:val="28"/>
          <w:lang w:eastAsia="ru-RU"/>
        </w:rPr>
        <w:t>Из общей суммы средств (23 423,3 млн рублей), профинансированных в 2021 году на реализацию национальных (региональных) проектов, фактически освоено 17</w:t>
      </w:r>
      <w:r w:rsidR="00E240D8">
        <w:rPr>
          <w:rFonts w:ascii="Times New Roman" w:eastAsia="Calibri" w:hAnsi="Times New Roman" w:cs="Times New Roman"/>
          <w:sz w:val="28"/>
          <w:szCs w:val="28"/>
          <w:lang w:eastAsia="ru-RU"/>
        </w:rPr>
        <w:t> </w:t>
      </w:r>
      <w:r w:rsidRPr="006F4305">
        <w:rPr>
          <w:rFonts w:ascii="Times New Roman" w:eastAsia="Calibri" w:hAnsi="Times New Roman" w:cs="Times New Roman"/>
          <w:sz w:val="28"/>
          <w:szCs w:val="28"/>
          <w:lang w:eastAsia="ru-RU"/>
        </w:rPr>
        <w:t>0</w:t>
      </w:r>
      <w:r w:rsidR="00E240D8">
        <w:rPr>
          <w:rFonts w:ascii="Times New Roman" w:eastAsia="Calibri" w:hAnsi="Times New Roman" w:cs="Times New Roman"/>
          <w:sz w:val="28"/>
          <w:szCs w:val="28"/>
          <w:lang w:eastAsia="ru-RU"/>
        </w:rPr>
        <w:t>7</w:t>
      </w:r>
      <w:r w:rsidRPr="006F4305">
        <w:rPr>
          <w:rFonts w:ascii="Times New Roman" w:eastAsia="Calibri" w:hAnsi="Times New Roman" w:cs="Times New Roman"/>
          <w:sz w:val="28"/>
          <w:szCs w:val="28"/>
          <w:lang w:eastAsia="ru-RU"/>
        </w:rPr>
        <w:t>9</w:t>
      </w:r>
      <w:r w:rsidR="00E240D8">
        <w:rPr>
          <w:rFonts w:ascii="Times New Roman" w:eastAsia="Calibri" w:hAnsi="Times New Roman" w:cs="Times New Roman"/>
          <w:sz w:val="28"/>
          <w:szCs w:val="28"/>
          <w:lang w:eastAsia="ru-RU"/>
        </w:rPr>
        <w:t>,2</w:t>
      </w:r>
      <w:r w:rsidRPr="006F4305">
        <w:rPr>
          <w:rFonts w:ascii="Times New Roman" w:eastAsia="Calibri" w:hAnsi="Times New Roman" w:cs="Times New Roman"/>
          <w:sz w:val="28"/>
          <w:szCs w:val="28"/>
          <w:lang w:eastAsia="ru-RU"/>
        </w:rPr>
        <w:t xml:space="preserve"> млн рублей, или 71,</w:t>
      </w:r>
      <w:r w:rsidR="00E240D8">
        <w:rPr>
          <w:rFonts w:ascii="Times New Roman" w:eastAsia="Calibri" w:hAnsi="Times New Roman" w:cs="Times New Roman"/>
          <w:sz w:val="28"/>
          <w:szCs w:val="28"/>
          <w:lang w:eastAsia="ru-RU"/>
        </w:rPr>
        <w:t xml:space="preserve">8 </w:t>
      </w:r>
      <w:r w:rsidRPr="006F4305">
        <w:rPr>
          <w:rFonts w:ascii="Times New Roman" w:eastAsia="Calibri" w:hAnsi="Times New Roman" w:cs="Times New Roman"/>
          <w:sz w:val="28"/>
          <w:szCs w:val="28"/>
          <w:lang w:eastAsia="ru-RU"/>
        </w:rPr>
        <w:t>%.</w:t>
      </w:r>
    </w:p>
    <w:p w14:paraId="7A917730"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По национальным проектам «Международная кооперация и экспорт» (32,5 млн рублей), «Экология» (35,5 млн рублей) и «Малое и среднее предпринимательство» (215,7 млн рублей) профинансированные средства освоены в полном объеме.</w:t>
      </w:r>
    </w:p>
    <w:p w14:paraId="39965A48"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По национальному проекту «Цифровое экономика» профинансированные средства освоены в сумме 34,9 млн рублей, или 96,7 % от объема финансирования (36,1 млн рублей). Остатки средств в сумме 1,2 млн рублей) образованы в виду сложившейся экономии по результатам торгов, а также в ходе выполнения работ по контрактам.</w:t>
      </w:r>
    </w:p>
    <w:p w14:paraId="58126115" w14:textId="62B7D2CE"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Низкий уровень освоения сложился по национальным проектам: «Образование» – 41 % (3</w:t>
      </w:r>
      <w:r w:rsidR="00E240D8">
        <w:rPr>
          <w:rFonts w:ascii="Times New Roman" w:eastAsia="Calibri" w:hAnsi="Times New Roman" w:cs="Times New Roman"/>
          <w:sz w:val="28"/>
          <w:szCs w:val="28"/>
          <w:lang w:eastAsia="ru-RU"/>
        </w:rPr>
        <w:t> </w:t>
      </w:r>
      <w:r w:rsidRPr="006F4305">
        <w:rPr>
          <w:rFonts w:ascii="Times New Roman" w:eastAsia="Calibri" w:hAnsi="Times New Roman" w:cs="Times New Roman"/>
          <w:sz w:val="28"/>
          <w:szCs w:val="28"/>
          <w:lang w:eastAsia="ru-RU"/>
        </w:rPr>
        <w:t>2</w:t>
      </w:r>
      <w:r w:rsidR="00E240D8">
        <w:rPr>
          <w:rFonts w:ascii="Times New Roman" w:eastAsia="Calibri" w:hAnsi="Times New Roman" w:cs="Times New Roman"/>
          <w:sz w:val="28"/>
          <w:szCs w:val="28"/>
          <w:lang w:eastAsia="ru-RU"/>
        </w:rPr>
        <w:t>14,3</w:t>
      </w:r>
      <w:r w:rsidRPr="006F4305">
        <w:rPr>
          <w:rFonts w:ascii="Times New Roman" w:eastAsia="Calibri" w:hAnsi="Times New Roman" w:cs="Times New Roman"/>
          <w:sz w:val="28"/>
          <w:szCs w:val="28"/>
          <w:lang w:eastAsia="ru-RU"/>
        </w:rPr>
        <w:t xml:space="preserve"> млн рублей), «Демография» – 81,0 % (6 329,8 млн рублей), «Здравоохранение» – 88,0 % (2 479,3 млн рублей), «Культура» – 88,8 % (416,7 млн рублей), «Безопасные и качественные автомобильные дороги» – 94,5 % (2 539,4 млн рублей), «Жилье и городская среда» – 98,1 % (1 781,0 млн рублей).</w:t>
      </w:r>
    </w:p>
    <w:p w14:paraId="5423562B"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Анализ освоения средств в разрезе видов расходов показал, что более ритмично осуществлялось расходование средств на социальное обеспечение и иные выплаты населению.</w:t>
      </w:r>
    </w:p>
    <w:p w14:paraId="6AAD8CE8"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lastRenderedPageBreak/>
        <w:t>По остальным видам расходов кассовое исполнение осуществлялось по мере оплаты товаров, работ, услуг в рамках заключенных государственных (муниципальных) контрактов за фактически выполненные объемы работ (поставленные товары, услуги).</w:t>
      </w:r>
    </w:p>
    <w:p w14:paraId="1F037F98" w14:textId="77777777" w:rsidR="006F4305" w:rsidRPr="006F4305" w:rsidRDefault="006F4305" w:rsidP="006F4305">
      <w:pPr>
        <w:spacing w:after="0" w:line="360" w:lineRule="exact"/>
        <w:ind w:firstLine="709"/>
        <w:jc w:val="both"/>
        <w:rPr>
          <w:rFonts w:ascii="Times New Roman" w:eastAsia="Calibri" w:hAnsi="Times New Roman" w:cs="Times New Roman"/>
          <w:sz w:val="28"/>
          <w:szCs w:val="28"/>
          <w:lang w:eastAsia="ru-RU"/>
        </w:rPr>
      </w:pPr>
    </w:p>
    <w:p w14:paraId="64429F7E" w14:textId="77777777" w:rsidR="006F4305" w:rsidRPr="006F4305" w:rsidRDefault="006F4305" w:rsidP="006F4305">
      <w:pPr>
        <w:spacing w:after="0" w:line="240" w:lineRule="auto"/>
        <w:jc w:val="center"/>
        <w:rPr>
          <w:rFonts w:ascii="Times New Roman" w:eastAsia="Times New Roman" w:hAnsi="Times New Roman" w:cs="Times New Roman"/>
          <w:b/>
          <w:bCs/>
          <w:color w:val="002060"/>
          <w:sz w:val="28"/>
          <w:szCs w:val="24"/>
          <w:lang w:eastAsia="ru-RU"/>
        </w:rPr>
      </w:pPr>
      <w:bookmarkStart w:id="37" w:name="_Hlk63097253"/>
      <w:r w:rsidRPr="006F4305">
        <w:rPr>
          <w:rFonts w:ascii="Times New Roman" w:eastAsia="Times New Roman" w:hAnsi="Times New Roman" w:cs="Times New Roman"/>
          <w:b/>
          <w:bCs/>
          <w:color w:val="002060"/>
          <w:sz w:val="28"/>
          <w:szCs w:val="24"/>
          <w:lang w:eastAsia="ru-RU"/>
        </w:rPr>
        <w:t>Кассовое исполнение реализации</w:t>
      </w:r>
    </w:p>
    <w:p w14:paraId="6AED843B" w14:textId="77777777" w:rsidR="006F4305" w:rsidRPr="006F4305" w:rsidRDefault="006F4305" w:rsidP="006F4305">
      <w:pPr>
        <w:spacing w:after="0" w:line="240" w:lineRule="auto"/>
        <w:jc w:val="center"/>
        <w:rPr>
          <w:rFonts w:ascii="Times New Roman" w:eastAsia="Times New Roman" w:hAnsi="Times New Roman" w:cs="Times New Roman"/>
          <w:b/>
          <w:bCs/>
          <w:color w:val="002060"/>
          <w:sz w:val="28"/>
          <w:szCs w:val="24"/>
          <w:lang w:eastAsia="ru-RU"/>
        </w:rPr>
      </w:pPr>
      <w:r w:rsidRPr="006F4305">
        <w:rPr>
          <w:rFonts w:ascii="Times New Roman" w:eastAsia="Times New Roman" w:hAnsi="Times New Roman" w:cs="Times New Roman"/>
          <w:b/>
          <w:bCs/>
          <w:color w:val="002060"/>
          <w:sz w:val="28"/>
          <w:szCs w:val="24"/>
          <w:lang w:eastAsia="ru-RU"/>
        </w:rPr>
        <w:t>мероприятий национальных проектов</w:t>
      </w:r>
    </w:p>
    <w:p w14:paraId="34F6B502" w14:textId="77777777" w:rsidR="006F4305" w:rsidRPr="006F4305" w:rsidRDefault="006F4305" w:rsidP="006F4305">
      <w:pPr>
        <w:spacing w:after="0" w:line="240" w:lineRule="auto"/>
        <w:jc w:val="center"/>
        <w:rPr>
          <w:rFonts w:ascii="Times New Roman" w:eastAsia="Times New Roman" w:hAnsi="Times New Roman" w:cs="Times New Roman"/>
          <w:b/>
          <w:bCs/>
          <w:color w:val="002060"/>
          <w:sz w:val="28"/>
          <w:szCs w:val="24"/>
          <w:lang w:eastAsia="ru-RU"/>
        </w:rPr>
      </w:pPr>
    </w:p>
    <w:p w14:paraId="778AE504" w14:textId="77777777" w:rsidR="006F4305" w:rsidRPr="006F4305" w:rsidRDefault="006F4305" w:rsidP="006F4305">
      <w:pPr>
        <w:spacing w:after="0" w:line="240" w:lineRule="auto"/>
        <w:ind w:firstLine="709"/>
        <w:jc w:val="right"/>
        <w:rPr>
          <w:rFonts w:ascii="Times New Roman" w:eastAsia="Times New Roman" w:hAnsi="Times New Roman" w:cs="Times New Roman"/>
          <w:b/>
          <w:bCs/>
          <w:color w:val="002060"/>
          <w:sz w:val="24"/>
          <w:szCs w:val="24"/>
          <w:lang w:eastAsia="ru-RU"/>
        </w:rPr>
      </w:pPr>
      <w:r w:rsidRPr="006F4305">
        <w:rPr>
          <w:rFonts w:ascii="Times New Roman" w:eastAsia="Times New Roman" w:hAnsi="Times New Roman" w:cs="Times New Roman"/>
          <w:b/>
          <w:bCs/>
          <w:color w:val="002060"/>
          <w:sz w:val="24"/>
          <w:szCs w:val="24"/>
          <w:lang w:eastAsia="ru-RU"/>
        </w:rPr>
        <w:t>млн рублей</w:t>
      </w:r>
      <w:bookmarkEnd w:id="37"/>
    </w:p>
    <w:p w14:paraId="2680BBBF" w14:textId="77777777" w:rsidR="006F4305" w:rsidRPr="006F4305" w:rsidRDefault="006F4305" w:rsidP="006F4305">
      <w:pPr>
        <w:spacing w:after="0" w:line="240" w:lineRule="auto"/>
        <w:ind w:left="284"/>
        <w:jc w:val="both"/>
        <w:rPr>
          <w:rFonts w:ascii="Times New Roman" w:eastAsia="Times New Roman" w:hAnsi="Times New Roman" w:cs="Times New Roman"/>
          <w:b/>
          <w:bCs/>
          <w:color w:val="002060"/>
          <w:sz w:val="28"/>
          <w:szCs w:val="28"/>
          <w:lang w:eastAsia="ru-RU"/>
        </w:rPr>
      </w:pPr>
      <w:r w:rsidRPr="006F4305">
        <w:rPr>
          <w:rFonts w:ascii="Times New Roman" w:eastAsia="Times New Roman" w:hAnsi="Times New Roman" w:cs="Times New Roman"/>
          <w:b/>
          <w:bCs/>
          <w:noProof/>
          <w:color w:val="002060"/>
          <w:sz w:val="28"/>
          <w:szCs w:val="28"/>
          <w:lang w:eastAsia="ru-RU"/>
        </w:rPr>
        <w:drawing>
          <wp:inline distT="0" distB="0" distL="0" distR="0" wp14:anchorId="3E504A3D" wp14:editId="70EFF0CB">
            <wp:extent cx="5943108" cy="4973053"/>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6486" cy="4975880"/>
                    </a:xfrm>
                    <a:prstGeom prst="rect">
                      <a:avLst/>
                    </a:prstGeom>
                    <a:noFill/>
                  </pic:spPr>
                </pic:pic>
              </a:graphicData>
            </a:graphic>
          </wp:inline>
        </w:drawing>
      </w:r>
    </w:p>
    <w:p w14:paraId="33AF5A71"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6F4305">
        <w:rPr>
          <w:rFonts w:ascii="Times New Roman" w:eastAsia="Times New Roman" w:hAnsi="Times New Roman" w:cs="Times New Roman"/>
          <w:color w:val="000000"/>
          <w:sz w:val="28"/>
          <w:szCs w:val="28"/>
          <w:lang w:eastAsia="ru-RU"/>
        </w:rPr>
        <w:t>Информация о реализации национальных (региональных) проектов на территории Республики Дагестан за 2021 год</w:t>
      </w:r>
      <w:bookmarkEnd w:id="36"/>
      <w:r w:rsidRPr="006F4305">
        <w:rPr>
          <w:rFonts w:ascii="Times New Roman" w:eastAsia="Times New Roman" w:hAnsi="Times New Roman" w:cs="Times New Roman"/>
          <w:color w:val="000000"/>
          <w:sz w:val="28"/>
          <w:szCs w:val="28"/>
          <w:lang w:eastAsia="ru-RU"/>
        </w:rPr>
        <w:t xml:space="preserve"> представлена в следующей таблице.</w:t>
      </w:r>
    </w:p>
    <w:p w14:paraId="692D6289" w14:textId="77777777" w:rsidR="006F4305" w:rsidRPr="006F4305" w:rsidRDefault="006F4305" w:rsidP="006F4305">
      <w:pPr>
        <w:widowControl w:val="0"/>
        <w:spacing w:after="0" w:line="320" w:lineRule="exact"/>
        <w:ind w:firstLine="709"/>
        <w:jc w:val="right"/>
        <w:rPr>
          <w:rFonts w:ascii="Times New Roman" w:eastAsia="Calibri" w:hAnsi="Times New Roman" w:cs="Times New Roman"/>
          <w:b/>
          <w:bCs/>
          <w:color w:val="002060"/>
          <w:sz w:val="24"/>
          <w:szCs w:val="24"/>
          <w:lang w:eastAsia="ru-RU"/>
        </w:rPr>
      </w:pPr>
      <w:r w:rsidRPr="006F4305">
        <w:rPr>
          <w:rFonts w:ascii="Times New Roman" w:eastAsia="Calibri" w:hAnsi="Times New Roman" w:cs="Times New Roman"/>
          <w:b/>
          <w:bCs/>
          <w:color w:val="002060"/>
          <w:sz w:val="24"/>
          <w:szCs w:val="24"/>
          <w:lang w:eastAsia="ru-RU"/>
        </w:rPr>
        <w:t>млн рублей</w:t>
      </w:r>
    </w:p>
    <w:tbl>
      <w:tblPr>
        <w:tblW w:w="9640" w:type="dxa"/>
        <w:tblInd w:w="-1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403"/>
        <w:gridCol w:w="1276"/>
        <w:gridCol w:w="1275"/>
        <w:gridCol w:w="960"/>
        <w:gridCol w:w="742"/>
        <w:gridCol w:w="1021"/>
        <w:gridCol w:w="963"/>
      </w:tblGrid>
      <w:tr w:rsidR="006F4305" w:rsidRPr="006F4305" w14:paraId="3B0C1F7F" w14:textId="77777777" w:rsidTr="00156793">
        <w:trPr>
          <w:trHeight w:val="393"/>
          <w:tblHeader/>
        </w:trPr>
        <w:tc>
          <w:tcPr>
            <w:tcW w:w="3403" w:type="dxa"/>
            <w:vMerge w:val="restart"/>
            <w:shd w:val="clear" w:color="auto" w:fill="D9E2F3" w:themeFill="accent1" w:themeFillTint="33"/>
            <w:hideMark/>
          </w:tcPr>
          <w:p w14:paraId="0D2A1889"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Национальные </w:t>
            </w:r>
          </w:p>
          <w:p w14:paraId="22FBEF6D"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(региональные) проекты</w:t>
            </w:r>
            <w:r w:rsidRPr="006F4305">
              <w:rPr>
                <w:rFonts w:ascii="Calibri" w:eastAsia="Times New Roman" w:hAnsi="Calibri" w:cs="Calibri"/>
                <w:color w:val="000000"/>
                <w:lang w:eastAsia="ru-RU"/>
              </w:rPr>
              <w:t> </w:t>
            </w:r>
          </w:p>
        </w:tc>
        <w:tc>
          <w:tcPr>
            <w:tcW w:w="1276" w:type="dxa"/>
            <w:vMerge w:val="restart"/>
            <w:shd w:val="clear" w:color="auto" w:fill="D9E2F3" w:themeFill="accent1" w:themeFillTint="33"/>
            <w:hideMark/>
          </w:tcPr>
          <w:p w14:paraId="361CF028"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Предусмотрено</w:t>
            </w:r>
            <w:r w:rsidRPr="006F4305">
              <w:rPr>
                <w:rFonts w:ascii="Calibri" w:eastAsia="Times New Roman" w:hAnsi="Calibri" w:cs="Calibri"/>
                <w:color w:val="000000"/>
                <w:lang w:eastAsia="ru-RU"/>
              </w:rPr>
              <w:t> </w:t>
            </w:r>
          </w:p>
        </w:tc>
        <w:tc>
          <w:tcPr>
            <w:tcW w:w="1275" w:type="dxa"/>
            <w:vMerge w:val="restart"/>
            <w:shd w:val="clear" w:color="auto" w:fill="D9E2F3" w:themeFill="accent1" w:themeFillTint="33"/>
            <w:hideMark/>
          </w:tcPr>
          <w:p w14:paraId="0F35F3EB"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Профинан-сировано</w:t>
            </w:r>
          </w:p>
        </w:tc>
        <w:tc>
          <w:tcPr>
            <w:tcW w:w="1702" w:type="dxa"/>
            <w:gridSpan w:val="2"/>
            <w:shd w:val="clear" w:color="auto" w:fill="D9E2F3" w:themeFill="accent1" w:themeFillTint="33"/>
            <w:hideMark/>
          </w:tcPr>
          <w:p w14:paraId="23DB397E"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Освоено </w:t>
            </w:r>
          </w:p>
          <w:p w14:paraId="2C395650"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за 2021 год</w:t>
            </w:r>
          </w:p>
        </w:tc>
        <w:tc>
          <w:tcPr>
            <w:tcW w:w="1984" w:type="dxa"/>
            <w:gridSpan w:val="2"/>
            <w:shd w:val="clear" w:color="auto" w:fill="D9E2F3" w:themeFill="accent1" w:themeFillTint="33"/>
            <w:hideMark/>
          </w:tcPr>
          <w:p w14:paraId="2EB1161A"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Остатки средств</w:t>
            </w:r>
          </w:p>
          <w:p w14:paraId="5AA9B185"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18"/>
                <w:szCs w:val="18"/>
                <w:lang w:eastAsia="ru-RU"/>
              </w:rPr>
              <w:t>на 1 января 2022 года</w:t>
            </w:r>
          </w:p>
        </w:tc>
      </w:tr>
      <w:tr w:rsidR="006F4305" w:rsidRPr="006F4305" w14:paraId="177C92A1" w14:textId="77777777" w:rsidTr="00156793">
        <w:trPr>
          <w:trHeight w:val="92"/>
          <w:tblHeader/>
        </w:trPr>
        <w:tc>
          <w:tcPr>
            <w:tcW w:w="3403" w:type="dxa"/>
            <w:vMerge/>
            <w:shd w:val="clear" w:color="auto" w:fill="D9E2F3" w:themeFill="accent1" w:themeFillTint="33"/>
            <w:hideMark/>
          </w:tcPr>
          <w:p w14:paraId="5B211F5B" w14:textId="77777777" w:rsidR="006F4305" w:rsidRPr="006F4305" w:rsidRDefault="006F4305" w:rsidP="006F4305">
            <w:pPr>
              <w:spacing w:after="0" w:line="216" w:lineRule="auto"/>
              <w:rPr>
                <w:rFonts w:ascii="Calibri" w:eastAsia="Times New Roman" w:hAnsi="Calibri" w:cs="Calibri"/>
                <w:color w:val="000000"/>
                <w:lang w:eastAsia="ru-RU"/>
              </w:rPr>
            </w:pPr>
          </w:p>
        </w:tc>
        <w:tc>
          <w:tcPr>
            <w:tcW w:w="1276" w:type="dxa"/>
            <w:vMerge/>
            <w:shd w:val="clear" w:color="auto" w:fill="D9E2F3" w:themeFill="accent1" w:themeFillTint="33"/>
            <w:hideMark/>
          </w:tcPr>
          <w:p w14:paraId="20BCC632" w14:textId="77777777" w:rsidR="006F4305" w:rsidRPr="006F4305" w:rsidRDefault="006F4305" w:rsidP="006F4305">
            <w:pPr>
              <w:spacing w:after="0" w:line="216" w:lineRule="auto"/>
              <w:rPr>
                <w:rFonts w:ascii="Calibri" w:eastAsia="Times New Roman" w:hAnsi="Calibri" w:cs="Calibri"/>
                <w:color w:val="000000"/>
                <w:lang w:eastAsia="ru-RU"/>
              </w:rPr>
            </w:pPr>
          </w:p>
        </w:tc>
        <w:tc>
          <w:tcPr>
            <w:tcW w:w="1275" w:type="dxa"/>
            <w:vMerge/>
            <w:shd w:val="clear" w:color="auto" w:fill="D9E2F3" w:themeFill="accent1" w:themeFillTint="33"/>
            <w:hideMark/>
          </w:tcPr>
          <w:p w14:paraId="050C215E" w14:textId="77777777" w:rsidR="006F4305" w:rsidRPr="006F4305" w:rsidRDefault="006F4305" w:rsidP="006F4305">
            <w:pPr>
              <w:spacing w:after="0" w:line="216" w:lineRule="auto"/>
              <w:rPr>
                <w:rFonts w:ascii="Times New Roman" w:eastAsia="Times New Roman" w:hAnsi="Times New Roman" w:cs="Times New Roman"/>
                <w:b/>
                <w:bCs/>
                <w:color w:val="000000"/>
                <w:sz w:val="20"/>
                <w:szCs w:val="20"/>
                <w:lang w:eastAsia="ru-RU"/>
              </w:rPr>
            </w:pPr>
          </w:p>
        </w:tc>
        <w:tc>
          <w:tcPr>
            <w:tcW w:w="960" w:type="dxa"/>
            <w:shd w:val="clear" w:color="auto" w:fill="D9E2F3" w:themeFill="accent1" w:themeFillTint="33"/>
            <w:hideMark/>
          </w:tcPr>
          <w:p w14:paraId="3D68C547"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Сумма</w:t>
            </w:r>
          </w:p>
        </w:tc>
        <w:tc>
          <w:tcPr>
            <w:tcW w:w="742" w:type="dxa"/>
            <w:shd w:val="clear" w:color="auto" w:fill="D9E2F3" w:themeFill="accent1" w:themeFillTint="33"/>
            <w:hideMark/>
          </w:tcPr>
          <w:p w14:paraId="7764FC1F"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 </w:t>
            </w:r>
          </w:p>
        </w:tc>
        <w:tc>
          <w:tcPr>
            <w:tcW w:w="1021" w:type="dxa"/>
            <w:shd w:val="clear" w:color="auto" w:fill="D9E2F3" w:themeFill="accent1" w:themeFillTint="33"/>
            <w:hideMark/>
          </w:tcPr>
          <w:p w14:paraId="78292E77"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Сумма</w:t>
            </w:r>
          </w:p>
        </w:tc>
        <w:tc>
          <w:tcPr>
            <w:tcW w:w="963" w:type="dxa"/>
            <w:shd w:val="clear" w:color="auto" w:fill="D9E2F3" w:themeFill="accent1" w:themeFillTint="33"/>
            <w:hideMark/>
          </w:tcPr>
          <w:p w14:paraId="5EE87926" w14:textId="77777777" w:rsidR="006F4305" w:rsidRPr="006F4305" w:rsidRDefault="006F4305" w:rsidP="006F4305">
            <w:pPr>
              <w:spacing w:after="0" w:line="216" w:lineRule="auto"/>
              <w:jc w:val="center"/>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w:t>
            </w:r>
          </w:p>
        </w:tc>
      </w:tr>
      <w:tr w:rsidR="006F4305" w:rsidRPr="006F4305" w14:paraId="3CEA0DC4" w14:textId="77777777" w:rsidTr="00156793">
        <w:trPr>
          <w:trHeight w:val="300"/>
        </w:trPr>
        <w:tc>
          <w:tcPr>
            <w:tcW w:w="3403" w:type="dxa"/>
            <w:shd w:val="clear" w:color="auto" w:fill="EDEDED" w:themeFill="accent3" w:themeFillTint="33"/>
            <w:hideMark/>
          </w:tcPr>
          <w:p w14:paraId="2111EC94" w14:textId="77777777" w:rsidR="006F4305" w:rsidRPr="006F4305" w:rsidRDefault="006F4305" w:rsidP="006F4305">
            <w:pPr>
              <w:spacing w:after="0" w:line="216" w:lineRule="auto"/>
              <w:jc w:val="both"/>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ВСЕГО</w:t>
            </w:r>
          </w:p>
        </w:tc>
        <w:tc>
          <w:tcPr>
            <w:tcW w:w="1276" w:type="dxa"/>
            <w:shd w:val="clear" w:color="auto" w:fill="EDEDED" w:themeFill="accent3" w:themeFillTint="33"/>
            <w:hideMark/>
          </w:tcPr>
          <w:p w14:paraId="47ADA52F"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23 787,30</w:t>
            </w:r>
          </w:p>
        </w:tc>
        <w:tc>
          <w:tcPr>
            <w:tcW w:w="1275" w:type="dxa"/>
            <w:shd w:val="clear" w:color="auto" w:fill="EDEDED" w:themeFill="accent3" w:themeFillTint="33"/>
            <w:hideMark/>
          </w:tcPr>
          <w:p w14:paraId="6BA6D77C"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23 423,33</w:t>
            </w:r>
          </w:p>
        </w:tc>
        <w:tc>
          <w:tcPr>
            <w:tcW w:w="960" w:type="dxa"/>
            <w:shd w:val="clear" w:color="auto" w:fill="EDEDED" w:themeFill="accent3" w:themeFillTint="33"/>
            <w:hideMark/>
          </w:tcPr>
          <w:p w14:paraId="7AA5A0F6" w14:textId="77777777" w:rsidR="006F4305" w:rsidRPr="006F4305" w:rsidRDefault="006F4305" w:rsidP="006F4305">
            <w:pPr>
              <w:spacing w:after="0" w:line="216" w:lineRule="auto"/>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17 079,2</w:t>
            </w:r>
          </w:p>
        </w:tc>
        <w:tc>
          <w:tcPr>
            <w:tcW w:w="742" w:type="dxa"/>
            <w:shd w:val="clear" w:color="auto" w:fill="EDEDED" w:themeFill="accent3" w:themeFillTint="33"/>
            <w:hideMark/>
          </w:tcPr>
          <w:p w14:paraId="3F1CF361"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71,8</w:t>
            </w:r>
          </w:p>
        </w:tc>
        <w:tc>
          <w:tcPr>
            <w:tcW w:w="1021" w:type="dxa"/>
            <w:shd w:val="clear" w:color="auto" w:fill="EDEDED" w:themeFill="accent3" w:themeFillTint="33"/>
            <w:hideMark/>
          </w:tcPr>
          <w:p w14:paraId="54B1AD60"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6 708,09</w:t>
            </w:r>
          </w:p>
        </w:tc>
        <w:tc>
          <w:tcPr>
            <w:tcW w:w="963" w:type="dxa"/>
            <w:shd w:val="clear" w:color="auto" w:fill="EDEDED" w:themeFill="accent3" w:themeFillTint="33"/>
            <w:hideMark/>
          </w:tcPr>
          <w:p w14:paraId="3F550D3F"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28,12</w:t>
            </w:r>
          </w:p>
        </w:tc>
      </w:tr>
      <w:tr w:rsidR="006F4305" w:rsidRPr="006F4305" w14:paraId="0B0C9838" w14:textId="77777777" w:rsidTr="00156793">
        <w:trPr>
          <w:trHeight w:val="300"/>
        </w:trPr>
        <w:tc>
          <w:tcPr>
            <w:tcW w:w="3403" w:type="dxa"/>
            <w:shd w:val="clear" w:color="auto" w:fill="D9E2F3" w:themeFill="accent1" w:themeFillTint="33"/>
            <w:hideMark/>
          </w:tcPr>
          <w:p w14:paraId="7A1EF6E9"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«ДЕМОГРАФИЯ»</w:t>
            </w:r>
          </w:p>
        </w:tc>
        <w:tc>
          <w:tcPr>
            <w:tcW w:w="1276" w:type="dxa"/>
            <w:shd w:val="clear" w:color="auto" w:fill="D9E2F3" w:themeFill="accent1" w:themeFillTint="33"/>
            <w:hideMark/>
          </w:tcPr>
          <w:p w14:paraId="10F33944"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7 812,55</w:t>
            </w:r>
          </w:p>
        </w:tc>
        <w:tc>
          <w:tcPr>
            <w:tcW w:w="1275" w:type="dxa"/>
            <w:shd w:val="clear" w:color="auto" w:fill="D9E2F3" w:themeFill="accent1" w:themeFillTint="33"/>
            <w:hideMark/>
          </w:tcPr>
          <w:p w14:paraId="5DE8997A"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7 812,55</w:t>
            </w:r>
          </w:p>
        </w:tc>
        <w:tc>
          <w:tcPr>
            <w:tcW w:w="960" w:type="dxa"/>
            <w:shd w:val="clear" w:color="auto" w:fill="D9E2F3" w:themeFill="accent1" w:themeFillTint="33"/>
            <w:hideMark/>
          </w:tcPr>
          <w:p w14:paraId="3F54CADE"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6 329,80</w:t>
            </w:r>
          </w:p>
        </w:tc>
        <w:tc>
          <w:tcPr>
            <w:tcW w:w="742" w:type="dxa"/>
            <w:shd w:val="clear" w:color="auto" w:fill="D9E2F3" w:themeFill="accent1" w:themeFillTint="33"/>
            <w:hideMark/>
          </w:tcPr>
          <w:p w14:paraId="32F76F8E"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81,0</w:t>
            </w:r>
          </w:p>
        </w:tc>
        <w:tc>
          <w:tcPr>
            <w:tcW w:w="1021" w:type="dxa"/>
            <w:shd w:val="clear" w:color="auto" w:fill="D9E2F3" w:themeFill="accent1" w:themeFillTint="33"/>
            <w:hideMark/>
          </w:tcPr>
          <w:p w14:paraId="597F6A4F"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1 482,75</w:t>
            </w:r>
          </w:p>
        </w:tc>
        <w:tc>
          <w:tcPr>
            <w:tcW w:w="963" w:type="dxa"/>
            <w:shd w:val="clear" w:color="auto" w:fill="D9E2F3" w:themeFill="accent1" w:themeFillTint="33"/>
            <w:hideMark/>
          </w:tcPr>
          <w:p w14:paraId="081E3CBB"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18,98</w:t>
            </w:r>
          </w:p>
        </w:tc>
      </w:tr>
      <w:tr w:rsidR="006F4305" w:rsidRPr="006F4305" w14:paraId="76FEBA48" w14:textId="77777777" w:rsidTr="00545B6E">
        <w:trPr>
          <w:trHeight w:val="540"/>
        </w:trPr>
        <w:tc>
          <w:tcPr>
            <w:tcW w:w="3403" w:type="dxa"/>
            <w:shd w:val="clear" w:color="000000" w:fill="FFFFFF"/>
            <w:hideMark/>
          </w:tcPr>
          <w:p w14:paraId="7D385E5A"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rPr>
                <w:rFonts w:ascii="Times New Roman" w:eastAsia="Times New Roman" w:hAnsi="Times New Roman" w:cs="Times New Roman"/>
                <w:color w:val="000000"/>
                <w:sz w:val="20"/>
                <w:szCs w:val="20"/>
                <w:lang w:eastAsia="ru-RU"/>
              </w:rPr>
              <w:t xml:space="preserve"> «Финансовая поддержка семей при рождении детей»</w:t>
            </w:r>
          </w:p>
        </w:tc>
        <w:tc>
          <w:tcPr>
            <w:tcW w:w="1276" w:type="dxa"/>
            <w:shd w:val="clear" w:color="000000" w:fill="FFFFFF"/>
            <w:hideMark/>
          </w:tcPr>
          <w:p w14:paraId="7688A3D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4 898,35</w:t>
            </w:r>
          </w:p>
        </w:tc>
        <w:tc>
          <w:tcPr>
            <w:tcW w:w="1275" w:type="dxa"/>
            <w:shd w:val="clear" w:color="000000" w:fill="FFFFFF"/>
            <w:hideMark/>
          </w:tcPr>
          <w:p w14:paraId="7303818B"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4 898,35</w:t>
            </w:r>
          </w:p>
        </w:tc>
        <w:tc>
          <w:tcPr>
            <w:tcW w:w="960" w:type="dxa"/>
            <w:shd w:val="clear" w:color="000000" w:fill="FFFFFF"/>
            <w:hideMark/>
          </w:tcPr>
          <w:p w14:paraId="688DA21C"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4 898,02</w:t>
            </w:r>
          </w:p>
        </w:tc>
        <w:tc>
          <w:tcPr>
            <w:tcW w:w="742" w:type="dxa"/>
            <w:shd w:val="clear" w:color="000000" w:fill="FFFFFF"/>
            <w:hideMark/>
          </w:tcPr>
          <w:p w14:paraId="1C910CAD"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100,0</w:t>
            </w:r>
          </w:p>
        </w:tc>
        <w:tc>
          <w:tcPr>
            <w:tcW w:w="1021" w:type="dxa"/>
            <w:shd w:val="clear" w:color="000000" w:fill="FFFFFF"/>
            <w:hideMark/>
          </w:tcPr>
          <w:p w14:paraId="03A01009"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0,33</w:t>
            </w:r>
          </w:p>
        </w:tc>
        <w:tc>
          <w:tcPr>
            <w:tcW w:w="963" w:type="dxa"/>
            <w:shd w:val="clear" w:color="000000" w:fill="FFFFFF"/>
            <w:hideMark/>
          </w:tcPr>
          <w:p w14:paraId="2E93CBD0"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0,01</w:t>
            </w:r>
          </w:p>
        </w:tc>
      </w:tr>
      <w:tr w:rsidR="006F4305" w:rsidRPr="006F4305" w14:paraId="1CE1C2A7" w14:textId="77777777" w:rsidTr="00545B6E">
        <w:trPr>
          <w:trHeight w:val="300"/>
        </w:trPr>
        <w:tc>
          <w:tcPr>
            <w:tcW w:w="3403" w:type="dxa"/>
            <w:shd w:val="clear" w:color="000000" w:fill="FFFFFF"/>
            <w:hideMark/>
          </w:tcPr>
          <w:p w14:paraId="253D668D"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w:t>
            </w:r>
            <w:r w:rsidRPr="006F4305">
              <w:rPr>
                <w:rFonts w:ascii="Times New Roman" w:eastAsia="Times New Roman" w:hAnsi="Times New Roman" w:cs="Times New Roman"/>
                <w:color w:val="000000"/>
                <w:sz w:val="20"/>
                <w:szCs w:val="20"/>
                <w:lang w:eastAsia="ru-RU"/>
              </w:rPr>
              <w:t xml:space="preserve"> «Содействие занятости»</w:t>
            </w:r>
          </w:p>
        </w:tc>
        <w:tc>
          <w:tcPr>
            <w:tcW w:w="1276" w:type="dxa"/>
            <w:shd w:val="clear" w:color="000000" w:fill="FFFFFF"/>
            <w:hideMark/>
          </w:tcPr>
          <w:p w14:paraId="3F93F595"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2 818,42</w:t>
            </w:r>
          </w:p>
        </w:tc>
        <w:tc>
          <w:tcPr>
            <w:tcW w:w="1275" w:type="dxa"/>
            <w:shd w:val="clear" w:color="000000" w:fill="FFFFFF"/>
            <w:hideMark/>
          </w:tcPr>
          <w:p w14:paraId="2A411E1C"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2 818,42</w:t>
            </w:r>
          </w:p>
        </w:tc>
        <w:tc>
          <w:tcPr>
            <w:tcW w:w="960" w:type="dxa"/>
            <w:shd w:val="clear" w:color="000000" w:fill="FFFFFF"/>
            <w:hideMark/>
          </w:tcPr>
          <w:p w14:paraId="1F2CEED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1 336,15</w:t>
            </w:r>
          </w:p>
        </w:tc>
        <w:tc>
          <w:tcPr>
            <w:tcW w:w="742" w:type="dxa"/>
            <w:shd w:val="clear" w:color="000000" w:fill="FFFFFF"/>
            <w:hideMark/>
          </w:tcPr>
          <w:p w14:paraId="19D47432"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47,4</w:t>
            </w:r>
          </w:p>
        </w:tc>
        <w:tc>
          <w:tcPr>
            <w:tcW w:w="1021" w:type="dxa"/>
            <w:shd w:val="clear" w:color="000000" w:fill="FFFFFF"/>
            <w:hideMark/>
          </w:tcPr>
          <w:p w14:paraId="067A68D3"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1 482,27</w:t>
            </w:r>
          </w:p>
        </w:tc>
        <w:tc>
          <w:tcPr>
            <w:tcW w:w="963" w:type="dxa"/>
            <w:shd w:val="clear" w:color="000000" w:fill="FFFFFF"/>
            <w:hideMark/>
          </w:tcPr>
          <w:p w14:paraId="21142525"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52,59</w:t>
            </w:r>
          </w:p>
        </w:tc>
      </w:tr>
      <w:tr w:rsidR="006F4305" w:rsidRPr="006F4305" w14:paraId="5E66D2C4" w14:textId="77777777" w:rsidTr="00545B6E">
        <w:trPr>
          <w:trHeight w:val="300"/>
        </w:trPr>
        <w:tc>
          <w:tcPr>
            <w:tcW w:w="3403" w:type="dxa"/>
            <w:shd w:val="clear" w:color="000000" w:fill="FFFFFF"/>
            <w:hideMark/>
          </w:tcPr>
          <w:p w14:paraId="1BF53BB7"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lastRenderedPageBreak/>
              <w:t>3.</w:t>
            </w:r>
            <w:r w:rsidRPr="006F4305">
              <w:rPr>
                <w:rFonts w:ascii="Times New Roman" w:eastAsia="Times New Roman" w:hAnsi="Times New Roman" w:cs="Times New Roman"/>
                <w:color w:val="000000"/>
                <w:sz w:val="20"/>
                <w:szCs w:val="20"/>
                <w:lang w:eastAsia="ru-RU"/>
              </w:rPr>
              <w:t xml:space="preserve"> «Старшее поколение»</w:t>
            </w:r>
          </w:p>
        </w:tc>
        <w:tc>
          <w:tcPr>
            <w:tcW w:w="1276" w:type="dxa"/>
            <w:shd w:val="clear" w:color="000000" w:fill="FFFFFF"/>
            <w:hideMark/>
          </w:tcPr>
          <w:p w14:paraId="2A00940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0,048</w:t>
            </w:r>
          </w:p>
        </w:tc>
        <w:tc>
          <w:tcPr>
            <w:tcW w:w="1275" w:type="dxa"/>
            <w:shd w:val="clear" w:color="000000" w:fill="FFFFFF"/>
            <w:hideMark/>
          </w:tcPr>
          <w:p w14:paraId="733C95E1"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0,048</w:t>
            </w:r>
          </w:p>
        </w:tc>
        <w:tc>
          <w:tcPr>
            <w:tcW w:w="960" w:type="dxa"/>
            <w:shd w:val="clear" w:color="000000" w:fill="FFFFFF"/>
            <w:hideMark/>
          </w:tcPr>
          <w:p w14:paraId="764ECCCD"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0,048</w:t>
            </w:r>
          </w:p>
        </w:tc>
        <w:tc>
          <w:tcPr>
            <w:tcW w:w="742" w:type="dxa"/>
            <w:shd w:val="clear" w:color="000000" w:fill="FFFFFF"/>
            <w:hideMark/>
          </w:tcPr>
          <w:p w14:paraId="4813BC40"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100,0</w:t>
            </w:r>
          </w:p>
        </w:tc>
        <w:tc>
          <w:tcPr>
            <w:tcW w:w="1021" w:type="dxa"/>
            <w:shd w:val="clear" w:color="000000" w:fill="FFFFFF"/>
            <w:hideMark/>
          </w:tcPr>
          <w:p w14:paraId="3829ACC1"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3" w:type="dxa"/>
            <w:shd w:val="clear" w:color="000000" w:fill="FFFFFF"/>
            <w:hideMark/>
          </w:tcPr>
          <w:p w14:paraId="31D54939"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r>
      <w:tr w:rsidR="006F4305" w:rsidRPr="006F4305" w14:paraId="592CE2EE" w14:textId="77777777" w:rsidTr="00545B6E">
        <w:trPr>
          <w:trHeight w:val="489"/>
        </w:trPr>
        <w:tc>
          <w:tcPr>
            <w:tcW w:w="3403" w:type="dxa"/>
            <w:shd w:val="clear" w:color="000000" w:fill="FFFFFF"/>
            <w:hideMark/>
          </w:tcPr>
          <w:p w14:paraId="29B098D9"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4. </w:t>
            </w:r>
            <w:r w:rsidRPr="006F4305">
              <w:rPr>
                <w:rFonts w:ascii="Times New Roman" w:eastAsia="Times New Roman" w:hAnsi="Times New Roman" w:cs="Times New Roman"/>
                <w:color w:val="000000"/>
                <w:sz w:val="20"/>
                <w:szCs w:val="20"/>
                <w:lang w:eastAsia="ru-RU"/>
              </w:rPr>
              <w:t>«Укрепление общественного здоровья в Республике Дагестан»</w:t>
            </w:r>
          </w:p>
        </w:tc>
        <w:tc>
          <w:tcPr>
            <w:tcW w:w="1276" w:type="dxa"/>
            <w:shd w:val="clear" w:color="000000" w:fill="FFFFFF"/>
            <w:hideMark/>
          </w:tcPr>
          <w:p w14:paraId="76E48908"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3869EDB2"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0" w:type="dxa"/>
            <w:shd w:val="clear" w:color="000000" w:fill="FFFFFF"/>
            <w:hideMark/>
          </w:tcPr>
          <w:p w14:paraId="52D08DD2"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742" w:type="dxa"/>
            <w:shd w:val="clear" w:color="000000" w:fill="FFFFFF"/>
            <w:hideMark/>
          </w:tcPr>
          <w:p w14:paraId="25DD880F"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021" w:type="dxa"/>
            <w:shd w:val="clear" w:color="000000" w:fill="FFFFFF"/>
            <w:hideMark/>
          </w:tcPr>
          <w:p w14:paraId="3EB967F6"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3" w:type="dxa"/>
            <w:shd w:val="clear" w:color="000000" w:fill="FFFFFF"/>
            <w:hideMark/>
          </w:tcPr>
          <w:p w14:paraId="69D63144"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r>
      <w:tr w:rsidR="006F4305" w:rsidRPr="006F4305" w14:paraId="14970C1D" w14:textId="77777777" w:rsidTr="00545B6E">
        <w:trPr>
          <w:trHeight w:val="259"/>
        </w:trPr>
        <w:tc>
          <w:tcPr>
            <w:tcW w:w="3403" w:type="dxa"/>
            <w:shd w:val="clear" w:color="000000" w:fill="FFFFFF"/>
            <w:hideMark/>
          </w:tcPr>
          <w:p w14:paraId="2A0AAD83"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5.</w:t>
            </w:r>
            <w:r w:rsidRPr="006F4305">
              <w:rPr>
                <w:rFonts w:ascii="Times New Roman" w:eastAsia="Times New Roman" w:hAnsi="Times New Roman" w:cs="Times New Roman"/>
                <w:color w:val="000000"/>
                <w:sz w:val="20"/>
                <w:szCs w:val="20"/>
                <w:lang w:eastAsia="ru-RU"/>
              </w:rPr>
              <w:t xml:space="preserve"> «Спорт – норма жизни»</w:t>
            </w:r>
          </w:p>
        </w:tc>
        <w:tc>
          <w:tcPr>
            <w:tcW w:w="1276" w:type="dxa"/>
            <w:shd w:val="clear" w:color="000000" w:fill="FFFFFF"/>
            <w:hideMark/>
          </w:tcPr>
          <w:p w14:paraId="76AF4763"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95,73</w:t>
            </w:r>
          </w:p>
        </w:tc>
        <w:tc>
          <w:tcPr>
            <w:tcW w:w="1275" w:type="dxa"/>
            <w:shd w:val="clear" w:color="000000" w:fill="FFFFFF"/>
            <w:hideMark/>
          </w:tcPr>
          <w:p w14:paraId="3D52A823"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95,73</w:t>
            </w:r>
          </w:p>
        </w:tc>
        <w:tc>
          <w:tcPr>
            <w:tcW w:w="960" w:type="dxa"/>
            <w:shd w:val="clear" w:color="000000" w:fill="FFFFFF"/>
            <w:hideMark/>
          </w:tcPr>
          <w:p w14:paraId="27091444"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95,58</w:t>
            </w:r>
          </w:p>
        </w:tc>
        <w:tc>
          <w:tcPr>
            <w:tcW w:w="742" w:type="dxa"/>
            <w:shd w:val="clear" w:color="000000" w:fill="FFFFFF"/>
            <w:hideMark/>
          </w:tcPr>
          <w:p w14:paraId="225B4E78"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99,8</w:t>
            </w:r>
          </w:p>
        </w:tc>
        <w:tc>
          <w:tcPr>
            <w:tcW w:w="1021" w:type="dxa"/>
            <w:shd w:val="clear" w:color="000000" w:fill="FFFFFF"/>
            <w:hideMark/>
          </w:tcPr>
          <w:p w14:paraId="23DE1C4D"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0,15</w:t>
            </w:r>
          </w:p>
        </w:tc>
        <w:tc>
          <w:tcPr>
            <w:tcW w:w="963" w:type="dxa"/>
            <w:shd w:val="clear" w:color="000000" w:fill="FFFFFF"/>
            <w:hideMark/>
          </w:tcPr>
          <w:p w14:paraId="1AF06D1F"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0,16</w:t>
            </w:r>
          </w:p>
        </w:tc>
      </w:tr>
      <w:tr w:rsidR="006F4305" w:rsidRPr="006F4305" w14:paraId="1D438369" w14:textId="77777777" w:rsidTr="00217EBD">
        <w:trPr>
          <w:trHeight w:val="317"/>
        </w:trPr>
        <w:tc>
          <w:tcPr>
            <w:tcW w:w="3403" w:type="dxa"/>
            <w:shd w:val="clear" w:color="auto" w:fill="D9E2F3" w:themeFill="accent1" w:themeFillTint="33"/>
            <w:hideMark/>
          </w:tcPr>
          <w:p w14:paraId="01B883D0"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«ЗДРАВООХРАНЕНИЕ»</w:t>
            </w:r>
          </w:p>
        </w:tc>
        <w:tc>
          <w:tcPr>
            <w:tcW w:w="1276" w:type="dxa"/>
            <w:shd w:val="clear" w:color="auto" w:fill="D9E2F3" w:themeFill="accent1" w:themeFillTint="33"/>
            <w:hideMark/>
          </w:tcPr>
          <w:p w14:paraId="1EA57CC9"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2 816,79</w:t>
            </w:r>
          </w:p>
        </w:tc>
        <w:tc>
          <w:tcPr>
            <w:tcW w:w="1275" w:type="dxa"/>
            <w:shd w:val="clear" w:color="auto" w:fill="D9E2F3" w:themeFill="accent1" w:themeFillTint="33"/>
            <w:hideMark/>
          </w:tcPr>
          <w:p w14:paraId="4DB0E3AB"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2 816,79</w:t>
            </w:r>
          </w:p>
        </w:tc>
        <w:tc>
          <w:tcPr>
            <w:tcW w:w="960" w:type="dxa"/>
            <w:shd w:val="clear" w:color="auto" w:fill="D9E2F3" w:themeFill="accent1" w:themeFillTint="33"/>
            <w:hideMark/>
          </w:tcPr>
          <w:p w14:paraId="161AEDE4"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2 479,26</w:t>
            </w:r>
          </w:p>
        </w:tc>
        <w:tc>
          <w:tcPr>
            <w:tcW w:w="742" w:type="dxa"/>
            <w:shd w:val="clear" w:color="auto" w:fill="D9E2F3" w:themeFill="accent1" w:themeFillTint="33"/>
            <w:hideMark/>
          </w:tcPr>
          <w:p w14:paraId="22250458"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88,0</w:t>
            </w:r>
          </w:p>
        </w:tc>
        <w:tc>
          <w:tcPr>
            <w:tcW w:w="1021" w:type="dxa"/>
            <w:shd w:val="clear" w:color="auto" w:fill="D9E2F3" w:themeFill="accent1" w:themeFillTint="33"/>
            <w:hideMark/>
          </w:tcPr>
          <w:p w14:paraId="01246682"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337,53</w:t>
            </w:r>
          </w:p>
        </w:tc>
        <w:tc>
          <w:tcPr>
            <w:tcW w:w="963" w:type="dxa"/>
            <w:shd w:val="clear" w:color="auto" w:fill="D9E2F3" w:themeFill="accent1" w:themeFillTint="33"/>
            <w:hideMark/>
          </w:tcPr>
          <w:p w14:paraId="6C7D4817"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11,98</w:t>
            </w:r>
          </w:p>
        </w:tc>
      </w:tr>
      <w:tr w:rsidR="006F4305" w:rsidRPr="006F4305" w14:paraId="2BFB46FD" w14:textId="77777777" w:rsidTr="00545B6E">
        <w:trPr>
          <w:trHeight w:val="420"/>
        </w:trPr>
        <w:tc>
          <w:tcPr>
            <w:tcW w:w="3403" w:type="dxa"/>
            <w:shd w:val="clear" w:color="000000" w:fill="FFFFFF"/>
            <w:hideMark/>
          </w:tcPr>
          <w:p w14:paraId="4215051F"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t> </w:t>
            </w:r>
            <w:r w:rsidRPr="006F4305">
              <w:rPr>
                <w:rFonts w:ascii="Times New Roman" w:eastAsia="Times New Roman" w:hAnsi="Times New Roman" w:cs="Times New Roman"/>
                <w:color w:val="000000"/>
                <w:sz w:val="20"/>
                <w:szCs w:val="20"/>
                <w:lang w:eastAsia="ru-RU"/>
              </w:rPr>
              <w:t xml:space="preserve">«Первичная медико-санитарная помощь» </w:t>
            </w:r>
          </w:p>
        </w:tc>
        <w:tc>
          <w:tcPr>
            <w:tcW w:w="1276" w:type="dxa"/>
            <w:shd w:val="clear" w:color="000000" w:fill="FFFFFF"/>
            <w:hideMark/>
          </w:tcPr>
          <w:p w14:paraId="3B725605"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140,16</w:t>
            </w:r>
          </w:p>
        </w:tc>
        <w:tc>
          <w:tcPr>
            <w:tcW w:w="1275" w:type="dxa"/>
            <w:shd w:val="clear" w:color="000000" w:fill="FFFFFF"/>
            <w:hideMark/>
          </w:tcPr>
          <w:p w14:paraId="2C5ADCE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140,16</w:t>
            </w:r>
          </w:p>
        </w:tc>
        <w:tc>
          <w:tcPr>
            <w:tcW w:w="960" w:type="dxa"/>
            <w:shd w:val="clear" w:color="000000" w:fill="FFFFFF"/>
            <w:hideMark/>
          </w:tcPr>
          <w:p w14:paraId="34D950A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140,16</w:t>
            </w:r>
          </w:p>
        </w:tc>
        <w:tc>
          <w:tcPr>
            <w:tcW w:w="742" w:type="dxa"/>
            <w:shd w:val="clear" w:color="000000" w:fill="FFFFFF"/>
            <w:hideMark/>
          </w:tcPr>
          <w:p w14:paraId="0FF7DC2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32C4A01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3C3DDAA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7F621FBB" w14:textId="77777777" w:rsidTr="00545B6E">
        <w:trPr>
          <w:trHeight w:val="309"/>
        </w:trPr>
        <w:tc>
          <w:tcPr>
            <w:tcW w:w="3403" w:type="dxa"/>
            <w:shd w:val="clear" w:color="000000" w:fill="FFFFFF"/>
            <w:hideMark/>
          </w:tcPr>
          <w:p w14:paraId="61DF2276"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2. </w:t>
            </w:r>
            <w:r w:rsidRPr="006F4305">
              <w:rPr>
                <w:rFonts w:ascii="Times New Roman" w:eastAsia="Times New Roman" w:hAnsi="Times New Roman" w:cs="Times New Roman"/>
                <w:color w:val="000000"/>
                <w:sz w:val="20"/>
                <w:szCs w:val="20"/>
                <w:lang w:eastAsia="ru-RU"/>
              </w:rPr>
              <w:t>«Борьба с сердечно-сосудистыми заболеваниями»</w:t>
            </w:r>
          </w:p>
        </w:tc>
        <w:tc>
          <w:tcPr>
            <w:tcW w:w="1276" w:type="dxa"/>
            <w:shd w:val="clear" w:color="000000" w:fill="FFFFFF"/>
            <w:hideMark/>
          </w:tcPr>
          <w:p w14:paraId="4839FEC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195,47</w:t>
            </w:r>
          </w:p>
        </w:tc>
        <w:tc>
          <w:tcPr>
            <w:tcW w:w="1275" w:type="dxa"/>
            <w:shd w:val="clear" w:color="000000" w:fill="FFFFFF"/>
            <w:hideMark/>
          </w:tcPr>
          <w:p w14:paraId="73F0FAE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195,47</w:t>
            </w:r>
          </w:p>
        </w:tc>
        <w:tc>
          <w:tcPr>
            <w:tcW w:w="960" w:type="dxa"/>
            <w:shd w:val="clear" w:color="000000" w:fill="FFFFFF"/>
            <w:hideMark/>
          </w:tcPr>
          <w:p w14:paraId="7ED74AF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195,47</w:t>
            </w:r>
          </w:p>
        </w:tc>
        <w:tc>
          <w:tcPr>
            <w:tcW w:w="742" w:type="dxa"/>
            <w:shd w:val="clear" w:color="000000" w:fill="FFFFFF"/>
            <w:hideMark/>
          </w:tcPr>
          <w:p w14:paraId="24648D2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4088B2E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5744A45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232F73F4" w14:textId="77777777" w:rsidTr="00545B6E">
        <w:trPr>
          <w:trHeight w:val="456"/>
        </w:trPr>
        <w:tc>
          <w:tcPr>
            <w:tcW w:w="3403" w:type="dxa"/>
            <w:shd w:val="clear" w:color="000000" w:fill="FFFFFF"/>
            <w:hideMark/>
          </w:tcPr>
          <w:p w14:paraId="72683F9E"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3. </w:t>
            </w:r>
            <w:r w:rsidRPr="006F4305">
              <w:rPr>
                <w:rFonts w:ascii="Times New Roman" w:eastAsia="Times New Roman" w:hAnsi="Times New Roman" w:cs="Times New Roman"/>
                <w:color w:val="000000"/>
                <w:sz w:val="20"/>
                <w:szCs w:val="20"/>
                <w:lang w:eastAsia="ru-RU"/>
              </w:rPr>
              <w:t>«Борьба с онкологическими заболеваниями»</w:t>
            </w:r>
          </w:p>
        </w:tc>
        <w:tc>
          <w:tcPr>
            <w:tcW w:w="1276" w:type="dxa"/>
            <w:shd w:val="clear" w:color="000000" w:fill="FFFFFF"/>
            <w:hideMark/>
          </w:tcPr>
          <w:p w14:paraId="245D85D0"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1 694,47</w:t>
            </w:r>
          </w:p>
        </w:tc>
        <w:tc>
          <w:tcPr>
            <w:tcW w:w="1275" w:type="dxa"/>
            <w:shd w:val="clear" w:color="000000" w:fill="FFFFFF"/>
            <w:hideMark/>
          </w:tcPr>
          <w:p w14:paraId="32E3485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1 694,47</w:t>
            </w:r>
          </w:p>
        </w:tc>
        <w:tc>
          <w:tcPr>
            <w:tcW w:w="960" w:type="dxa"/>
            <w:shd w:val="clear" w:color="000000" w:fill="FFFFFF"/>
            <w:hideMark/>
          </w:tcPr>
          <w:p w14:paraId="545A176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1 691,42</w:t>
            </w:r>
          </w:p>
        </w:tc>
        <w:tc>
          <w:tcPr>
            <w:tcW w:w="742" w:type="dxa"/>
            <w:shd w:val="clear" w:color="000000" w:fill="FFFFFF"/>
            <w:hideMark/>
          </w:tcPr>
          <w:p w14:paraId="1F40AB4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99,8</w:t>
            </w:r>
          </w:p>
        </w:tc>
        <w:tc>
          <w:tcPr>
            <w:tcW w:w="1021" w:type="dxa"/>
            <w:shd w:val="clear" w:color="000000" w:fill="FFFFFF"/>
            <w:hideMark/>
          </w:tcPr>
          <w:p w14:paraId="0EF87D7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3,05</w:t>
            </w:r>
          </w:p>
        </w:tc>
        <w:tc>
          <w:tcPr>
            <w:tcW w:w="963" w:type="dxa"/>
            <w:shd w:val="clear" w:color="000000" w:fill="FFFFFF"/>
            <w:hideMark/>
          </w:tcPr>
          <w:p w14:paraId="6DF3206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0,18</w:t>
            </w:r>
          </w:p>
        </w:tc>
      </w:tr>
      <w:tr w:rsidR="006F4305" w:rsidRPr="006F4305" w14:paraId="07EA9260" w14:textId="77777777" w:rsidTr="00545B6E">
        <w:trPr>
          <w:trHeight w:val="858"/>
        </w:trPr>
        <w:tc>
          <w:tcPr>
            <w:tcW w:w="3403" w:type="dxa"/>
            <w:shd w:val="clear" w:color="000000" w:fill="FFFFFF"/>
            <w:hideMark/>
          </w:tcPr>
          <w:p w14:paraId="6E800B6A"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4. </w:t>
            </w:r>
            <w:r w:rsidRPr="006F4305">
              <w:rPr>
                <w:rFonts w:ascii="Times New Roman" w:eastAsia="Times New Roman" w:hAnsi="Times New Roman" w:cs="Times New Roman"/>
                <w:color w:val="000000"/>
                <w:sz w:val="20"/>
                <w:szCs w:val="20"/>
                <w:lang w:eastAsia="ru-RU"/>
              </w:rPr>
              <w:t>«Развитие детского здравоохранения, включая создание современной инфраструктуры оказания медицинской помощи детям»</w:t>
            </w:r>
          </w:p>
        </w:tc>
        <w:tc>
          <w:tcPr>
            <w:tcW w:w="1276" w:type="dxa"/>
            <w:shd w:val="clear" w:color="000000" w:fill="FFFFFF"/>
            <w:hideMark/>
          </w:tcPr>
          <w:p w14:paraId="4142CF0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83,50</w:t>
            </w:r>
          </w:p>
        </w:tc>
        <w:tc>
          <w:tcPr>
            <w:tcW w:w="1275" w:type="dxa"/>
            <w:shd w:val="clear" w:color="000000" w:fill="FFFFFF"/>
            <w:hideMark/>
          </w:tcPr>
          <w:p w14:paraId="3B0E152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83,50</w:t>
            </w:r>
          </w:p>
        </w:tc>
        <w:tc>
          <w:tcPr>
            <w:tcW w:w="960" w:type="dxa"/>
            <w:shd w:val="clear" w:color="000000" w:fill="FFFFFF"/>
            <w:hideMark/>
          </w:tcPr>
          <w:p w14:paraId="264DE3B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83,50</w:t>
            </w:r>
          </w:p>
        </w:tc>
        <w:tc>
          <w:tcPr>
            <w:tcW w:w="742" w:type="dxa"/>
            <w:shd w:val="clear" w:color="000000" w:fill="FFFFFF"/>
            <w:hideMark/>
          </w:tcPr>
          <w:p w14:paraId="1526A57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06A5F3D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27872D8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1F7BB71A" w14:textId="77777777" w:rsidTr="00545B6E">
        <w:trPr>
          <w:trHeight w:val="804"/>
        </w:trPr>
        <w:tc>
          <w:tcPr>
            <w:tcW w:w="3403" w:type="dxa"/>
            <w:shd w:val="clear" w:color="000000" w:fill="FFFFFF"/>
            <w:hideMark/>
          </w:tcPr>
          <w:p w14:paraId="4CFE29CB"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5. </w:t>
            </w:r>
            <w:r w:rsidRPr="006F4305">
              <w:rPr>
                <w:rFonts w:ascii="Times New Roman" w:eastAsia="Times New Roman" w:hAnsi="Times New Roman" w:cs="Times New Roman"/>
                <w:color w:val="000000"/>
                <w:sz w:val="20"/>
                <w:szCs w:val="20"/>
                <w:lang w:eastAsia="ru-RU"/>
              </w:rPr>
              <w:t>«Обеспечение медицинских организаций системы здравоохранения квалифицированными кадрами»</w:t>
            </w:r>
          </w:p>
        </w:tc>
        <w:tc>
          <w:tcPr>
            <w:tcW w:w="1276" w:type="dxa"/>
            <w:shd w:val="clear" w:color="000000" w:fill="FFFFFF"/>
            <w:hideMark/>
          </w:tcPr>
          <w:p w14:paraId="4D961E12"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130C83C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6227A6E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263AEEA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3DE2EE8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45E5E47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2526A51A" w14:textId="77777777" w:rsidTr="00545B6E">
        <w:trPr>
          <w:trHeight w:val="464"/>
        </w:trPr>
        <w:tc>
          <w:tcPr>
            <w:tcW w:w="3403" w:type="dxa"/>
            <w:shd w:val="clear" w:color="000000" w:fill="FFFFFF"/>
            <w:hideMark/>
          </w:tcPr>
          <w:p w14:paraId="682C278D"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6.</w:t>
            </w:r>
            <w:r w:rsidRPr="006F4305">
              <w:rPr>
                <w:rFonts w:ascii="Times New Roman" w:eastAsia="Times New Roman" w:hAnsi="Times New Roman" w:cs="Times New Roman"/>
                <w:color w:val="000000"/>
                <w:sz w:val="20"/>
                <w:szCs w:val="20"/>
                <w:lang w:eastAsia="ru-RU"/>
              </w:rPr>
              <w:t xml:space="preserve"> «Цифровой контур здравоохранения (ЕГИСЗ)»</w:t>
            </w:r>
          </w:p>
        </w:tc>
        <w:tc>
          <w:tcPr>
            <w:tcW w:w="1276" w:type="dxa"/>
            <w:shd w:val="clear" w:color="000000" w:fill="FFFFFF"/>
            <w:hideMark/>
          </w:tcPr>
          <w:p w14:paraId="00F63487"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703,19</w:t>
            </w:r>
          </w:p>
        </w:tc>
        <w:tc>
          <w:tcPr>
            <w:tcW w:w="1275" w:type="dxa"/>
            <w:shd w:val="clear" w:color="000000" w:fill="FFFFFF"/>
            <w:hideMark/>
          </w:tcPr>
          <w:p w14:paraId="0049CC8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703,19</w:t>
            </w:r>
          </w:p>
        </w:tc>
        <w:tc>
          <w:tcPr>
            <w:tcW w:w="960" w:type="dxa"/>
            <w:shd w:val="clear" w:color="000000" w:fill="FFFFFF"/>
            <w:hideMark/>
          </w:tcPr>
          <w:p w14:paraId="2A38145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368,71</w:t>
            </w:r>
          </w:p>
        </w:tc>
        <w:tc>
          <w:tcPr>
            <w:tcW w:w="742" w:type="dxa"/>
            <w:shd w:val="clear" w:color="000000" w:fill="FFFFFF"/>
            <w:hideMark/>
          </w:tcPr>
          <w:p w14:paraId="4470FC8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52,4</w:t>
            </w:r>
          </w:p>
        </w:tc>
        <w:tc>
          <w:tcPr>
            <w:tcW w:w="1021" w:type="dxa"/>
            <w:shd w:val="clear" w:color="000000" w:fill="FFFFFF"/>
            <w:hideMark/>
          </w:tcPr>
          <w:p w14:paraId="3D95580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334,48</w:t>
            </w:r>
          </w:p>
        </w:tc>
        <w:tc>
          <w:tcPr>
            <w:tcW w:w="963" w:type="dxa"/>
            <w:shd w:val="clear" w:color="000000" w:fill="FFFFFF"/>
            <w:hideMark/>
          </w:tcPr>
          <w:p w14:paraId="255E13B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47,57</w:t>
            </w:r>
          </w:p>
        </w:tc>
      </w:tr>
      <w:tr w:rsidR="006F4305" w:rsidRPr="006F4305" w14:paraId="0901E45D" w14:textId="77777777" w:rsidTr="00545B6E">
        <w:trPr>
          <w:trHeight w:val="300"/>
        </w:trPr>
        <w:tc>
          <w:tcPr>
            <w:tcW w:w="3403" w:type="dxa"/>
            <w:shd w:val="clear" w:color="000000" w:fill="FFFFFF"/>
            <w:hideMark/>
          </w:tcPr>
          <w:p w14:paraId="56989F93"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7. </w:t>
            </w:r>
            <w:r w:rsidRPr="006F4305">
              <w:rPr>
                <w:rFonts w:ascii="Times New Roman" w:eastAsia="Times New Roman" w:hAnsi="Times New Roman" w:cs="Times New Roman"/>
                <w:color w:val="000000"/>
                <w:sz w:val="20"/>
                <w:szCs w:val="20"/>
                <w:lang w:eastAsia="ru-RU"/>
              </w:rPr>
              <w:t>«Развитие экспорта медицинских услуг»</w:t>
            </w:r>
          </w:p>
        </w:tc>
        <w:tc>
          <w:tcPr>
            <w:tcW w:w="1276" w:type="dxa"/>
            <w:shd w:val="clear" w:color="000000" w:fill="FFFFFF"/>
            <w:hideMark/>
          </w:tcPr>
          <w:p w14:paraId="382EAF08"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0,00</w:t>
            </w:r>
          </w:p>
        </w:tc>
        <w:tc>
          <w:tcPr>
            <w:tcW w:w="1275" w:type="dxa"/>
            <w:shd w:val="clear" w:color="000000" w:fill="FFFFFF"/>
            <w:hideMark/>
          </w:tcPr>
          <w:p w14:paraId="71FD9D9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0,00</w:t>
            </w:r>
          </w:p>
        </w:tc>
        <w:tc>
          <w:tcPr>
            <w:tcW w:w="960" w:type="dxa"/>
            <w:shd w:val="clear" w:color="000000" w:fill="FFFFFF"/>
            <w:hideMark/>
          </w:tcPr>
          <w:p w14:paraId="2992D7D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0,00</w:t>
            </w:r>
          </w:p>
        </w:tc>
        <w:tc>
          <w:tcPr>
            <w:tcW w:w="742" w:type="dxa"/>
            <w:shd w:val="clear" w:color="000000" w:fill="FFFFFF"/>
            <w:hideMark/>
          </w:tcPr>
          <w:p w14:paraId="016DFE1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73B95C5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0,00</w:t>
            </w:r>
          </w:p>
        </w:tc>
        <w:tc>
          <w:tcPr>
            <w:tcW w:w="963" w:type="dxa"/>
            <w:shd w:val="clear" w:color="000000" w:fill="FFFFFF"/>
            <w:hideMark/>
          </w:tcPr>
          <w:p w14:paraId="291796D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0,00</w:t>
            </w:r>
          </w:p>
        </w:tc>
      </w:tr>
      <w:tr w:rsidR="006F4305" w:rsidRPr="006F4305" w14:paraId="3CCBDD89" w14:textId="77777777" w:rsidTr="00217EBD">
        <w:trPr>
          <w:trHeight w:val="300"/>
        </w:trPr>
        <w:tc>
          <w:tcPr>
            <w:tcW w:w="3403" w:type="dxa"/>
            <w:shd w:val="clear" w:color="auto" w:fill="D9E2F3" w:themeFill="accent1" w:themeFillTint="33"/>
            <w:hideMark/>
          </w:tcPr>
          <w:p w14:paraId="28A270BE"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«ОБРАЗОВАНИЕ»</w:t>
            </w:r>
          </w:p>
        </w:tc>
        <w:tc>
          <w:tcPr>
            <w:tcW w:w="1276" w:type="dxa"/>
            <w:shd w:val="clear" w:color="auto" w:fill="D9E2F3" w:themeFill="accent1" w:themeFillTint="33"/>
            <w:hideMark/>
          </w:tcPr>
          <w:p w14:paraId="7ACC0243"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7 866,25</w:t>
            </w:r>
          </w:p>
        </w:tc>
        <w:tc>
          <w:tcPr>
            <w:tcW w:w="1275" w:type="dxa"/>
            <w:shd w:val="clear" w:color="auto" w:fill="D9E2F3" w:themeFill="accent1" w:themeFillTint="33"/>
            <w:hideMark/>
          </w:tcPr>
          <w:p w14:paraId="7F7FAAFD"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7 521,69</w:t>
            </w:r>
          </w:p>
        </w:tc>
        <w:tc>
          <w:tcPr>
            <w:tcW w:w="960" w:type="dxa"/>
            <w:shd w:val="clear" w:color="auto" w:fill="D9E2F3" w:themeFill="accent1" w:themeFillTint="33"/>
            <w:hideMark/>
          </w:tcPr>
          <w:p w14:paraId="5FCFA66B"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3 214,35</w:t>
            </w:r>
          </w:p>
        </w:tc>
        <w:tc>
          <w:tcPr>
            <w:tcW w:w="742" w:type="dxa"/>
            <w:shd w:val="clear" w:color="auto" w:fill="D9E2F3" w:themeFill="accent1" w:themeFillTint="33"/>
            <w:hideMark/>
          </w:tcPr>
          <w:p w14:paraId="3C30301C"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40,9</w:t>
            </w:r>
          </w:p>
        </w:tc>
        <w:tc>
          <w:tcPr>
            <w:tcW w:w="1021" w:type="dxa"/>
            <w:shd w:val="clear" w:color="auto" w:fill="D9E2F3" w:themeFill="accent1" w:themeFillTint="33"/>
            <w:hideMark/>
          </w:tcPr>
          <w:p w14:paraId="1FB288D3"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4 651,90</w:t>
            </w:r>
          </w:p>
        </w:tc>
        <w:tc>
          <w:tcPr>
            <w:tcW w:w="963" w:type="dxa"/>
            <w:shd w:val="clear" w:color="auto" w:fill="D9E2F3" w:themeFill="accent1" w:themeFillTint="33"/>
            <w:hideMark/>
          </w:tcPr>
          <w:p w14:paraId="1F37DAA6"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58,90</w:t>
            </w:r>
          </w:p>
        </w:tc>
      </w:tr>
      <w:tr w:rsidR="006F4305" w:rsidRPr="006F4305" w14:paraId="4F6FFAEE" w14:textId="77777777" w:rsidTr="00545B6E">
        <w:trPr>
          <w:trHeight w:val="300"/>
        </w:trPr>
        <w:tc>
          <w:tcPr>
            <w:tcW w:w="3403" w:type="dxa"/>
            <w:shd w:val="clear" w:color="000000" w:fill="FFFFFF"/>
            <w:hideMark/>
          </w:tcPr>
          <w:p w14:paraId="73FE9254"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1. </w:t>
            </w:r>
            <w:r w:rsidRPr="006F4305">
              <w:rPr>
                <w:rFonts w:ascii="Times New Roman" w:eastAsia="Times New Roman" w:hAnsi="Times New Roman" w:cs="Times New Roman"/>
                <w:color w:val="000000"/>
                <w:sz w:val="20"/>
                <w:szCs w:val="20"/>
                <w:lang w:eastAsia="ru-RU"/>
              </w:rPr>
              <w:t>«Современная школа»</w:t>
            </w:r>
          </w:p>
        </w:tc>
        <w:tc>
          <w:tcPr>
            <w:tcW w:w="1276" w:type="dxa"/>
            <w:shd w:val="clear" w:color="000000" w:fill="FFFFFF"/>
            <w:hideMark/>
          </w:tcPr>
          <w:p w14:paraId="08409E40"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7 232,06</w:t>
            </w:r>
          </w:p>
        </w:tc>
        <w:tc>
          <w:tcPr>
            <w:tcW w:w="1275" w:type="dxa"/>
            <w:shd w:val="clear" w:color="000000" w:fill="FFFFFF"/>
            <w:hideMark/>
          </w:tcPr>
          <w:p w14:paraId="3203A8E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6 887,50</w:t>
            </w:r>
          </w:p>
        </w:tc>
        <w:tc>
          <w:tcPr>
            <w:tcW w:w="960" w:type="dxa"/>
            <w:shd w:val="clear" w:color="000000" w:fill="FFFFFF"/>
            <w:hideMark/>
          </w:tcPr>
          <w:p w14:paraId="5174AEB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2 600,61</w:t>
            </w:r>
          </w:p>
        </w:tc>
        <w:tc>
          <w:tcPr>
            <w:tcW w:w="742" w:type="dxa"/>
            <w:shd w:val="clear" w:color="000000" w:fill="FFFFFF"/>
            <w:hideMark/>
          </w:tcPr>
          <w:p w14:paraId="045E9C4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35,96</w:t>
            </w:r>
          </w:p>
        </w:tc>
        <w:tc>
          <w:tcPr>
            <w:tcW w:w="1021" w:type="dxa"/>
            <w:shd w:val="clear" w:color="000000" w:fill="FFFFFF"/>
            <w:hideMark/>
          </w:tcPr>
          <w:p w14:paraId="3C9E6A25"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4 631,45</w:t>
            </w:r>
          </w:p>
        </w:tc>
        <w:tc>
          <w:tcPr>
            <w:tcW w:w="963" w:type="dxa"/>
            <w:shd w:val="clear" w:color="000000" w:fill="FFFFFF"/>
            <w:hideMark/>
          </w:tcPr>
          <w:p w14:paraId="245AEE2D"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63,86</w:t>
            </w:r>
          </w:p>
        </w:tc>
      </w:tr>
      <w:tr w:rsidR="006F4305" w:rsidRPr="006F4305" w14:paraId="38E97E92" w14:textId="77777777" w:rsidTr="00545B6E">
        <w:trPr>
          <w:trHeight w:val="300"/>
        </w:trPr>
        <w:tc>
          <w:tcPr>
            <w:tcW w:w="3403" w:type="dxa"/>
            <w:shd w:val="clear" w:color="000000" w:fill="FFFFFF"/>
            <w:hideMark/>
          </w:tcPr>
          <w:p w14:paraId="15FA5A59"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w:t>
            </w:r>
            <w:r w:rsidRPr="006F4305">
              <w:rPr>
                <w:rFonts w:ascii="Times New Roman" w:eastAsia="Times New Roman" w:hAnsi="Times New Roman" w:cs="Times New Roman"/>
                <w:color w:val="000000"/>
                <w:sz w:val="20"/>
                <w:szCs w:val="20"/>
                <w:lang w:eastAsia="ru-RU"/>
              </w:rPr>
              <w:t xml:space="preserve"> «Успех каждого ребенка»</w:t>
            </w:r>
          </w:p>
        </w:tc>
        <w:tc>
          <w:tcPr>
            <w:tcW w:w="1276" w:type="dxa"/>
            <w:shd w:val="clear" w:color="000000" w:fill="FFFFFF"/>
            <w:hideMark/>
          </w:tcPr>
          <w:p w14:paraId="4068D2A9"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526,56</w:t>
            </w:r>
          </w:p>
        </w:tc>
        <w:tc>
          <w:tcPr>
            <w:tcW w:w="1275" w:type="dxa"/>
            <w:shd w:val="clear" w:color="000000" w:fill="FFFFFF"/>
            <w:hideMark/>
          </w:tcPr>
          <w:p w14:paraId="10667E6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526,56</w:t>
            </w:r>
          </w:p>
        </w:tc>
        <w:tc>
          <w:tcPr>
            <w:tcW w:w="960" w:type="dxa"/>
            <w:shd w:val="clear" w:color="000000" w:fill="FFFFFF"/>
            <w:hideMark/>
          </w:tcPr>
          <w:p w14:paraId="470CFE0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506,11</w:t>
            </w:r>
          </w:p>
        </w:tc>
        <w:tc>
          <w:tcPr>
            <w:tcW w:w="742" w:type="dxa"/>
            <w:shd w:val="clear" w:color="000000" w:fill="FFFFFF"/>
            <w:hideMark/>
          </w:tcPr>
          <w:p w14:paraId="587B2C7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96,12</w:t>
            </w:r>
          </w:p>
        </w:tc>
        <w:tc>
          <w:tcPr>
            <w:tcW w:w="1021" w:type="dxa"/>
            <w:shd w:val="clear" w:color="000000" w:fill="FFFFFF"/>
            <w:hideMark/>
          </w:tcPr>
          <w:p w14:paraId="0866833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20,45</w:t>
            </w:r>
          </w:p>
        </w:tc>
        <w:tc>
          <w:tcPr>
            <w:tcW w:w="963" w:type="dxa"/>
            <w:shd w:val="clear" w:color="000000" w:fill="FFFFFF"/>
            <w:hideMark/>
          </w:tcPr>
          <w:p w14:paraId="5FC58E1B"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2,80</w:t>
            </w:r>
          </w:p>
        </w:tc>
      </w:tr>
      <w:tr w:rsidR="006F4305" w:rsidRPr="006F4305" w14:paraId="061299F1" w14:textId="77777777" w:rsidTr="00545B6E">
        <w:trPr>
          <w:trHeight w:val="300"/>
        </w:trPr>
        <w:tc>
          <w:tcPr>
            <w:tcW w:w="3403" w:type="dxa"/>
            <w:shd w:val="clear" w:color="000000" w:fill="FFFFFF"/>
            <w:hideMark/>
          </w:tcPr>
          <w:p w14:paraId="70A97BEE"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3. </w:t>
            </w:r>
            <w:r w:rsidRPr="006F4305">
              <w:rPr>
                <w:rFonts w:ascii="Times New Roman" w:eastAsia="Times New Roman" w:hAnsi="Times New Roman" w:cs="Times New Roman"/>
                <w:color w:val="000000"/>
                <w:sz w:val="20"/>
                <w:szCs w:val="20"/>
                <w:lang w:eastAsia="ru-RU"/>
              </w:rPr>
              <w:t>«Патриотическое воспитание»</w:t>
            </w:r>
          </w:p>
        </w:tc>
        <w:tc>
          <w:tcPr>
            <w:tcW w:w="1276" w:type="dxa"/>
            <w:shd w:val="clear" w:color="000000" w:fill="FFFFFF"/>
            <w:hideMark/>
          </w:tcPr>
          <w:p w14:paraId="310451F2"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0DC88DC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61F2DA9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3CB9870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347E417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6AA2E40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0205FD9A" w14:textId="77777777" w:rsidTr="00545B6E">
        <w:trPr>
          <w:trHeight w:val="315"/>
        </w:trPr>
        <w:tc>
          <w:tcPr>
            <w:tcW w:w="3403" w:type="dxa"/>
            <w:shd w:val="clear" w:color="000000" w:fill="FFFFFF"/>
            <w:hideMark/>
          </w:tcPr>
          <w:p w14:paraId="12A86B46"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4.</w:t>
            </w:r>
            <w:r w:rsidRPr="006F4305">
              <w:rPr>
                <w:rFonts w:ascii="Times New Roman" w:eastAsia="Times New Roman" w:hAnsi="Times New Roman" w:cs="Times New Roman"/>
                <w:color w:val="000000"/>
                <w:sz w:val="20"/>
                <w:szCs w:val="20"/>
                <w:lang w:eastAsia="ru-RU"/>
              </w:rPr>
              <w:t xml:space="preserve"> «Цифровая образовательная среда»</w:t>
            </w:r>
          </w:p>
        </w:tc>
        <w:tc>
          <w:tcPr>
            <w:tcW w:w="1276" w:type="dxa"/>
            <w:shd w:val="clear" w:color="000000" w:fill="FFFFFF"/>
            <w:hideMark/>
          </w:tcPr>
          <w:p w14:paraId="62282329"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11,70</w:t>
            </w:r>
          </w:p>
        </w:tc>
        <w:tc>
          <w:tcPr>
            <w:tcW w:w="1275" w:type="dxa"/>
            <w:shd w:val="clear" w:color="000000" w:fill="FFFFFF"/>
            <w:hideMark/>
          </w:tcPr>
          <w:p w14:paraId="38D9C7B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11,70</w:t>
            </w:r>
          </w:p>
        </w:tc>
        <w:tc>
          <w:tcPr>
            <w:tcW w:w="960" w:type="dxa"/>
            <w:shd w:val="clear" w:color="000000" w:fill="FFFFFF"/>
            <w:hideMark/>
          </w:tcPr>
          <w:p w14:paraId="15CF9FE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11,70</w:t>
            </w:r>
          </w:p>
        </w:tc>
        <w:tc>
          <w:tcPr>
            <w:tcW w:w="742" w:type="dxa"/>
            <w:shd w:val="clear" w:color="000000" w:fill="FFFFFF"/>
            <w:hideMark/>
          </w:tcPr>
          <w:p w14:paraId="59374F3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39E7D8F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0E7A39B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12387064" w14:textId="77777777" w:rsidTr="00545B6E">
        <w:trPr>
          <w:trHeight w:val="300"/>
        </w:trPr>
        <w:tc>
          <w:tcPr>
            <w:tcW w:w="3403" w:type="dxa"/>
            <w:shd w:val="clear" w:color="000000" w:fill="FFFFFF"/>
            <w:hideMark/>
          </w:tcPr>
          <w:p w14:paraId="3ADEACAD"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5.</w:t>
            </w:r>
            <w:r w:rsidRPr="006F4305">
              <w:rPr>
                <w:rFonts w:ascii="Times New Roman" w:eastAsia="Times New Roman" w:hAnsi="Times New Roman" w:cs="Times New Roman"/>
                <w:color w:val="000000"/>
                <w:sz w:val="20"/>
                <w:szCs w:val="20"/>
                <w:lang w:eastAsia="ru-RU"/>
              </w:rPr>
              <w:t xml:space="preserve"> «Молодые профессионалы»</w:t>
            </w:r>
          </w:p>
        </w:tc>
        <w:tc>
          <w:tcPr>
            <w:tcW w:w="1276" w:type="dxa"/>
            <w:shd w:val="clear" w:color="000000" w:fill="FFFFFF"/>
            <w:hideMark/>
          </w:tcPr>
          <w:p w14:paraId="0B933761"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89,84</w:t>
            </w:r>
          </w:p>
        </w:tc>
        <w:tc>
          <w:tcPr>
            <w:tcW w:w="1275" w:type="dxa"/>
            <w:shd w:val="clear" w:color="000000" w:fill="FFFFFF"/>
            <w:hideMark/>
          </w:tcPr>
          <w:p w14:paraId="29C0362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89,84</w:t>
            </w:r>
          </w:p>
        </w:tc>
        <w:tc>
          <w:tcPr>
            <w:tcW w:w="960" w:type="dxa"/>
            <w:shd w:val="clear" w:color="000000" w:fill="FFFFFF"/>
            <w:hideMark/>
          </w:tcPr>
          <w:p w14:paraId="4DE9DBD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89,84</w:t>
            </w:r>
          </w:p>
        </w:tc>
        <w:tc>
          <w:tcPr>
            <w:tcW w:w="742" w:type="dxa"/>
            <w:shd w:val="clear" w:color="000000" w:fill="FFFFFF"/>
            <w:hideMark/>
          </w:tcPr>
          <w:p w14:paraId="1FA4B6D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0D07B5E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7BDAC15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1279FF00" w14:textId="77777777" w:rsidTr="00545B6E">
        <w:trPr>
          <w:trHeight w:val="300"/>
        </w:trPr>
        <w:tc>
          <w:tcPr>
            <w:tcW w:w="3403" w:type="dxa"/>
            <w:shd w:val="clear" w:color="000000" w:fill="FFFFFF"/>
            <w:hideMark/>
          </w:tcPr>
          <w:p w14:paraId="1A3C65F3"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6. </w:t>
            </w:r>
            <w:r w:rsidRPr="006F4305">
              <w:rPr>
                <w:rFonts w:ascii="Times New Roman" w:eastAsia="Times New Roman" w:hAnsi="Times New Roman" w:cs="Times New Roman"/>
                <w:color w:val="000000"/>
                <w:sz w:val="20"/>
                <w:szCs w:val="20"/>
                <w:lang w:eastAsia="ru-RU"/>
              </w:rPr>
              <w:t>«Социальная активность»</w:t>
            </w:r>
          </w:p>
        </w:tc>
        <w:tc>
          <w:tcPr>
            <w:tcW w:w="1276" w:type="dxa"/>
            <w:shd w:val="clear" w:color="000000" w:fill="FFFFFF"/>
            <w:hideMark/>
          </w:tcPr>
          <w:p w14:paraId="1A1FE8E8"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6,09</w:t>
            </w:r>
          </w:p>
        </w:tc>
        <w:tc>
          <w:tcPr>
            <w:tcW w:w="1275" w:type="dxa"/>
            <w:shd w:val="clear" w:color="000000" w:fill="FFFFFF"/>
            <w:hideMark/>
          </w:tcPr>
          <w:p w14:paraId="5536C6A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6,09</w:t>
            </w:r>
          </w:p>
        </w:tc>
        <w:tc>
          <w:tcPr>
            <w:tcW w:w="960" w:type="dxa"/>
            <w:shd w:val="clear" w:color="000000" w:fill="FFFFFF"/>
            <w:hideMark/>
          </w:tcPr>
          <w:p w14:paraId="316FBB4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6,09</w:t>
            </w:r>
          </w:p>
        </w:tc>
        <w:tc>
          <w:tcPr>
            <w:tcW w:w="742" w:type="dxa"/>
            <w:shd w:val="clear" w:color="000000" w:fill="FFFFFF"/>
            <w:hideMark/>
          </w:tcPr>
          <w:p w14:paraId="266F642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1A615D0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243B500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5AB50CB2" w14:textId="77777777" w:rsidTr="00217EBD">
        <w:trPr>
          <w:trHeight w:val="543"/>
        </w:trPr>
        <w:tc>
          <w:tcPr>
            <w:tcW w:w="3403" w:type="dxa"/>
            <w:shd w:val="clear" w:color="auto" w:fill="D9E2F3" w:themeFill="accent1" w:themeFillTint="33"/>
            <w:hideMark/>
          </w:tcPr>
          <w:p w14:paraId="6D387066" w14:textId="77777777" w:rsidR="006F4305" w:rsidRPr="006F4305" w:rsidRDefault="006F4305" w:rsidP="006F4305">
            <w:pPr>
              <w:spacing w:after="0" w:line="216" w:lineRule="auto"/>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«ЖИЛЬЕ И ГОРОДСКАЯ СРЕДА»</w:t>
            </w:r>
          </w:p>
        </w:tc>
        <w:tc>
          <w:tcPr>
            <w:tcW w:w="1276" w:type="dxa"/>
            <w:shd w:val="clear" w:color="auto" w:fill="D9E2F3" w:themeFill="accent1" w:themeFillTint="33"/>
            <w:hideMark/>
          </w:tcPr>
          <w:p w14:paraId="293CEB3F"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1 815,44</w:t>
            </w:r>
          </w:p>
        </w:tc>
        <w:tc>
          <w:tcPr>
            <w:tcW w:w="1275" w:type="dxa"/>
            <w:shd w:val="clear" w:color="auto" w:fill="D9E2F3" w:themeFill="accent1" w:themeFillTint="33"/>
            <w:hideMark/>
          </w:tcPr>
          <w:p w14:paraId="2119A2D6"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1 800,93</w:t>
            </w:r>
          </w:p>
        </w:tc>
        <w:tc>
          <w:tcPr>
            <w:tcW w:w="960" w:type="dxa"/>
            <w:shd w:val="clear" w:color="auto" w:fill="D9E2F3" w:themeFill="accent1" w:themeFillTint="33"/>
            <w:hideMark/>
          </w:tcPr>
          <w:p w14:paraId="6F88A223"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1 781,00</w:t>
            </w:r>
          </w:p>
        </w:tc>
        <w:tc>
          <w:tcPr>
            <w:tcW w:w="742" w:type="dxa"/>
            <w:shd w:val="clear" w:color="auto" w:fill="D9E2F3" w:themeFill="accent1" w:themeFillTint="33"/>
            <w:hideMark/>
          </w:tcPr>
          <w:p w14:paraId="67C113F8"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98,1</w:t>
            </w:r>
          </w:p>
        </w:tc>
        <w:tc>
          <w:tcPr>
            <w:tcW w:w="1021" w:type="dxa"/>
            <w:shd w:val="clear" w:color="auto" w:fill="D9E2F3" w:themeFill="accent1" w:themeFillTint="33"/>
            <w:hideMark/>
          </w:tcPr>
          <w:p w14:paraId="752809A7"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34,44</w:t>
            </w:r>
          </w:p>
        </w:tc>
        <w:tc>
          <w:tcPr>
            <w:tcW w:w="963" w:type="dxa"/>
            <w:shd w:val="clear" w:color="auto" w:fill="D9E2F3" w:themeFill="accent1" w:themeFillTint="33"/>
            <w:hideMark/>
          </w:tcPr>
          <w:p w14:paraId="1C072F7A"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1,90</w:t>
            </w:r>
          </w:p>
        </w:tc>
      </w:tr>
      <w:tr w:rsidR="006F4305" w:rsidRPr="006F4305" w14:paraId="358E535D" w14:textId="77777777" w:rsidTr="00545B6E">
        <w:trPr>
          <w:trHeight w:val="103"/>
        </w:trPr>
        <w:tc>
          <w:tcPr>
            <w:tcW w:w="3403" w:type="dxa"/>
            <w:shd w:val="clear" w:color="000000" w:fill="FFFFFF"/>
            <w:hideMark/>
          </w:tcPr>
          <w:p w14:paraId="6EB4FD66"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rPr>
                <w:rFonts w:ascii="Times New Roman" w:eastAsia="Times New Roman" w:hAnsi="Times New Roman" w:cs="Times New Roman"/>
                <w:color w:val="000000"/>
                <w:sz w:val="20"/>
                <w:szCs w:val="20"/>
                <w:lang w:eastAsia="ru-RU"/>
              </w:rPr>
              <w:t xml:space="preserve"> «Жилье»</w:t>
            </w:r>
          </w:p>
        </w:tc>
        <w:tc>
          <w:tcPr>
            <w:tcW w:w="1276" w:type="dxa"/>
            <w:shd w:val="clear" w:color="000000" w:fill="FFFFFF"/>
            <w:hideMark/>
          </w:tcPr>
          <w:p w14:paraId="306A321C"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75111FF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2D04C8C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2B97906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708A860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0D4545A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6B7559E2" w14:textId="77777777" w:rsidTr="00545B6E">
        <w:trPr>
          <w:trHeight w:val="318"/>
        </w:trPr>
        <w:tc>
          <w:tcPr>
            <w:tcW w:w="3403" w:type="dxa"/>
            <w:shd w:val="clear" w:color="000000" w:fill="FFFFFF"/>
            <w:hideMark/>
          </w:tcPr>
          <w:p w14:paraId="3020F100"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2. </w:t>
            </w:r>
            <w:r w:rsidRPr="006F4305">
              <w:rPr>
                <w:rFonts w:ascii="Times New Roman" w:eastAsia="Times New Roman" w:hAnsi="Times New Roman" w:cs="Times New Roman"/>
                <w:color w:val="000000"/>
                <w:sz w:val="20"/>
                <w:szCs w:val="20"/>
                <w:lang w:eastAsia="ru-RU"/>
              </w:rPr>
              <w:t>«Комфортная городская среда в Республике Дагестан»</w:t>
            </w:r>
          </w:p>
        </w:tc>
        <w:tc>
          <w:tcPr>
            <w:tcW w:w="1276" w:type="dxa"/>
            <w:shd w:val="clear" w:color="000000" w:fill="FFFFFF"/>
            <w:hideMark/>
          </w:tcPr>
          <w:p w14:paraId="7ACA5B26"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1 003,46</w:t>
            </w:r>
          </w:p>
        </w:tc>
        <w:tc>
          <w:tcPr>
            <w:tcW w:w="1275" w:type="dxa"/>
            <w:shd w:val="clear" w:color="000000" w:fill="FFFFFF"/>
            <w:hideMark/>
          </w:tcPr>
          <w:p w14:paraId="4017ABF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1 003,46</w:t>
            </w:r>
          </w:p>
        </w:tc>
        <w:tc>
          <w:tcPr>
            <w:tcW w:w="960" w:type="dxa"/>
            <w:shd w:val="clear" w:color="000000" w:fill="FFFFFF"/>
            <w:hideMark/>
          </w:tcPr>
          <w:p w14:paraId="672C7FE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1 003,46</w:t>
            </w:r>
          </w:p>
        </w:tc>
        <w:tc>
          <w:tcPr>
            <w:tcW w:w="742" w:type="dxa"/>
            <w:shd w:val="clear" w:color="000000" w:fill="FFFFFF"/>
            <w:hideMark/>
          </w:tcPr>
          <w:p w14:paraId="313315E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0FDC5B7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13ACE90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6C92E3FF" w14:textId="77777777" w:rsidTr="00545B6E">
        <w:trPr>
          <w:trHeight w:val="622"/>
        </w:trPr>
        <w:tc>
          <w:tcPr>
            <w:tcW w:w="3403" w:type="dxa"/>
            <w:shd w:val="clear" w:color="000000" w:fill="FFFFFF"/>
            <w:hideMark/>
          </w:tcPr>
          <w:p w14:paraId="10061BDB"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3. </w:t>
            </w:r>
            <w:r w:rsidRPr="006F4305">
              <w:rPr>
                <w:rFonts w:ascii="Times New Roman" w:eastAsia="Times New Roman" w:hAnsi="Times New Roman" w:cs="Times New Roman"/>
                <w:color w:val="000000"/>
                <w:sz w:val="20"/>
                <w:szCs w:val="20"/>
                <w:lang w:eastAsia="ru-RU"/>
              </w:rPr>
              <w:t>«Обеспечение устойчивого сокращения непригодного для проживания жилищного фонда»</w:t>
            </w:r>
          </w:p>
        </w:tc>
        <w:tc>
          <w:tcPr>
            <w:tcW w:w="1276" w:type="dxa"/>
            <w:shd w:val="clear" w:color="000000" w:fill="FFFFFF"/>
            <w:hideMark/>
          </w:tcPr>
          <w:p w14:paraId="556751A3"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86,95</w:t>
            </w:r>
          </w:p>
        </w:tc>
        <w:tc>
          <w:tcPr>
            <w:tcW w:w="1275" w:type="dxa"/>
            <w:shd w:val="clear" w:color="000000" w:fill="FFFFFF"/>
            <w:hideMark/>
          </w:tcPr>
          <w:p w14:paraId="77B3B31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72,44</w:t>
            </w:r>
          </w:p>
        </w:tc>
        <w:tc>
          <w:tcPr>
            <w:tcW w:w="960" w:type="dxa"/>
            <w:shd w:val="clear" w:color="000000" w:fill="FFFFFF"/>
            <w:hideMark/>
          </w:tcPr>
          <w:p w14:paraId="43E9F07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52,63</w:t>
            </w:r>
          </w:p>
        </w:tc>
        <w:tc>
          <w:tcPr>
            <w:tcW w:w="742" w:type="dxa"/>
            <w:shd w:val="clear" w:color="000000" w:fill="FFFFFF"/>
            <w:hideMark/>
          </w:tcPr>
          <w:p w14:paraId="00B9E15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60,5</w:t>
            </w:r>
          </w:p>
        </w:tc>
        <w:tc>
          <w:tcPr>
            <w:tcW w:w="1021" w:type="dxa"/>
            <w:shd w:val="clear" w:color="000000" w:fill="FFFFFF"/>
            <w:hideMark/>
          </w:tcPr>
          <w:p w14:paraId="76077D1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34,32</w:t>
            </w:r>
          </w:p>
        </w:tc>
        <w:tc>
          <w:tcPr>
            <w:tcW w:w="963" w:type="dxa"/>
            <w:shd w:val="clear" w:color="000000" w:fill="FFFFFF"/>
            <w:hideMark/>
          </w:tcPr>
          <w:p w14:paraId="18576A3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39,5</w:t>
            </w:r>
          </w:p>
        </w:tc>
      </w:tr>
      <w:tr w:rsidR="006F4305" w:rsidRPr="006F4305" w14:paraId="07495D59" w14:textId="77777777" w:rsidTr="00545B6E">
        <w:trPr>
          <w:trHeight w:val="134"/>
        </w:trPr>
        <w:tc>
          <w:tcPr>
            <w:tcW w:w="3403" w:type="dxa"/>
            <w:shd w:val="clear" w:color="000000" w:fill="FFFFFF"/>
            <w:hideMark/>
          </w:tcPr>
          <w:p w14:paraId="5A419EED"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4. «</w:t>
            </w:r>
            <w:r w:rsidRPr="006F4305">
              <w:rPr>
                <w:rFonts w:ascii="Times New Roman" w:eastAsia="Times New Roman" w:hAnsi="Times New Roman" w:cs="Times New Roman"/>
                <w:color w:val="000000"/>
                <w:sz w:val="20"/>
                <w:szCs w:val="20"/>
                <w:lang w:eastAsia="ru-RU"/>
              </w:rPr>
              <w:t>Чистая вода»</w:t>
            </w:r>
          </w:p>
        </w:tc>
        <w:tc>
          <w:tcPr>
            <w:tcW w:w="1276" w:type="dxa"/>
            <w:shd w:val="clear" w:color="000000" w:fill="FFFFFF"/>
            <w:hideMark/>
          </w:tcPr>
          <w:p w14:paraId="227ADC84"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725,03</w:t>
            </w:r>
          </w:p>
        </w:tc>
        <w:tc>
          <w:tcPr>
            <w:tcW w:w="1275" w:type="dxa"/>
            <w:shd w:val="clear" w:color="000000" w:fill="FFFFFF"/>
            <w:hideMark/>
          </w:tcPr>
          <w:p w14:paraId="5E6A757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725,03</w:t>
            </w:r>
          </w:p>
        </w:tc>
        <w:tc>
          <w:tcPr>
            <w:tcW w:w="960" w:type="dxa"/>
            <w:shd w:val="clear" w:color="000000" w:fill="FFFFFF"/>
            <w:hideMark/>
          </w:tcPr>
          <w:p w14:paraId="3528407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724,91</w:t>
            </w:r>
          </w:p>
        </w:tc>
        <w:tc>
          <w:tcPr>
            <w:tcW w:w="742" w:type="dxa"/>
            <w:shd w:val="clear" w:color="000000" w:fill="FFFFFF"/>
            <w:hideMark/>
          </w:tcPr>
          <w:p w14:paraId="643D51C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1F77C6A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0,12</w:t>
            </w:r>
          </w:p>
        </w:tc>
        <w:tc>
          <w:tcPr>
            <w:tcW w:w="963" w:type="dxa"/>
            <w:shd w:val="clear" w:color="000000" w:fill="FFFFFF"/>
            <w:hideMark/>
          </w:tcPr>
          <w:p w14:paraId="510D538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0,02</w:t>
            </w:r>
          </w:p>
        </w:tc>
      </w:tr>
      <w:tr w:rsidR="006F4305" w:rsidRPr="006F4305" w14:paraId="30111A28" w14:textId="77777777" w:rsidTr="00217EBD">
        <w:trPr>
          <w:trHeight w:val="300"/>
        </w:trPr>
        <w:tc>
          <w:tcPr>
            <w:tcW w:w="3403" w:type="dxa"/>
            <w:shd w:val="clear" w:color="auto" w:fill="D9E2F3" w:themeFill="accent1" w:themeFillTint="33"/>
            <w:hideMark/>
          </w:tcPr>
          <w:p w14:paraId="248EDEE0"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«ЭКОЛОГИЯ»</w:t>
            </w:r>
          </w:p>
        </w:tc>
        <w:tc>
          <w:tcPr>
            <w:tcW w:w="1276" w:type="dxa"/>
            <w:shd w:val="clear" w:color="auto" w:fill="D9E2F3" w:themeFill="accent1" w:themeFillTint="33"/>
            <w:hideMark/>
          </w:tcPr>
          <w:p w14:paraId="1808EC0D"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35,52</w:t>
            </w:r>
          </w:p>
        </w:tc>
        <w:tc>
          <w:tcPr>
            <w:tcW w:w="1275" w:type="dxa"/>
            <w:shd w:val="clear" w:color="auto" w:fill="D9E2F3" w:themeFill="accent1" w:themeFillTint="33"/>
            <w:hideMark/>
          </w:tcPr>
          <w:p w14:paraId="29547CCD"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35,52</w:t>
            </w:r>
          </w:p>
        </w:tc>
        <w:tc>
          <w:tcPr>
            <w:tcW w:w="960" w:type="dxa"/>
            <w:shd w:val="clear" w:color="auto" w:fill="D9E2F3" w:themeFill="accent1" w:themeFillTint="33"/>
            <w:hideMark/>
          </w:tcPr>
          <w:p w14:paraId="2944824A"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35,52</w:t>
            </w:r>
          </w:p>
        </w:tc>
        <w:tc>
          <w:tcPr>
            <w:tcW w:w="742" w:type="dxa"/>
            <w:shd w:val="clear" w:color="auto" w:fill="D9E2F3" w:themeFill="accent1" w:themeFillTint="33"/>
            <w:hideMark/>
          </w:tcPr>
          <w:p w14:paraId="4447251A"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100,0</w:t>
            </w:r>
          </w:p>
        </w:tc>
        <w:tc>
          <w:tcPr>
            <w:tcW w:w="1021" w:type="dxa"/>
            <w:shd w:val="clear" w:color="auto" w:fill="D9E2F3" w:themeFill="accent1" w:themeFillTint="33"/>
            <w:hideMark/>
          </w:tcPr>
          <w:p w14:paraId="78673693"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0,00</w:t>
            </w:r>
          </w:p>
        </w:tc>
        <w:tc>
          <w:tcPr>
            <w:tcW w:w="963" w:type="dxa"/>
            <w:shd w:val="clear" w:color="auto" w:fill="D9E2F3" w:themeFill="accent1" w:themeFillTint="33"/>
            <w:hideMark/>
          </w:tcPr>
          <w:p w14:paraId="2AA5A754"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0,00</w:t>
            </w:r>
          </w:p>
        </w:tc>
      </w:tr>
      <w:tr w:rsidR="006F4305" w:rsidRPr="006F4305" w14:paraId="764337AB" w14:textId="77777777" w:rsidTr="00545B6E">
        <w:trPr>
          <w:trHeight w:val="171"/>
        </w:trPr>
        <w:tc>
          <w:tcPr>
            <w:tcW w:w="3403" w:type="dxa"/>
            <w:shd w:val="clear" w:color="000000" w:fill="FFFFFF"/>
            <w:hideMark/>
          </w:tcPr>
          <w:p w14:paraId="1B2545CD"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1. </w:t>
            </w:r>
            <w:r w:rsidRPr="006F4305">
              <w:rPr>
                <w:rFonts w:ascii="Times New Roman" w:eastAsia="Times New Roman" w:hAnsi="Times New Roman" w:cs="Times New Roman"/>
                <w:color w:val="000000"/>
                <w:sz w:val="20"/>
                <w:szCs w:val="20"/>
                <w:lang w:eastAsia="ru-RU"/>
              </w:rPr>
              <w:t>«Чистая страна»</w:t>
            </w:r>
          </w:p>
        </w:tc>
        <w:tc>
          <w:tcPr>
            <w:tcW w:w="1276" w:type="dxa"/>
            <w:shd w:val="clear" w:color="000000" w:fill="FFFFFF"/>
            <w:hideMark/>
          </w:tcPr>
          <w:p w14:paraId="7FF3981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275" w:type="dxa"/>
            <w:shd w:val="clear" w:color="000000" w:fill="FFFFFF"/>
            <w:hideMark/>
          </w:tcPr>
          <w:p w14:paraId="3F1DD92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771FCB15"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19BEEDC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4CB3A1C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225371D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684283C6" w14:textId="77777777" w:rsidTr="00545B6E">
        <w:trPr>
          <w:trHeight w:val="300"/>
        </w:trPr>
        <w:tc>
          <w:tcPr>
            <w:tcW w:w="3403" w:type="dxa"/>
            <w:shd w:val="clear" w:color="000000" w:fill="FFFFFF"/>
            <w:hideMark/>
          </w:tcPr>
          <w:p w14:paraId="0BBB90E9"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2. </w:t>
            </w:r>
            <w:r w:rsidRPr="006F4305">
              <w:rPr>
                <w:rFonts w:ascii="Times New Roman" w:eastAsia="Times New Roman" w:hAnsi="Times New Roman" w:cs="Times New Roman"/>
                <w:color w:val="000000"/>
                <w:sz w:val="20"/>
                <w:szCs w:val="20"/>
                <w:lang w:eastAsia="ru-RU"/>
              </w:rPr>
              <w:t>«Комплексная система обращения с ТКО»</w:t>
            </w:r>
          </w:p>
        </w:tc>
        <w:tc>
          <w:tcPr>
            <w:tcW w:w="1276" w:type="dxa"/>
            <w:shd w:val="clear" w:color="000000" w:fill="FFFFFF"/>
            <w:hideMark/>
          </w:tcPr>
          <w:p w14:paraId="35B302C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275" w:type="dxa"/>
            <w:shd w:val="clear" w:color="000000" w:fill="FFFFFF"/>
            <w:hideMark/>
          </w:tcPr>
          <w:p w14:paraId="2F7F493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4129900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7287922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55FF60D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41334DF5"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0985D704" w14:textId="77777777" w:rsidTr="00545B6E">
        <w:trPr>
          <w:trHeight w:val="391"/>
        </w:trPr>
        <w:tc>
          <w:tcPr>
            <w:tcW w:w="3403" w:type="dxa"/>
            <w:shd w:val="clear" w:color="000000" w:fill="FFFFFF"/>
            <w:hideMark/>
          </w:tcPr>
          <w:p w14:paraId="5AC61F9D" w14:textId="77777777" w:rsidR="006F4305" w:rsidRPr="006F4305" w:rsidRDefault="006F4305" w:rsidP="006F4305">
            <w:pPr>
              <w:spacing w:after="0" w:line="216" w:lineRule="auto"/>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3. </w:t>
            </w:r>
            <w:r w:rsidRPr="006F4305">
              <w:rPr>
                <w:rFonts w:ascii="Times New Roman" w:eastAsia="Times New Roman" w:hAnsi="Times New Roman" w:cs="Times New Roman"/>
                <w:color w:val="000000"/>
                <w:sz w:val="20"/>
                <w:szCs w:val="20"/>
                <w:lang w:eastAsia="ru-RU"/>
              </w:rPr>
              <w:t>«Сохранение уникальных водных объектов»</w:t>
            </w:r>
          </w:p>
        </w:tc>
        <w:tc>
          <w:tcPr>
            <w:tcW w:w="1276" w:type="dxa"/>
            <w:shd w:val="clear" w:color="000000" w:fill="FFFFFF"/>
            <w:hideMark/>
          </w:tcPr>
          <w:p w14:paraId="7DB7BE5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275" w:type="dxa"/>
            <w:shd w:val="clear" w:color="000000" w:fill="FFFFFF"/>
            <w:hideMark/>
          </w:tcPr>
          <w:p w14:paraId="0D0D4C6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52389B3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60A7E66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243F9BB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3745BD8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263D1BEB" w14:textId="77777777" w:rsidTr="00545B6E">
        <w:trPr>
          <w:trHeight w:val="216"/>
        </w:trPr>
        <w:tc>
          <w:tcPr>
            <w:tcW w:w="3403" w:type="dxa"/>
            <w:shd w:val="clear" w:color="000000" w:fill="FFFFFF"/>
            <w:hideMark/>
          </w:tcPr>
          <w:p w14:paraId="6E96738A"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5. </w:t>
            </w:r>
            <w:r w:rsidRPr="006F4305">
              <w:rPr>
                <w:rFonts w:ascii="Times New Roman" w:eastAsia="Times New Roman" w:hAnsi="Times New Roman" w:cs="Times New Roman"/>
                <w:color w:val="000000"/>
                <w:sz w:val="20"/>
                <w:szCs w:val="20"/>
                <w:lang w:eastAsia="ru-RU"/>
              </w:rPr>
              <w:t>«Сохранение лесов»</w:t>
            </w:r>
          </w:p>
        </w:tc>
        <w:tc>
          <w:tcPr>
            <w:tcW w:w="1276" w:type="dxa"/>
            <w:shd w:val="clear" w:color="000000" w:fill="FFFFFF"/>
            <w:hideMark/>
          </w:tcPr>
          <w:p w14:paraId="1CDB731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35,52</w:t>
            </w:r>
          </w:p>
        </w:tc>
        <w:tc>
          <w:tcPr>
            <w:tcW w:w="1275" w:type="dxa"/>
            <w:shd w:val="clear" w:color="000000" w:fill="FFFFFF"/>
            <w:hideMark/>
          </w:tcPr>
          <w:p w14:paraId="29DAF9D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35,52</w:t>
            </w:r>
          </w:p>
        </w:tc>
        <w:tc>
          <w:tcPr>
            <w:tcW w:w="960" w:type="dxa"/>
            <w:shd w:val="clear" w:color="000000" w:fill="FFFFFF"/>
            <w:hideMark/>
          </w:tcPr>
          <w:p w14:paraId="50B0A28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35,52</w:t>
            </w:r>
          </w:p>
        </w:tc>
        <w:tc>
          <w:tcPr>
            <w:tcW w:w="742" w:type="dxa"/>
            <w:shd w:val="clear" w:color="000000" w:fill="FFFFFF"/>
            <w:hideMark/>
          </w:tcPr>
          <w:p w14:paraId="2358BA1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1DE7C70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5FCBBDC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135C7473" w14:textId="77777777" w:rsidTr="00217EBD">
        <w:trPr>
          <w:trHeight w:val="685"/>
        </w:trPr>
        <w:tc>
          <w:tcPr>
            <w:tcW w:w="3403" w:type="dxa"/>
            <w:shd w:val="clear" w:color="auto" w:fill="D9E2F3" w:themeFill="accent1" w:themeFillTint="33"/>
            <w:hideMark/>
          </w:tcPr>
          <w:p w14:paraId="1164D3ED"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«БЕЗОПАСНЫЕ И КАЧЕСТВЕННЫЕ АВТОМОБИЛЬНЫЕ ДОРОГИ»</w:t>
            </w:r>
          </w:p>
        </w:tc>
        <w:tc>
          <w:tcPr>
            <w:tcW w:w="1276" w:type="dxa"/>
            <w:shd w:val="clear" w:color="auto" w:fill="D9E2F3" w:themeFill="accent1" w:themeFillTint="33"/>
            <w:hideMark/>
          </w:tcPr>
          <w:p w14:paraId="6422DE7F"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2 686,96</w:t>
            </w:r>
          </w:p>
        </w:tc>
        <w:tc>
          <w:tcPr>
            <w:tcW w:w="1275" w:type="dxa"/>
            <w:shd w:val="clear" w:color="auto" w:fill="D9E2F3" w:themeFill="accent1" w:themeFillTint="33"/>
            <w:hideMark/>
          </w:tcPr>
          <w:p w14:paraId="28BE9F35"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2 682,03</w:t>
            </w:r>
          </w:p>
        </w:tc>
        <w:tc>
          <w:tcPr>
            <w:tcW w:w="960" w:type="dxa"/>
            <w:shd w:val="clear" w:color="auto" w:fill="D9E2F3" w:themeFill="accent1" w:themeFillTint="33"/>
            <w:hideMark/>
          </w:tcPr>
          <w:p w14:paraId="33EE6B67"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2 539,40</w:t>
            </w:r>
          </w:p>
        </w:tc>
        <w:tc>
          <w:tcPr>
            <w:tcW w:w="742" w:type="dxa"/>
            <w:shd w:val="clear" w:color="auto" w:fill="D9E2F3" w:themeFill="accent1" w:themeFillTint="33"/>
            <w:hideMark/>
          </w:tcPr>
          <w:p w14:paraId="5C9B1C44"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94,7</w:t>
            </w:r>
          </w:p>
        </w:tc>
        <w:tc>
          <w:tcPr>
            <w:tcW w:w="1021" w:type="dxa"/>
            <w:shd w:val="clear" w:color="auto" w:fill="D9E2F3" w:themeFill="accent1" w:themeFillTint="33"/>
            <w:hideMark/>
          </w:tcPr>
          <w:p w14:paraId="45985257"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147,5</w:t>
            </w:r>
          </w:p>
        </w:tc>
        <w:tc>
          <w:tcPr>
            <w:tcW w:w="963" w:type="dxa"/>
            <w:shd w:val="clear" w:color="auto" w:fill="D9E2F3" w:themeFill="accent1" w:themeFillTint="33"/>
            <w:hideMark/>
          </w:tcPr>
          <w:p w14:paraId="7F9BB42F"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5,49</w:t>
            </w:r>
          </w:p>
        </w:tc>
      </w:tr>
      <w:tr w:rsidR="006F4305" w:rsidRPr="006F4305" w14:paraId="72C99820" w14:textId="77777777" w:rsidTr="00545B6E">
        <w:trPr>
          <w:trHeight w:val="142"/>
        </w:trPr>
        <w:tc>
          <w:tcPr>
            <w:tcW w:w="3403" w:type="dxa"/>
            <w:shd w:val="clear" w:color="000000" w:fill="FFFFFF"/>
            <w:hideMark/>
          </w:tcPr>
          <w:p w14:paraId="5CEC1F8A"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rPr>
                <w:rFonts w:ascii="Times New Roman" w:eastAsia="Times New Roman" w:hAnsi="Times New Roman" w:cs="Times New Roman"/>
                <w:color w:val="000000"/>
                <w:sz w:val="20"/>
                <w:szCs w:val="20"/>
                <w:lang w:eastAsia="ru-RU"/>
              </w:rPr>
              <w:t xml:space="preserve"> «Дорожная сеть»</w:t>
            </w:r>
          </w:p>
        </w:tc>
        <w:tc>
          <w:tcPr>
            <w:tcW w:w="1276" w:type="dxa"/>
            <w:shd w:val="clear" w:color="000000" w:fill="FFFFFF"/>
            <w:hideMark/>
          </w:tcPr>
          <w:p w14:paraId="6982E113"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2 469,23</w:t>
            </w:r>
          </w:p>
        </w:tc>
        <w:tc>
          <w:tcPr>
            <w:tcW w:w="1275" w:type="dxa"/>
            <w:shd w:val="clear" w:color="000000" w:fill="FFFFFF"/>
            <w:hideMark/>
          </w:tcPr>
          <w:p w14:paraId="5D017DF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2 469,23</w:t>
            </w:r>
          </w:p>
        </w:tc>
        <w:tc>
          <w:tcPr>
            <w:tcW w:w="960" w:type="dxa"/>
            <w:shd w:val="clear" w:color="000000" w:fill="FFFFFF"/>
            <w:hideMark/>
          </w:tcPr>
          <w:p w14:paraId="1D4AC52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2 327,7</w:t>
            </w:r>
          </w:p>
        </w:tc>
        <w:tc>
          <w:tcPr>
            <w:tcW w:w="742" w:type="dxa"/>
            <w:shd w:val="clear" w:color="000000" w:fill="FFFFFF"/>
            <w:hideMark/>
          </w:tcPr>
          <w:p w14:paraId="5879264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94,3</w:t>
            </w:r>
          </w:p>
        </w:tc>
        <w:tc>
          <w:tcPr>
            <w:tcW w:w="1021" w:type="dxa"/>
            <w:shd w:val="clear" w:color="000000" w:fill="FFFFFF"/>
            <w:hideMark/>
          </w:tcPr>
          <w:p w14:paraId="3ABE60D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141,53</w:t>
            </w:r>
          </w:p>
        </w:tc>
        <w:tc>
          <w:tcPr>
            <w:tcW w:w="963" w:type="dxa"/>
            <w:shd w:val="clear" w:color="000000" w:fill="FFFFFF"/>
            <w:hideMark/>
          </w:tcPr>
          <w:p w14:paraId="3495D2E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5,73</w:t>
            </w:r>
          </w:p>
        </w:tc>
      </w:tr>
      <w:tr w:rsidR="006F4305" w:rsidRPr="006F4305" w14:paraId="2AC4E9EA" w14:textId="77777777" w:rsidTr="00545B6E">
        <w:trPr>
          <w:trHeight w:val="359"/>
        </w:trPr>
        <w:tc>
          <w:tcPr>
            <w:tcW w:w="3403" w:type="dxa"/>
            <w:shd w:val="clear" w:color="000000" w:fill="FFFFFF"/>
            <w:hideMark/>
          </w:tcPr>
          <w:p w14:paraId="3ADDEF26"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2. </w:t>
            </w:r>
            <w:r w:rsidRPr="006F4305">
              <w:rPr>
                <w:rFonts w:ascii="Times New Roman" w:eastAsia="Times New Roman" w:hAnsi="Times New Roman" w:cs="Times New Roman"/>
                <w:color w:val="000000"/>
                <w:sz w:val="20"/>
                <w:szCs w:val="20"/>
                <w:lang w:eastAsia="ru-RU"/>
              </w:rPr>
              <w:t>«Общесистемные меры развития дорожного хозяйства»</w:t>
            </w:r>
          </w:p>
        </w:tc>
        <w:tc>
          <w:tcPr>
            <w:tcW w:w="1276" w:type="dxa"/>
            <w:shd w:val="clear" w:color="000000" w:fill="FFFFFF"/>
            <w:hideMark/>
          </w:tcPr>
          <w:p w14:paraId="6F2C5174"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217,73</w:t>
            </w:r>
          </w:p>
        </w:tc>
        <w:tc>
          <w:tcPr>
            <w:tcW w:w="1275" w:type="dxa"/>
            <w:shd w:val="clear" w:color="000000" w:fill="FFFFFF"/>
            <w:hideMark/>
          </w:tcPr>
          <w:p w14:paraId="123DC86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212,80</w:t>
            </w:r>
          </w:p>
        </w:tc>
        <w:tc>
          <w:tcPr>
            <w:tcW w:w="960" w:type="dxa"/>
            <w:shd w:val="clear" w:color="000000" w:fill="FFFFFF"/>
            <w:hideMark/>
          </w:tcPr>
          <w:p w14:paraId="673CE0D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211,70</w:t>
            </w:r>
          </w:p>
        </w:tc>
        <w:tc>
          <w:tcPr>
            <w:tcW w:w="742" w:type="dxa"/>
            <w:shd w:val="clear" w:color="000000" w:fill="FFFFFF"/>
            <w:hideMark/>
          </w:tcPr>
          <w:p w14:paraId="258998E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99,5</w:t>
            </w:r>
          </w:p>
        </w:tc>
        <w:tc>
          <w:tcPr>
            <w:tcW w:w="1021" w:type="dxa"/>
            <w:shd w:val="clear" w:color="000000" w:fill="FFFFFF"/>
            <w:hideMark/>
          </w:tcPr>
          <w:p w14:paraId="2ABAB93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6,0</w:t>
            </w:r>
          </w:p>
        </w:tc>
        <w:tc>
          <w:tcPr>
            <w:tcW w:w="963" w:type="dxa"/>
            <w:shd w:val="clear" w:color="000000" w:fill="FFFFFF"/>
            <w:hideMark/>
          </w:tcPr>
          <w:p w14:paraId="586160A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2,77</w:t>
            </w:r>
          </w:p>
        </w:tc>
      </w:tr>
      <w:tr w:rsidR="006F4305" w:rsidRPr="006F4305" w14:paraId="274A7CFC" w14:textId="77777777" w:rsidTr="00545B6E">
        <w:trPr>
          <w:trHeight w:val="300"/>
        </w:trPr>
        <w:tc>
          <w:tcPr>
            <w:tcW w:w="3403" w:type="dxa"/>
            <w:shd w:val="clear" w:color="000000" w:fill="FFFFFF"/>
            <w:hideMark/>
          </w:tcPr>
          <w:p w14:paraId="5F4E7F49"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3. </w:t>
            </w:r>
            <w:r w:rsidRPr="006F4305">
              <w:rPr>
                <w:rFonts w:ascii="Times New Roman" w:eastAsia="Times New Roman" w:hAnsi="Times New Roman" w:cs="Times New Roman"/>
                <w:color w:val="000000"/>
                <w:sz w:val="20"/>
                <w:szCs w:val="20"/>
                <w:lang w:eastAsia="ru-RU"/>
              </w:rPr>
              <w:t>«Безопасность дорожного движения»</w:t>
            </w:r>
          </w:p>
        </w:tc>
        <w:tc>
          <w:tcPr>
            <w:tcW w:w="1276" w:type="dxa"/>
            <w:shd w:val="clear" w:color="000000" w:fill="FFFFFF"/>
            <w:hideMark/>
          </w:tcPr>
          <w:p w14:paraId="61760615"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07D4496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7611560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121E215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28F0BAB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3638420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75FE5450" w14:textId="77777777" w:rsidTr="00217EBD">
        <w:trPr>
          <w:trHeight w:val="300"/>
        </w:trPr>
        <w:tc>
          <w:tcPr>
            <w:tcW w:w="3403" w:type="dxa"/>
            <w:shd w:val="clear" w:color="auto" w:fill="D9E2F3" w:themeFill="accent1" w:themeFillTint="33"/>
            <w:hideMark/>
          </w:tcPr>
          <w:p w14:paraId="6FA992FB"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"ЦИФРОВАЯ ЭКОНОМИКА"</w:t>
            </w:r>
          </w:p>
        </w:tc>
        <w:tc>
          <w:tcPr>
            <w:tcW w:w="1276" w:type="dxa"/>
            <w:shd w:val="clear" w:color="auto" w:fill="D9E2F3" w:themeFill="accent1" w:themeFillTint="33"/>
            <w:hideMark/>
          </w:tcPr>
          <w:p w14:paraId="5778934E"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36,1</w:t>
            </w:r>
          </w:p>
        </w:tc>
        <w:tc>
          <w:tcPr>
            <w:tcW w:w="1275" w:type="dxa"/>
            <w:shd w:val="clear" w:color="auto" w:fill="D9E2F3" w:themeFill="accent1" w:themeFillTint="33"/>
            <w:hideMark/>
          </w:tcPr>
          <w:p w14:paraId="47B7F55F"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36,1</w:t>
            </w:r>
          </w:p>
        </w:tc>
        <w:tc>
          <w:tcPr>
            <w:tcW w:w="960" w:type="dxa"/>
            <w:shd w:val="clear" w:color="auto" w:fill="D9E2F3" w:themeFill="accent1" w:themeFillTint="33"/>
            <w:hideMark/>
          </w:tcPr>
          <w:p w14:paraId="774D15C6"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34,9</w:t>
            </w:r>
          </w:p>
        </w:tc>
        <w:tc>
          <w:tcPr>
            <w:tcW w:w="742" w:type="dxa"/>
            <w:shd w:val="clear" w:color="auto" w:fill="D9E2F3" w:themeFill="accent1" w:themeFillTint="33"/>
            <w:hideMark/>
          </w:tcPr>
          <w:p w14:paraId="63494C15"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96,7</w:t>
            </w:r>
          </w:p>
        </w:tc>
        <w:tc>
          <w:tcPr>
            <w:tcW w:w="1021" w:type="dxa"/>
            <w:shd w:val="clear" w:color="auto" w:fill="D9E2F3" w:themeFill="accent1" w:themeFillTint="33"/>
            <w:hideMark/>
          </w:tcPr>
          <w:p w14:paraId="0DF8A4EA"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1,2</w:t>
            </w:r>
          </w:p>
        </w:tc>
        <w:tc>
          <w:tcPr>
            <w:tcW w:w="963" w:type="dxa"/>
            <w:shd w:val="clear" w:color="auto" w:fill="D9E2F3" w:themeFill="accent1" w:themeFillTint="33"/>
            <w:hideMark/>
          </w:tcPr>
          <w:p w14:paraId="16DB4BF9"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3,27</w:t>
            </w:r>
          </w:p>
        </w:tc>
      </w:tr>
      <w:tr w:rsidR="006F4305" w:rsidRPr="006F4305" w14:paraId="6BDD4623" w14:textId="77777777" w:rsidTr="00545B6E">
        <w:trPr>
          <w:trHeight w:val="300"/>
        </w:trPr>
        <w:tc>
          <w:tcPr>
            <w:tcW w:w="3403" w:type="dxa"/>
            <w:shd w:val="clear" w:color="auto" w:fill="auto"/>
            <w:noWrap/>
            <w:hideMark/>
          </w:tcPr>
          <w:p w14:paraId="38F57E7E"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rPr>
                <w:rFonts w:ascii="Times New Roman" w:eastAsia="Times New Roman" w:hAnsi="Times New Roman" w:cs="Times New Roman"/>
                <w:color w:val="000000"/>
                <w:sz w:val="20"/>
                <w:szCs w:val="20"/>
                <w:lang w:eastAsia="ru-RU"/>
              </w:rPr>
              <w:t xml:space="preserve"> «Кадры для цифровой экономики»</w:t>
            </w:r>
          </w:p>
        </w:tc>
        <w:tc>
          <w:tcPr>
            <w:tcW w:w="1276" w:type="dxa"/>
            <w:shd w:val="clear" w:color="auto" w:fill="auto"/>
            <w:noWrap/>
            <w:hideMark/>
          </w:tcPr>
          <w:p w14:paraId="3D02844F"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auto" w:fill="auto"/>
            <w:noWrap/>
            <w:hideMark/>
          </w:tcPr>
          <w:p w14:paraId="249AB10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auto" w:fill="auto"/>
            <w:noWrap/>
            <w:hideMark/>
          </w:tcPr>
          <w:p w14:paraId="5D871E35"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239EB2F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auto" w:fill="auto"/>
            <w:noWrap/>
            <w:hideMark/>
          </w:tcPr>
          <w:p w14:paraId="1A44942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auto" w:fill="auto"/>
            <w:noWrap/>
            <w:hideMark/>
          </w:tcPr>
          <w:p w14:paraId="53F4A7F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45D0E4C0" w14:textId="77777777" w:rsidTr="00545B6E">
        <w:trPr>
          <w:trHeight w:val="300"/>
        </w:trPr>
        <w:tc>
          <w:tcPr>
            <w:tcW w:w="3403" w:type="dxa"/>
            <w:shd w:val="clear" w:color="auto" w:fill="auto"/>
            <w:noWrap/>
            <w:hideMark/>
          </w:tcPr>
          <w:p w14:paraId="22D89385" w14:textId="77777777" w:rsidR="006F4305" w:rsidRPr="006F4305" w:rsidRDefault="006F4305" w:rsidP="006F4305">
            <w:pPr>
              <w:spacing w:after="0" w:line="216" w:lineRule="auto"/>
              <w:ind w:right="-114"/>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lastRenderedPageBreak/>
              <w:t>2.</w:t>
            </w:r>
            <w:r w:rsidRPr="006F4305">
              <w:rPr>
                <w:rFonts w:ascii="Times New Roman" w:eastAsia="Times New Roman" w:hAnsi="Times New Roman" w:cs="Times New Roman"/>
                <w:color w:val="000000"/>
                <w:sz w:val="20"/>
                <w:szCs w:val="20"/>
                <w:lang w:eastAsia="ru-RU"/>
              </w:rPr>
              <w:t>«Информационная инфраструктура»</w:t>
            </w:r>
          </w:p>
        </w:tc>
        <w:tc>
          <w:tcPr>
            <w:tcW w:w="1276" w:type="dxa"/>
            <w:shd w:val="clear" w:color="auto" w:fill="auto"/>
            <w:noWrap/>
            <w:hideMark/>
          </w:tcPr>
          <w:p w14:paraId="69A010E2"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31,1</w:t>
            </w:r>
          </w:p>
        </w:tc>
        <w:tc>
          <w:tcPr>
            <w:tcW w:w="1275" w:type="dxa"/>
            <w:shd w:val="clear" w:color="auto" w:fill="auto"/>
            <w:noWrap/>
            <w:hideMark/>
          </w:tcPr>
          <w:p w14:paraId="3CB4977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31,1</w:t>
            </w:r>
          </w:p>
        </w:tc>
        <w:tc>
          <w:tcPr>
            <w:tcW w:w="960" w:type="dxa"/>
            <w:shd w:val="clear" w:color="auto" w:fill="auto"/>
            <w:noWrap/>
            <w:hideMark/>
          </w:tcPr>
          <w:p w14:paraId="7722FF7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29,9</w:t>
            </w:r>
          </w:p>
        </w:tc>
        <w:tc>
          <w:tcPr>
            <w:tcW w:w="742" w:type="dxa"/>
            <w:shd w:val="clear" w:color="000000" w:fill="FFFFFF"/>
            <w:hideMark/>
          </w:tcPr>
          <w:p w14:paraId="14AED57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96,2</w:t>
            </w:r>
          </w:p>
        </w:tc>
        <w:tc>
          <w:tcPr>
            <w:tcW w:w="1021" w:type="dxa"/>
            <w:shd w:val="clear" w:color="auto" w:fill="auto"/>
            <w:noWrap/>
            <w:hideMark/>
          </w:tcPr>
          <w:p w14:paraId="1240054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1,2</w:t>
            </w:r>
          </w:p>
        </w:tc>
        <w:tc>
          <w:tcPr>
            <w:tcW w:w="963" w:type="dxa"/>
            <w:shd w:val="clear" w:color="auto" w:fill="auto"/>
            <w:noWrap/>
            <w:hideMark/>
          </w:tcPr>
          <w:p w14:paraId="3D1766D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3,8</w:t>
            </w:r>
          </w:p>
        </w:tc>
      </w:tr>
      <w:tr w:rsidR="006F4305" w:rsidRPr="006F4305" w14:paraId="3AA59422" w14:textId="77777777" w:rsidTr="00545B6E">
        <w:trPr>
          <w:trHeight w:val="300"/>
        </w:trPr>
        <w:tc>
          <w:tcPr>
            <w:tcW w:w="3403" w:type="dxa"/>
            <w:shd w:val="clear" w:color="auto" w:fill="auto"/>
            <w:noWrap/>
            <w:hideMark/>
          </w:tcPr>
          <w:p w14:paraId="79E47EC0"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w:t>
            </w:r>
            <w:r w:rsidRPr="006F4305">
              <w:rPr>
                <w:rFonts w:ascii="Times New Roman" w:eastAsia="Times New Roman" w:hAnsi="Times New Roman" w:cs="Times New Roman"/>
                <w:color w:val="000000"/>
                <w:sz w:val="20"/>
                <w:szCs w:val="20"/>
                <w:lang w:eastAsia="ru-RU"/>
              </w:rPr>
              <w:t xml:space="preserve"> «Информационная безопасность»</w:t>
            </w:r>
          </w:p>
        </w:tc>
        <w:tc>
          <w:tcPr>
            <w:tcW w:w="1276" w:type="dxa"/>
            <w:shd w:val="clear" w:color="auto" w:fill="auto"/>
            <w:noWrap/>
            <w:hideMark/>
          </w:tcPr>
          <w:p w14:paraId="4DDF8642"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auto" w:fill="auto"/>
            <w:noWrap/>
            <w:hideMark/>
          </w:tcPr>
          <w:p w14:paraId="132E6B3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auto" w:fill="auto"/>
            <w:noWrap/>
            <w:hideMark/>
          </w:tcPr>
          <w:p w14:paraId="76D403A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3E9C31D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auto" w:fill="auto"/>
            <w:noWrap/>
            <w:hideMark/>
          </w:tcPr>
          <w:p w14:paraId="09311D2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auto" w:fill="auto"/>
            <w:noWrap/>
            <w:hideMark/>
          </w:tcPr>
          <w:p w14:paraId="3C37903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3225B1FD" w14:textId="77777777" w:rsidTr="00545B6E">
        <w:trPr>
          <w:trHeight w:val="146"/>
        </w:trPr>
        <w:tc>
          <w:tcPr>
            <w:tcW w:w="3403" w:type="dxa"/>
            <w:shd w:val="clear" w:color="auto" w:fill="auto"/>
            <w:noWrap/>
            <w:hideMark/>
          </w:tcPr>
          <w:p w14:paraId="7D30AE9F"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4.</w:t>
            </w:r>
            <w:r w:rsidRPr="006F4305">
              <w:rPr>
                <w:rFonts w:ascii="Times New Roman" w:eastAsia="Times New Roman" w:hAnsi="Times New Roman" w:cs="Times New Roman"/>
                <w:color w:val="000000"/>
                <w:sz w:val="20"/>
                <w:szCs w:val="20"/>
                <w:lang w:eastAsia="ru-RU"/>
              </w:rPr>
              <w:t xml:space="preserve"> «Цифровые технологии»</w:t>
            </w:r>
          </w:p>
        </w:tc>
        <w:tc>
          <w:tcPr>
            <w:tcW w:w="1276" w:type="dxa"/>
            <w:shd w:val="clear" w:color="auto" w:fill="auto"/>
            <w:noWrap/>
            <w:hideMark/>
          </w:tcPr>
          <w:p w14:paraId="4FA7F489"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5,0</w:t>
            </w:r>
          </w:p>
        </w:tc>
        <w:tc>
          <w:tcPr>
            <w:tcW w:w="1275" w:type="dxa"/>
            <w:shd w:val="clear" w:color="auto" w:fill="auto"/>
            <w:noWrap/>
            <w:hideMark/>
          </w:tcPr>
          <w:p w14:paraId="795CFF7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5,0</w:t>
            </w:r>
          </w:p>
        </w:tc>
        <w:tc>
          <w:tcPr>
            <w:tcW w:w="960" w:type="dxa"/>
            <w:shd w:val="clear" w:color="auto" w:fill="auto"/>
            <w:noWrap/>
            <w:hideMark/>
          </w:tcPr>
          <w:p w14:paraId="7FC14DF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5,0</w:t>
            </w:r>
          </w:p>
        </w:tc>
        <w:tc>
          <w:tcPr>
            <w:tcW w:w="742" w:type="dxa"/>
            <w:shd w:val="clear" w:color="000000" w:fill="FFFFFF"/>
            <w:hideMark/>
          </w:tcPr>
          <w:p w14:paraId="35D8355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auto" w:fill="auto"/>
            <w:noWrap/>
            <w:hideMark/>
          </w:tcPr>
          <w:p w14:paraId="4282871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auto" w:fill="auto"/>
            <w:noWrap/>
            <w:hideMark/>
          </w:tcPr>
          <w:p w14:paraId="24858AA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78E5959A" w14:textId="77777777" w:rsidTr="00545B6E">
        <w:trPr>
          <w:trHeight w:val="300"/>
        </w:trPr>
        <w:tc>
          <w:tcPr>
            <w:tcW w:w="3403" w:type="dxa"/>
            <w:shd w:val="clear" w:color="auto" w:fill="auto"/>
            <w:noWrap/>
            <w:hideMark/>
          </w:tcPr>
          <w:p w14:paraId="6B2A1804"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5. </w:t>
            </w:r>
            <w:r w:rsidRPr="006F4305">
              <w:rPr>
                <w:rFonts w:ascii="Times New Roman" w:eastAsia="Times New Roman" w:hAnsi="Times New Roman" w:cs="Times New Roman"/>
                <w:color w:val="000000"/>
                <w:sz w:val="20"/>
                <w:szCs w:val="20"/>
                <w:lang w:eastAsia="ru-RU"/>
              </w:rPr>
              <w:t>«Цифровое государственное управление»</w:t>
            </w:r>
          </w:p>
        </w:tc>
        <w:tc>
          <w:tcPr>
            <w:tcW w:w="1276" w:type="dxa"/>
            <w:shd w:val="clear" w:color="auto" w:fill="auto"/>
            <w:noWrap/>
            <w:hideMark/>
          </w:tcPr>
          <w:p w14:paraId="48E83AE1"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auto" w:fill="auto"/>
            <w:noWrap/>
            <w:hideMark/>
          </w:tcPr>
          <w:p w14:paraId="1027931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auto" w:fill="auto"/>
            <w:noWrap/>
            <w:hideMark/>
          </w:tcPr>
          <w:p w14:paraId="5942D2E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73A1402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auto" w:fill="auto"/>
            <w:noWrap/>
            <w:hideMark/>
          </w:tcPr>
          <w:p w14:paraId="0C2620E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auto" w:fill="auto"/>
            <w:noWrap/>
            <w:hideMark/>
          </w:tcPr>
          <w:p w14:paraId="2DC8515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09C9D3AC" w14:textId="77777777" w:rsidTr="00217EBD">
        <w:trPr>
          <w:trHeight w:val="300"/>
        </w:trPr>
        <w:tc>
          <w:tcPr>
            <w:tcW w:w="3403" w:type="dxa"/>
            <w:shd w:val="clear" w:color="auto" w:fill="D9E2F3" w:themeFill="accent1" w:themeFillTint="33"/>
            <w:hideMark/>
          </w:tcPr>
          <w:p w14:paraId="1AA91FB9"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«КУЛЬТУРА»</w:t>
            </w:r>
          </w:p>
        </w:tc>
        <w:tc>
          <w:tcPr>
            <w:tcW w:w="1276" w:type="dxa"/>
            <w:shd w:val="clear" w:color="auto" w:fill="D9E2F3" w:themeFill="accent1" w:themeFillTint="33"/>
            <w:hideMark/>
          </w:tcPr>
          <w:p w14:paraId="6532A989"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469,49</w:t>
            </w:r>
          </w:p>
        </w:tc>
        <w:tc>
          <w:tcPr>
            <w:tcW w:w="1275" w:type="dxa"/>
            <w:shd w:val="clear" w:color="auto" w:fill="D9E2F3" w:themeFill="accent1" w:themeFillTint="33"/>
            <w:hideMark/>
          </w:tcPr>
          <w:p w14:paraId="639EE8D9"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469,49</w:t>
            </w:r>
          </w:p>
        </w:tc>
        <w:tc>
          <w:tcPr>
            <w:tcW w:w="960" w:type="dxa"/>
            <w:shd w:val="clear" w:color="auto" w:fill="D9E2F3" w:themeFill="accent1" w:themeFillTint="33"/>
            <w:hideMark/>
          </w:tcPr>
          <w:p w14:paraId="6257C53D"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416,75</w:t>
            </w:r>
          </w:p>
        </w:tc>
        <w:tc>
          <w:tcPr>
            <w:tcW w:w="742" w:type="dxa"/>
            <w:shd w:val="clear" w:color="auto" w:fill="D9E2F3" w:themeFill="accent1" w:themeFillTint="33"/>
            <w:hideMark/>
          </w:tcPr>
          <w:p w14:paraId="5C36B164"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88,8</w:t>
            </w:r>
          </w:p>
        </w:tc>
        <w:tc>
          <w:tcPr>
            <w:tcW w:w="1021" w:type="dxa"/>
            <w:shd w:val="clear" w:color="auto" w:fill="D9E2F3" w:themeFill="accent1" w:themeFillTint="33"/>
            <w:hideMark/>
          </w:tcPr>
          <w:p w14:paraId="39402950"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52,74</w:t>
            </w:r>
          </w:p>
        </w:tc>
        <w:tc>
          <w:tcPr>
            <w:tcW w:w="963" w:type="dxa"/>
            <w:shd w:val="clear" w:color="auto" w:fill="D9E2F3" w:themeFill="accent1" w:themeFillTint="33"/>
            <w:hideMark/>
          </w:tcPr>
          <w:p w14:paraId="6D7DAFB0"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11,23</w:t>
            </w:r>
          </w:p>
        </w:tc>
      </w:tr>
      <w:tr w:rsidR="006F4305" w:rsidRPr="006F4305" w14:paraId="315DB7E7" w14:textId="77777777" w:rsidTr="00545B6E">
        <w:trPr>
          <w:trHeight w:val="300"/>
        </w:trPr>
        <w:tc>
          <w:tcPr>
            <w:tcW w:w="3403" w:type="dxa"/>
            <w:shd w:val="clear" w:color="000000" w:fill="FFFFFF"/>
            <w:hideMark/>
          </w:tcPr>
          <w:p w14:paraId="1ECA3425"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rPr>
                <w:rFonts w:ascii="Times New Roman" w:eastAsia="Times New Roman" w:hAnsi="Times New Roman" w:cs="Times New Roman"/>
                <w:color w:val="000000"/>
                <w:sz w:val="20"/>
                <w:szCs w:val="20"/>
                <w:lang w:eastAsia="ru-RU"/>
              </w:rPr>
              <w:t xml:space="preserve"> «Культурная среда»</w:t>
            </w:r>
          </w:p>
        </w:tc>
        <w:tc>
          <w:tcPr>
            <w:tcW w:w="1276" w:type="dxa"/>
            <w:shd w:val="clear" w:color="000000" w:fill="FFFFFF"/>
            <w:hideMark/>
          </w:tcPr>
          <w:p w14:paraId="4E3F2DE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437,76</w:t>
            </w:r>
          </w:p>
        </w:tc>
        <w:tc>
          <w:tcPr>
            <w:tcW w:w="1275" w:type="dxa"/>
            <w:shd w:val="clear" w:color="000000" w:fill="FFFFFF"/>
            <w:hideMark/>
          </w:tcPr>
          <w:p w14:paraId="68D1F00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437,76</w:t>
            </w:r>
          </w:p>
        </w:tc>
        <w:tc>
          <w:tcPr>
            <w:tcW w:w="960" w:type="dxa"/>
            <w:shd w:val="clear" w:color="000000" w:fill="FFFFFF"/>
            <w:hideMark/>
          </w:tcPr>
          <w:p w14:paraId="58F2445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385,02</w:t>
            </w:r>
          </w:p>
        </w:tc>
        <w:tc>
          <w:tcPr>
            <w:tcW w:w="742" w:type="dxa"/>
            <w:shd w:val="clear" w:color="000000" w:fill="FFFFFF"/>
            <w:hideMark/>
          </w:tcPr>
          <w:p w14:paraId="61338FF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87,95</w:t>
            </w:r>
          </w:p>
        </w:tc>
        <w:tc>
          <w:tcPr>
            <w:tcW w:w="1021" w:type="dxa"/>
            <w:shd w:val="clear" w:color="000000" w:fill="FFFFFF"/>
            <w:hideMark/>
          </w:tcPr>
          <w:p w14:paraId="122808C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52,74</w:t>
            </w:r>
          </w:p>
        </w:tc>
        <w:tc>
          <w:tcPr>
            <w:tcW w:w="963" w:type="dxa"/>
            <w:shd w:val="clear" w:color="000000" w:fill="FFFFFF"/>
            <w:hideMark/>
          </w:tcPr>
          <w:p w14:paraId="24E647D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12,05</w:t>
            </w:r>
          </w:p>
        </w:tc>
      </w:tr>
      <w:tr w:rsidR="006F4305" w:rsidRPr="006F4305" w14:paraId="0AC0E2B3" w14:textId="77777777" w:rsidTr="00545B6E">
        <w:trPr>
          <w:trHeight w:val="300"/>
        </w:trPr>
        <w:tc>
          <w:tcPr>
            <w:tcW w:w="3403" w:type="dxa"/>
            <w:shd w:val="clear" w:color="000000" w:fill="FFFFFF"/>
            <w:hideMark/>
          </w:tcPr>
          <w:p w14:paraId="7364DB60"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2. </w:t>
            </w:r>
            <w:r w:rsidRPr="006F4305">
              <w:rPr>
                <w:rFonts w:ascii="Times New Roman" w:eastAsia="Times New Roman" w:hAnsi="Times New Roman" w:cs="Times New Roman"/>
                <w:color w:val="000000"/>
                <w:sz w:val="20"/>
                <w:szCs w:val="20"/>
                <w:lang w:eastAsia="ru-RU"/>
              </w:rPr>
              <w:t>«Творческие люди»</w:t>
            </w:r>
          </w:p>
        </w:tc>
        <w:tc>
          <w:tcPr>
            <w:tcW w:w="1276" w:type="dxa"/>
            <w:shd w:val="clear" w:color="000000" w:fill="FFFFFF"/>
            <w:hideMark/>
          </w:tcPr>
          <w:p w14:paraId="7F40F67F"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29,53</w:t>
            </w:r>
          </w:p>
        </w:tc>
        <w:tc>
          <w:tcPr>
            <w:tcW w:w="1275" w:type="dxa"/>
            <w:shd w:val="clear" w:color="000000" w:fill="FFFFFF"/>
            <w:hideMark/>
          </w:tcPr>
          <w:p w14:paraId="7A3D5374"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29,53</w:t>
            </w:r>
          </w:p>
        </w:tc>
        <w:tc>
          <w:tcPr>
            <w:tcW w:w="960" w:type="dxa"/>
            <w:shd w:val="clear" w:color="000000" w:fill="FFFFFF"/>
            <w:hideMark/>
          </w:tcPr>
          <w:p w14:paraId="1DB789F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29,53</w:t>
            </w:r>
          </w:p>
        </w:tc>
        <w:tc>
          <w:tcPr>
            <w:tcW w:w="742" w:type="dxa"/>
            <w:shd w:val="clear" w:color="000000" w:fill="FFFFFF"/>
            <w:hideMark/>
          </w:tcPr>
          <w:p w14:paraId="2533C5A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4E3389F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2A4095D5"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3A4B0709" w14:textId="77777777" w:rsidTr="00545B6E">
        <w:trPr>
          <w:trHeight w:val="322"/>
        </w:trPr>
        <w:tc>
          <w:tcPr>
            <w:tcW w:w="3403" w:type="dxa"/>
            <w:shd w:val="clear" w:color="000000" w:fill="FFFFFF"/>
            <w:hideMark/>
          </w:tcPr>
          <w:p w14:paraId="24C5AA19"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3. </w:t>
            </w:r>
            <w:r w:rsidRPr="006F4305">
              <w:rPr>
                <w:rFonts w:ascii="Times New Roman" w:eastAsia="Times New Roman" w:hAnsi="Times New Roman" w:cs="Times New Roman"/>
                <w:color w:val="000000"/>
                <w:sz w:val="20"/>
                <w:szCs w:val="20"/>
                <w:lang w:eastAsia="ru-RU"/>
              </w:rPr>
              <w:t>«Цифровая культура»</w:t>
            </w:r>
          </w:p>
        </w:tc>
        <w:tc>
          <w:tcPr>
            <w:tcW w:w="1276" w:type="dxa"/>
            <w:shd w:val="clear" w:color="000000" w:fill="FFFFFF"/>
            <w:hideMark/>
          </w:tcPr>
          <w:p w14:paraId="4E1B35FB"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2,20</w:t>
            </w:r>
          </w:p>
        </w:tc>
        <w:tc>
          <w:tcPr>
            <w:tcW w:w="1275" w:type="dxa"/>
            <w:shd w:val="clear" w:color="000000" w:fill="FFFFFF"/>
            <w:hideMark/>
          </w:tcPr>
          <w:p w14:paraId="04F2C12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2,20</w:t>
            </w:r>
          </w:p>
        </w:tc>
        <w:tc>
          <w:tcPr>
            <w:tcW w:w="960" w:type="dxa"/>
            <w:shd w:val="clear" w:color="000000" w:fill="FFFFFF"/>
            <w:hideMark/>
          </w:tcPr>
          <w:p w14:paraId="6FE9401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2,20</w:t>
            </w:r>
          </w:p>
        </w:tc>
        <w:tc>
          <w:tcPr>
            <w:tcW w:w="742" w:type="dxa"/>
            <w:shd w:val="clear" w:color="000000" w:fill="FFFFFF"/>
            <w:hideMark/>
          </w:tcPr>
          <w:p w14:paraId="624BEE3E"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15FFBC8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0EF0787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4A01D742" w14:textId="77777777" w:rsidTr="00217EBD">
        <w:trPr>
          <w:trHeight w:val="684"/>
        </w:trPr>
        <w:tc>
          <w:tcPr>
            <w:tcW w:w="3403" w:type="dxa"/>
            <w:shd w:val="clear" w:color="auto" w:fill="D9E2F3" w:themeFill="accent1" w:themeFillTint="33"/>
            <w:hideMark/>
          </w:tcPr>
          <w:p w14:paraId="6B59C3E0"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18"/>
                <w:szCs w:val="18"/>
                <w:lang w:eastAsia="ru-RU"/>
              </w:rPr>
            </w:pPr>
            <w:r w:rsidRPr="006F4305">
              <w:rPr>
                <w:rFonts w:ascii="Times New Roman" w:eastAsia="Times New Roman" w:hAnsi="Times New Roman" w:cs="Times New Roman"/>
                <w:b/>
                <w:bCs/>
                <w:color w:val="000000"/>
                <w:sz w:val="18"/>
                <w:szCs w:val="18"/>
                <w:lang w:eastAsia="ru-RU"/>
              </w:rPr>
              <w:t>НП «МАЛОЕ ПРЕДПРИНИМАТЕЛЬ-СТВО И ПОДДЕРЖКА ИНДИВИ-ДУАЛЬНОЙ ПРЕДПРИНИМАТЕЛЬ-СКОЙ ИНИЦИАТИВЫ»</w:t>
            </w:r>
          </w:p>
        </w:tc>
        <w:tc>
          <w:tcPr>
            <w:tcW w:w="1276" w:type="dxa"/>
            <w:shd w:val="clear" w:color="auto" w:fill="D9E2F3" w:themeFill="accent1" w:themeFillTint="33"/>
            <w:hideMark/>
          </w:tcPr>
          <w:p w14:paraId="6DBC5FE2" w14:textId="77777777" w:rsidR="006F4305" w:rsidRPr="006F4305" w:rsidRDefault="006F4305" w:rsidP="006F4305">
            <w:pPr>
              <w:spacing w:after="0" w:line="216" w:lineRule="auto"/>
              <w:jc w:val="center"/>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215,75</w:t>
            </w:r>
          </w:p>
        </w:tc>
        <w:tc>
          <w:tcPr>
            <w:tcW w:w="1275" w:type="dxa"/>
            <w:shd w:val="clear" w:color="auto" w:fill="D9E2F3" w:themeFill="accent1" w:themeFillTint="33"/>
            <w:hideMark/>
          </w:tcPr>
          <w:p w14:paraId="6EB75683" w14:textId="77777777" w:rsidR="006F4305" w:rsidRPr="006F4305" w:rsidRDefault="006F4305" w:rsidP="006F4305">
            <w:pPr>
              <w:spacing w:after="0" w:line="216" w:lineRule="auto"/>
              <w:jc w:val="center"/>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215,75</w:t>
            </w:r>
          </w:p>
        </w:tc>
        <w:tc>
          <w:tcPr>
            <w:tcW w:w="960" w:type="dxa"/>
            <w:shd w:val="clear" w:color="auto" w:fill="D9E2F3" w:themeFill="accent1" w:themeFillTint="33"/>
            <w:hideMark/>
          </w:tcPr>
          <w:p w14:paraId="0A7ED1B6" w14:textId="77777777" w:rsidR="006F4305" w:rsidRPr="006F4305" w:rsidRDefault="006F4305" w:rsidP="006F4305">
            <w:pPr>
              <w:spacing w:after="0" w:line="216" w:lineRule="auto"/>
              <w:jc w:val="center"/>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215,75</w:t>
            </w:r>
          </w:p>
        </w:tc>
        <w:tc>
          <w:tcPr>
            <w:tcW w:w="742" w:type="dxa"/>
            <w:shd w:val="clear" w:color="auto" w:fill="D9E2F3" w:themeFill="accent1" w:themeFillTint="33"/>
            <w:hideMark/>
          </w:tcPr>
          <w:p w14:paraId="3E3FD8CE" w14:textId="77777777" w:rsidR="006F4305" w:rsidRPr="006F4305" w:rsidRDefault="006F4305" w:rsidP="006F4305">
            <w:pPr>
              <w:spacing w:after="0" w:line="216" w:lineRule="auto"/>
              <w:jc w:val="center"/>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100,0</w:t>
            </w:r>
          </w:p>
        </w:tc>
        <w:tc>
          <w:tcPr>
            <w:tcW w:w="1021" w:type="dxa"/>
            <w:shd w:val="clear" w:color="auto" w:fill="D9E2F3" w:themeFill="accent1" w:themeFillTint="33"/>
            <w:hideMark/>
          </w:tcPr>
          <w:p w14:paraId="326D3EB0" w14:textId="77777777" w:rsidR="006F4305" w:rsidRPr="006F4305" w:rsidRDefault="006F4305" w:rsidP="006F4305">
            <w:pPr>
              <w:spacing w:after="0" w:line="216" w:lineRule="auto"/>
              <w:jc w:val="center"/>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c>
          <w:tcPr>
            <w:tcW w:w="963" w:type="dxa"/>
            <w:shd w:val="clear" w:color="auto" w:fill="D9E2F3" w:themeFill="accent1" w:themeFillTint="33"/>
            <w:hideMark/>
          </w:tcPr>
          <w:p w14:paraId="240AB656" w14:textId="77777777" w:rsidR="006F4305" w:rsidRPr="006F4305" w:rsidRDefault="006F4305" w:rsidP="006F4305">
            <w:pPr>
              <w:spacing w:after="0" w:line="216" w:lineRule="auto"/>
              <w:jc w:val="center"/>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r>
      <w:tr w:rsidR="006F4305" w:rsidRPr="006F4305" w14:paraId="64DA7D04" w14:textId="77777777" w:rsidTr="00545B6E">
        <w:trPr>
          <w:trHeight w:val="130"/>
        </w:trPr>
        <w:tc>
          <w:tcPr>
            <w:tcW w:w="3403" w:type="dxa"/>
            <w:shd w:val="clear" w:color="000000" w:fill="FFFFFF"/>
            <w:hideMark/>
          </w:tcPr>
          <w:p w14:paraId="43ABECE5"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1. </w:t>
            </w:r>
            <w:r w:rsidRPr="006F4305">
              <w:rPr>
                <w:rFonts w:ascii="Times New Roman" w:eastAsia="Times New Roman" w:hAnsi="Times New Roman" w:cs="Times New Roman"/>
                <w:color w:val="000000"/>
                <w:sz w:val="20"/>
                <w:szCs w:val="20"/>
                <w:lang w:eastAsia="ru-RU"/>
              </w:rPr>
              <w:t>«Поддержка самозанятых»</w:t>
            </w:r>
          </w:p>
        </w:tc>
        <w:tc>
          <w:tcPr>
            <w:tcW w:w="1276" w:type="dxa"/>
            <w:shd w:val="clear" w:color="000000" w:fill="FFFFFF"/>
            <w:hideMark/>
          </w:tcPr>
          <w:p w14:paraId="35ABF8F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9,58</w:t>
            </w:r>
          </w:p>
        </w:tc>
        <w:tc>
          <w:tcPr>
            <w:tcW w:w="1275" w:type="dxa"/>
            <w:shd w:val="clear" w:color="000000" w:fill="FFFFFF"/>
            <w:hideMark/>
          </w:tcPr>
          <w:p w14:paraId="2179F0A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9,58</w:t>
            </w:r>
          </w:p>
        </w:tc>
        <w:tc>
          <w:tcPr>
            <w:tcW w:w="960" w:type="dxa"/>
            <w:shd w:val="clear" w:color="000000" w:fill="FFFFFF"/>
            <w:hideMark/>
          </w:tcPr>
          <w:p w14:paraId="5E12B60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9,58</w:t>
            </w:r>
          </w:p>
        </w:tc>
        <w:tc>
          <w:tcPr>
            <w:tcW w:w="742" w:type="dxa"/>
            <w:shd w:val="clear" w:color="000000" w:fill="FFFFFF"/>
            <w:hideMark/>
          </w:tcPr>
          <w:p w14:paraId="0EDDDF3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70C9356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72132E0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4DE5A0DF" w14:textId="77777777" w:rsidTr="00545B6E">
        <w:trPr>
          <w:trHeight w:val="219"/>
        </w:trPr>
        <w:tc>
          <w:tcPr>
            <w:tcW w:w="3403" w:type="dxa"/>
            <w:shd w:val="clear" w:color="000000" w:fill="FFFFFF"/>
            <w:hideMark/>
          </w:tcPr>
          <w:p w14:paraId="2CFAE9A2"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2. </w:t>
            </w:r>
            <w:r w:rsidRPr="006F4305">
              <w:rPr>
                <w:rFonts w:ascii="Times New Roman" w:eastAsia="Times New Roman" w:hAnsi="Times New Roman" w:cs="Times New Roman"/>
                <w:color w:val="000000"/>
                <w:sz w:val="20"/>
                <w:szCs w:val="20"/>
                <w:lang w:eastAsia="ru-RU"/>
              </w:rPr>
              <w:t xml:space="preserve">«Предакселерация»  </w:t>
            </w:r>
          </w:p>
        </w:tc>
        <w:tc>
          <w:tcPr>
            <w:tcW w:w="1276" w:type="dxa"/>
            <w:shd w:val="clear" w:color="000000" w:fill="FFFFFF"/>
            <w:hideMark/>
          </w:tcPr>
          <w:p w14:paraId="30E1A3E6"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24,37</w:t>
            </w:r>
          </w:p>
        </w:tc>
        <w:tc>
          <w:tcPr>
            <w:tcW w:w="1275" w:type="dxa"/>
            <w:shd w:val="clear" w:color="000000" w:fill="FFFFFF"/>
            <w:hideMark/>
          </w:tcPr>
          <w:p w14:paraId="5B59834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24,37</w:t>
            </w:r>
          </w:p>
        </w:tc>
        <w:tc>
          <w:tcPr>
            <w:tcW w:w="960" w:type="dxa"/>
            <w:shd w:val="clear" w:color="000000" w:fill="FFFFFF"/>
            <w:hideMark/>
          </w:tcPr>
          <w:p w14:paraId="140EE52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24,37</w:t>
            </w:r>
          </w:p>
        </w:tc>
        <w:tc>
          <w:tcPr>
            <w:tcW w:w="742" w:type="dxa"/>
            <w:shd w:val="clear" w:color="000000" w:fill="FFFFFF"/>
            <w:hideMark/>
          </w:tcPr>
          <w:p w14:paraId="1A7A149D"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58757FC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2EB41711"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091B70AD" w14:textId="77777777" w:rsidTr="00545B6E">
        <w:trPr>
          <w:trHeight w:val="406"/>
        </w:trPr>
        <w:tc>
          <w:tcPr>
            <w:tcW w:w="3403" w:type="dxa"/>
            <w:shd w:val="clear" w:color="000000" w:fill="FFFFFF"/>
            <w:hideMark/>
          </w:tcPr>
          <w:p w14:paraId="7D595F9A"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 xml:space="preserve">3. </w:t>
            </w:r>
            <w:r w:rsidRPr="006F4305">
              <w:rPr>
                <w:rFonts w:ascii="Times New Roman" w:eastAsia="Times New Roman" w:hAnsi="Times New Roman" w:cs="Times New Roman"/>
                <w:color w:val="000000"/>
                <w:sz w:val="20"/>
                <w:szCs w:val="20"/>
                <w:lang w:eastAsia="ru-RU"/>
              </w:rPr>
              <w:t>«Акселерация субъектов малого и среднего предпринимательства»</w:t>
            </w:r>
          </w:p>
        </w:tc>
        <w:tc>
          <w:tcPr>
            <w:tcW w:w="1276" w:type="dxa"/>
            <w:shd w:val="clear" w:color="000000" w:fill="FFFFFF"/>
            <w:hideMark/>
          </w:tcPr>
          <w:p w14:paraId="68B599E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181,80</w:t>
            </w:r>
          </w:p>
        </w:tc>
        <w:tc>
          <w:tcPr>
            <w:tcW w:w="1275" w:type="dxa"/>
            <w:shd w:val="clear" w:color="000000" w:fill="FFFFFF"/>
            <w:hideMark/>
          </w:tcPr>
          <w:p w14:paraId="19DEB9B2"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181,80</w:t>
            </w:r>
          </w:p>
        </w:tc>
        <w:tc>
          <w:tcPr>
            <w:tcW w:w="960" w:type="dxa"/>
            <w:shd w:val="clear" w:color="000000" w:fill="FFFFFF"/>
            <w:hideMark/>
          </w:tcPr>
          <w:p w14:paraId="108695AB"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181,80</w:t>
            </w:r>
          </w:p>
        </w:tc>
        <w:tc>
          <w:tcPr>
            <w:tcW w:w="742" w:type="dxa"/>
            <w:shd w:val="clear" w:color="000000" w:fill="FFFFFF"/>
            <w:hideMark/>
          </w:tcPr>
          <w:p w14:paraId="162876D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29641F60"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011476B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082ED939" w14:textId="77777777" w:rsidTr="00217EBD">
        <w:trPr>
          <w:trHeight w:val="461"/>
        </w:trPr>
        <w:tc>
          <w:tcPr>
            <w:tcW w:w="3403" w:type="dxa"/>
            <w:shd w:val="clear" w:color="auto" w:fill="D9E2F3" w:themeFill="accent1" w:themeFillTint="33"/>
            <w:hideMark/>
          </w:tcPr>
          <w:p w14:paraId="7CBE4BAD" w14:textId="77777777" w:rsidR="006F4305" w:rsidRPr="006F4305" w:rsidRDefault="006F4305" w:rsidP="006F4305">
            <w:pPr>
              <w:spacing w:after="0" w:line="216" w:lineRule="auto"/>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«МЕЖДУНАРОДНАЯ КООПЕРАЦИЯ И ЭКСПОРТ»</w:t>
            </w:r>
          </w:p>
        </w:tc>
        <w:tc>
          <w:tcPr>
            <w:tcW w:w="1276" w:type="dxa"/>
            <w:shd w:val="clear" w:color="auto" w:fill="D9E2F3" w:themeFill="accent1" w:themeFillTint="33"/>
            <w:hideMark/>
          </w:tcPr>
          <w:p w14:paraId="2B6A2558"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32,48</w:t>
            </w:r>
          </w:p>
        </w:tc>
        <w:tc>
          <w:tcPr>
            <w:tcW w:w="1275" w:type="dxa"/>
            <w:shd w:val="clear" w:color="auto" w:fill="D9E2F3" w:themeFill="accent1" w:themeFillTint="33"/>
            <w:hideMark/>
          </w:tcPr>
          <w:p w14:paraId="22277C02"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32,48</w:t>
            </w:r>
          </w:p>
        </w:tc>
        <w:tc>
          <w:tcPr>
            <w:tcW w:w="960" w:type="dxa"/>
            <w:shd w:val="clear" w:color="auto" w:fill="D9E2F3" w:themeFill="accent1" w:themeFillTint="33"/>
            <w:hideMark/>
          </w:tcPr>
          <w:p w14:paraId="5FCD26CD"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32,48</w:t>
            </w:r>
          </w:p>
        </w:tc>
        <w:tc>
          <w:tcPr>
            <w:tcW w:w="742" w:type="dxa"/>
            <w:shd w:val="clear" w:color="auto" w:fill="D9E2F3" w:themeFill="accent1" w:themeFillTint="33"/>
            <w:hideMark/>
          </w:tcPr>
          <w:p w14:paraId="5C566AA6"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100,0</w:t>
            </w:r>
          </w:p>
        </w:tc>
        <w:tc>
          <w:tcPr>
            <w:tcW w:w="1021" w:type="dxa"/>
            <w:shd w:val="clear" w:color="auto" w:fill="D9E2F3" w:themeFill="accent1" w:themeFillTint="33"/>
            <w:hideMark/>
          </w:tcPr>
          <w:p w14:paraId="7A465CE2"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c>
          <w:tcPr>
            <w:tcW w:w="963" w:type="dxa"/>
            <w:shd w:val="clear" w:color="auto" w:fill="D9E2F3" w:themeFill="accent1" w:themeFillTint="33"/>
            <w:hideMark/>
          </w:tcPr>
          <w:p w14:paraId="78665098"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r>
      <w:tr w:rsidR="006F4305" w:rsidRPr="006F4305" w14:paraId="259A5729" w14:textId="77777777" w:rsidTr="00545B6E">
        <w:trPr>
          <w:trHeight w:val="235"/>
        </w:trPr>
        <w:tc>
          <w:tcPr>
            <w:tcW w:w="3403" w:type="dxa"/>
            <w:shd w:val="clear" w:color="000000" w:fill="FFFFFF"/>
            <w:hideMark/>
          </w:tcPr>
          <w:p w14:paraId="085018E2"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rPr>
                <w:rFonts w:ascii="Times New Roman" w:eastAsia="Times New Roman" w:hAnsi="Times New Roman" w:cs="Times New Roman"/>
                <w:color w:val="000000"/>
                <w:sz w:val="20"/>
                <w:szCs w:val="20"/>
                <w:lang w:eastAsia="ru-RU"/>
              </w:rPr>
              <w:t xml:space="preserve"> «Промышленный экспорт»</w:t>
            </w:r>
          </w:p>
        </w:tc>
        <w:tc>
          <w:tcPr>
            <w:tcW w:w="1276" w:type="dxa"/>
            <w:shd w:val="clear" w:color="000000" w:fill="FFFFFF"/>
            <w:hideMark/>
          </w:tcPr>
          <w:p w14:paraId="03D739EC"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72D5BF7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0" w:type="dxa"/>
            <w:shd w:val="clear" w:color="000000" w:fill="FFFFFF"/>
            <w:hideMark/>
          </w:tcPr>
          <w:p w14:paraId="0D1F22EF"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742" w:type="dxa"/>
            <w:shd w:val="clear" w:color="000000" w:fill="FFFFFF"/>
            <w:hideMark/>
          </w:tcPr>
          <w:p w14:paraId="7E8BD11C"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1021" w:type="dxa"/>
            <w:shd w:val="clear" w:color="000000" w:fill="FFFFFF"/>
            <w:hideMark/>
          </w:tcPr>
          <w:p w14:paraId="54E2186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00CF23BA"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1918564C" w14:textId="77777777" w:rsidTr="00545B6E">
        <w:trPr>
          <w:trHeight w:val="300"/>
        </w:trPr>
        <w:tc>
          <w:tcPr>
            <w:tcW w:w="3403" w:type="dxa"/>
            <w:shd w:val="clear" w:color="000000" w:fill="FFFFFF"/>
            <w:hideMark/>
          </w:tcPr>
          <w:p w14:paraId="2D0E8967"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w:t>
            </w:r>
            <w:r w:rsidRPr="006F4305">
              <w:rPr>
                <w:rFonts w:ascii="Times New Roman" w:eastAsia="Times New Roman" w:hAnsi="Times New Roman" w:cs="Times New Roman"/>
                <w:color w:val="000000"/>
                <w:sz w:val="20"/>
                <w:szCs w:val="20"/>
                <w:lang w:eastAsia="ru-RU"/>
              </w:rPr>
              <w:t xml:space="preserve"> «Экспорт продукции АПК»</w:t>
            </w:r>
          </w:p>
        </w:tc>
        <w:tc>
          <w:tcPr>
            <w:tcW w:w="1276" w:type="dxa"/>
            <w:shd w:val="clear" w:color="000000" w:fill="FFFFFF"/>
            <w:hideMark/>
          </w:tcPr>
          <w:p w14:paraId="21B9FAAA"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32,48</w:t>
            </w:r>
          </w:p>
        </w:tc>
        <w:tc>
          <w:tcPr>
            <w:tcW w:w="1275" w:type="dxa"/>
            <w:shd w:val="clear" w:color="000000" w:fill="FFFFFF"/>
            <w:hideMark/>
          </w:tcPr>
          <w:p w14:paraId="76D21D77"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32,48</w:t>
            </w:r>
          </w:p>
        </w:tc>
        <w:tc>
          <w:tcPr>
            <w:tcW w:w="960" w:type="dxa"/>
            <w:shd w:val="clear" w:color="000000" w:fill="FFFFFF"/>
            <w:hideMark/>
          </w:tcPr>
          <w:p w14:paraId="75C14E4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32,48</w:t>
            </w:r>
          </w:p>
        </w:tc>
        <w:tc>
          <w:tcPr>
            <w:tcW w:w="742" w:type="dxa"/>
            <w:shd w:val="clear" w:color="000000" w:fill="FFFFFF"/>
            <w:hideMark/>
          </w:tcPr>
          <w:p w14:paraId="13E525E8"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100,0</w:t>
            </w:r>
          </w:p>
        </w:tc>
        <w:tc>
          <w:tcPr>
            <w:tcW w:w="1021" w:type="dxa"/>
            <w:shd w:val="clear" w:color="000000" w:fill="FFFFFF"/>
            <w:hideMark/>
          </w:tcPr>
          <w:p w14:paraId="58EBF199"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c>
          <w:tcPr>
            <w:tcW w:w="963" w:type="dxa"/>
            <w:shd w:val="clear" w:color="000000" w:fill="FFFFFF"/>
            <w:hideMark/>
          </w:tcPr>
          <w:p w14:paraId="6EA05CE3" w14:textId="77777777" w:rsidR="006F4305" w:rsidRPr="006F4305" w:rsidRDefault="006F4305" w:rsidP="006F4305">
            <w:pPr>
              <w:spacing w:after="0" w:line="216" w:lineRule="auto"/>
              <w:jc w:val="right"/>
              <w:rPr>
                <w:rFonts w:ascii="Times New Roman" w:eastAsia="Times New Roman" w:hAnsi="Times New Roman" w:cs="Times New Roman"/>
                <w:sz w:val="20"/>
                <w:szCs w:val="20"/>
                <w:lang w:eastAsia="ru-RU"/>
              </w:rPr>
            </w:pPr>
            <w:r w:rsidRPr="006F4305">
              <w:rPr>
                <w:rFonts w:ascii="Times New Roman" w:eastAsia="Times New Roman" w:hAnsi="Times New Roman" w:cs="Times New Roman"/>
                <w:sz w:val="20"/>
                <w:szCs w:val="20"/>
                <w:lang w:eastAsia="ru-RU"/>
              </w:rPr>
              <w:t>0,0</w:t>
            </w:r>
          </w:p>
        </w:tc>
      </w:tr>
      <w:tr w:rsidR="006F4305" w:rsidRPr="006F4305" w14:paraId="01409C0F" w14:textId="77777777" w:rsidTr="00545B6E">
        <w:trPr>
          <w:trHeight w:val="540"/>
        </w:trPr>
        <w:tc>
          <w:tcPr>
            <w:tcW w:w="3403" w:type="dxa"/>
            <w:shd w:val="clear" w:color="000000" w:fill="FFFFFF"/>
            <w:hideMark/>
          </w:tcPr>
          <w:p w14:paraId="55B34F64"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3. </w:t>
            </w:r>
            <w:r w:rsidRPr="006F4305">
              <w:rPr>
                <w:rFonts w:ascii="Times New Roman" w:eastAsia="Times New Roman" w:hAnsi="Times New Roman" w:cs="Times New Roman"/>
                <w:color w:val="000000"/>
                <w:sz w:val="20"/>
                <w:szCs w:val="20"/>
                <w:lang w:eastAsia="ru-RU"/>
              </w:rPr>
              <w:t>«Системные меры содействия международной кооперации и экспорту »</w:t>
            </w:r>
          </w:p>
        </w:tc>
        <w:tc>
          <w:tcPr>
            <w:tcW w:w="1276" w:type="dxa"/>
            <w:shd w:val="clear" w:color="000000" w:fill="FFFFFF"/>
            <w:hideMark/>
          </w:tcPr>
          <w:p w14:paraId="5AF9887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31F62975"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0" w:type="dxa"/>
            <w:shd w:val="clear" w:color="000000" w:fill="FFFFFF"/>
            <w:hideMark/>
          </w:tcPr>
          <w:p w14:paraId="4BA1459F"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742" w:type="dxa"/>
            <w:shd w:val="clear" w:color="000000" w:fill="FFFFFF"/>
            <w:hideMark/>
          </w:tcPr>
          <w:p w14:paraId="04F8AF9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021" w:type="dxa"/>
            <w:shd w:val="clear" w:color="000000" w:fill="FFFFFF"/>
            <w:hideMark/>
          </w:tcPr>
          <w:p w14:paraId="5376057B"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3" w:type="dxa"/>
            <w:shd w:val="clear" w:color="000000" w:fill="FFFFFF"/>
            <w:hideMark/>
          </w:tcPr>
          <w:p w14:paraId="71BD2BA7"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r>
      <w:tr w:rsidR="006F4305" w:rsidRPr="006F4305" w14:paraId="644BEFB8" w14:textId="77777777" w:rsidTr="00217EBD">
        <w:trPr>
          <w:trHeight w:val="540"/>
        </w:trPr>
        <w:tc>
          <w:tcPr>
            <w:tcW w:w="3403" w:type="dxa"/>
            <w:shd w:val="clear" w:color="auto" w:fill="D9E2F3" w:themeFill="accent1" w:themeFillTint="33"/>
            <w:hideMark/>
          </w:tcPr>
          <w:p w14:paraId="26AF9EA1" w14:textId="77777777" w:rsidR="006F4305" w:rsidRPr="006F4305" w:rsidRDefault="006F4305" w:rsidP="006F4305">
            <w:pPr>
              <w:spacing w:after="0" w:line="216" w:lineRule="auto"/>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«ПРОИЗВОДИТЕЛЬНОСТЬ ТРУДА И ПОДДЕРЖКА ЗАНЯТОСТИ»</w:t>
            </w:r>
          </w:p>
        </w:tc>
        <w:tc>
          <w:tcPr>
            <w:tcW w:w="1276" w:type="dxa"/>
            <w:shd w:val="clear" w:color="auto" w:fill="D9E2F3" w:themeFill="accent1" w:themeFillTint="33"/>
            <w:hideMark/>
          </w:tcPr>
          <w:p w14:paraId="3A653C4A"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0,0</w:t>
            </w:r>
          </w:p>
        </w:tc>
        <w:tc>
          <w:tcPr>
            <w:tcW w:w="1275" w:type="dxa"/>
            <w:shd w:val="clear" w:color="auto" w:fill="D9E2F3" w:themeFill="accent1" w:themeFillTint="33"/>
            <w:hideMark/>
          </w:tcPr>
          <w:p w14:paraId="58C6B1E5"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0,0</w:t>
            </w:r>
          </w:p>
        </w:tc>
        <w:tc>
          <w:tcPr>
            <w:tcW w:w="960" w:type="dxa"/>
            <w:shd w:val="clear" w:color="auto" w:fill="D9E2F3" w:themeFill="accent1" w:themeFillTint="33"/>
            <w:hideMark/>
          </w:tcPr>
          <w:p w14:paraId="59A3799A"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0,0</w:t>
            </w:r>
          </w:p>
        </w:tc>
        <w:tc>
          <w:tcPr>
            <w:tcW w:w="742" w:type="dxa"/>
            <w:shd w:val="clear" w:color="auto" w:fill="D9E2F3" w:themeFill="accent1" w:themeFillTint="33"/>
            <w:hideMark/>
          </w:tcPr>
          <w:p w14:paraId="6F7CF9DC"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c>
          <w:tcPr>
            <w:tcW w:w="1021" w:type="dxa"/>
            <w:shd w:val="clear" w:color="auto" w:fill="D9E2F3" w:themeFill="accent1" w:themeFillTint="33"/>
            <w:hideMark/>
          </w:tcPr>
          <w:p w14:paraId="288A62DC"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c>
          <w:tcPr>
            <w:tcW w:w="963" w:type="dxa"/>
            <w:shd w:val="clear" w:color="auto" w:fill="D9E2F3" w:themeFill="accent1" w:themeFillTint="33"/>
            <w:hideMark/>
          </w:tcPr>
          <w:p w14:paraId="5FFF682A"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r>
      <w:tr w:rsidR="006F4305" w:rsidRPr="006F4305" w14:paraId="4982CDF6" w14:textId="77777777" w:rsidTr="00545B6E">
        <w:trPr>
          <w:trHeight w:val="417"/>
        </w:trPr>
        <w:tc>
          <w:tcPr>
            <w:tcW w:w="3403" w:type="dxa"/>
            <w:shd w:val="clear" w:color="000000" w:fill="FFFFFF"/>
            <w:hideMark/>
          </w:tcPr>
          <w:p w14:paraId="5038453A"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1.</w:t>
            </w:r>
            <w:r w:rsidRPr="006F4305">
              <w:rPr>
                <w:rFonts w:ascii="Times New Roman" w:eastAsia="Times New Roman" w:hAnsi="Times New Roman" w:cs="Times New Roman"/>
                <w:color w:val="000000"/>
                <w:sz w:val="20"/>
                <w:szCs w:val="20"/>
                <w:lang w:eastAsia="ru-RU"/>
              </w:rPr>
              <w:t xml:space="preserve"> «Системные меры по повышению производительности труда" </w:t>
            </w:r>
          </w:p>
        </w:tc>
        <w:tc>
          <w:tcPr>
            <w:tcW w:w="1276" w:type="dxa"/>
            <w:shd w:val="clear" w:color="000000" w:fill="FFFFFF"/>
            <w:hideMark/>
          </w:tcPr>
          <w:p w14:paraId="19C4A4AE"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27EE5C30"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0" w:type="dxa"/>
            <w:shd w:val="clear" w:color="000000" w:fill="FFFFFF"/>
            <w:hideMark/>
          </w:tcPr>
          <w:p w14:paraId="7E536105"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742" w:type="dxa"/>
            <w:shd w:val="clear" w:color="000000" w:fill="FFFFFF"/>
            <w:hideMark/>
          </w:tcPr>
          <w:p w14:paraId="5FBDF6DF"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021" w:type="dxa"/>
            <w:shd w:val="clear" w:color="000000" w:fill="FFFFFF"/>
            <w:hideMark/>
          </w:tcPr>
          <w:p w14:paraId="15B4C52C"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3" w:type="dxa"/>
            <w:shd w:val="clear" w:color="000000" w:fill="FFFFFF"/>
            <w:hideMark/>
          </w:tcPr>
          <w:p w14:paraId="52FCDBA3"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r>
      <w:tr w:rsidR="006F4305" w:rsidRPr="006F4305" w14:paraId="639C4C90" w14:textId="77777777" w:rsidTr="00545B6E">
        <w:trPr>
          <w:trHeight w:val="280"/>
        </w:trPr>
        <w:tc>
          <w:tcPr>
            <w:tcW w:w="3403" w:type="dxa"/>
            <w:shd w:val="clear" w:color="000000" w:fill="FFFFFF"/>
            <w:hideMark/>
          </w:tcPr>
          <w:p w14:paraId="3A2436BA" w14:textId="77777777" w:rsidR="006F4305" w:rsidRPr="006F4305" w:rsidRDefault="006F4305" w:rsidP="006F4305">
            <w:pPr>
              <w:spacing w:after="0" w:line="216" w:lineRule="auto"/>
              <w:jc w:val="both"/>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2. </w:t>
            </w:r>
            <w:r w:rsidRPr="006F4305">
              <w:rPr>
                <w:rFonts w:ascii="Times New Roman" w:eastAsia="Times New Roman" w:hAnsi="Times New Roman" w:cs="Times New Roman"/>
                <w:color w:val="000000"/>
                <w:sz w:val="20"/>
                <w:szCs w:val="20"/>
                <w:lang w:eastAsia="ru-RU"/>
              </w:rPr>
              <w:t>«Адресная поддержка повышения труда на предприятиях»</w:t>
            </w:r>
          </w:p>
        </w:tc>
        <w:tc>
          <w:tcPr>
            <w:tcW w:w="1276" w:type="dxa"/>
            <w:shd w:val="clear" w:color="000000" w:fill="FFFFFF"/>
            <w:hideMark/>
          </w:tcPr>
          <w:p w14:paraId="1A5447AD"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275" w:type="dxa"/>
            <w:shd w:val="clear" w:color="000000" w:fill="FFFFFF"/>
            <w:hideMark/>
          </w:tcPr>
          <w:p w14:paraId="2E4E83FA"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0" w:type="dxa"/>
            <w:shd w:val="clear" w:color="000000" w:fill="FFFFFF"/>
            <w:hideMark/>
          </w:tcPr>
          <w:p w14:paraId="1529D647"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742" w:type="dxa"/>
            <w:shd w:val="clear" w:color="000000" w:fill="FFFFFF"/>
            <w:hideMark/>
          </w:tcPr>
          <w:p w14:paraId="010E2E13"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1021" w:type="dxa"/>
            <w:shd w:val="clear" w:color="000000" w:fill="FFFFFF"/>
            <w:hideMark/>
          </w:tcPr>
          <w:p w14:paraId="180A3EEF"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c>
          <w:tcPr>
            <w:tcW w:w="963" w:type="dxa"/>
            <w:shd w:val="clear" w:color="000000" w:fill="FFFFFF"/>
            <w:hideMark/>
          </w:tcPr>
          <w:p w14:paraId="5C1D1ADC" w14:textId="77777777" w:rsidR="006F4305" w:rsidRPr="006F4305" w:rsidRDefault="006F4305" w:rsidP="006F4305">
            <w:pPr>
              <w:spacing w:after="0" w:line="216" w:lineRule="auto"/>
              <w:jc w:val="right"/>
              <w:rPr>
                <w:rFonts w:ascii="Times New Roman" w:eastAsia="Times New Roman" w:hAnsi="Times New Roman" w:cs="Times New Roman"/>
                <w:color w:val="000000"/>
                <w:sz w:val="20"/>
                <w:szCs w:val="20"/>
                <w:lang w:eastAsia="ru-RU"/>
              </w:rPr>
            </w:pPr>
            <w:r w:rsidRPr="006F4305">
              <w:rPr>
                <w:rFonts w:ascii="Times New Roman" w:eastAsia="Times New Roman" w:hAnsi="Times New Roman" w:cs="Times New Roman"/>
                <w:color w:val="000000"/>
                <w:sz w:val="20"/>
                <w:szCs w:val="20"/>
                <w:lang w:eastAsia="ru-RU"/>
              </w:rPr>
              <w:t>0,0</w:t>
            </w:r>
          </w:p>
        </w:tc>
      </w:tr>
      <w:tr w:rsidR="006F4305" w:rsidRPr="006F4305" w14:paraId="74DA7CAC" w14:textId="77777777" w:rsidTr="00217EBD">
        <w:trPr>
          <w:trHeight w:val="300"/>
        </w:trPr>
        <w:tc>
          <w:tcPr>
            <w:tcW w:w="3403" w:type="dxa"/>
            <w:shd w:val="clear" w:color="auto" w:fill="D9E2F3" w:themeFill="accent1" w:themeFillTint="33"/>
            <w:hideMark/>
          </w:tcPr>
          <w:p w14:paraId="7E32225A" w14:textId="77777777" w:rsidR="006F4305" w:rsidRPr="006F4305" w:rsidRDefault="006F4305" w:rsidP="006F4305">
            <w:pPr>
              <w:spacing w:after="0" w:line="216" w:lineRule="auto"/>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НП «НАУКА И УНИВЕРСИТЕТЫ»</w:t>
            </w:r>
          </w:p>
        </w:tc>
        <w:tc>
          <w:tcPr>
            <w:tcW w:w="1276" w:type="dxa"/>
            <w:shd w:val="clear" w:color="auto" w:fill="D9E2F3" w:themeFill="accent1" w:themeFillTint="33"/>
            <w:hideMark/>
          </w:tcPr>
          <w:p w14:paraId="645CC211"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0,0</w:t>
            </w:r>
          </w:p>
        </w:tc>
        <w:tc>
          <w:tcPr>
            <w:tcW w:w="1275" w:type="dxa"/>
            <w:shd w:val="clear" w:color="auto" w:fill="D9E2F3" w:themeFill="accent1" w:themeFillTint="33"/>
            <w:hideMark/>
          </w:tcPr>
          <w:p w14:paraId="558DEB41"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0,0</w:t>
            </w:r>
          </w:p>
        </w:tc>
        <w:tc>
          <w:tcPr>
            <w:tcW w:w="960" w:type="dxa"/>
            <w:shd w:val="clear" w:color="auto" w:fill="D9E2F3" w:themeFill="accent1" w:themeFillTint="33"/>
            <w:hideMark/>
          </w:tcPr>
          <w:p w14:paraId="4086F7BA" w14:textId="77777777" w:rsidR="006F4305" w:rsidRPr="006F4305" w:rsidRDefault="006F4305" w:rsidP="006F4305">
            <w:pPr>
              <w:spacing w:after="0" w:line="216" w:lineRule="auto"/>
              <w:jc w:val="right"/>
              <w:rPr>
                <w:rFonts w:ascii="Times New Roman" w:eastAsia="Times New Roman" w:hAnsi="Times New Roman" w:cs="Times New Roman"/>
                <w:b/>
                <w:bCs/>
                <w:color w:val="000000"/>
                <w:sz w:val="20"/>
                <w:szCs w:val="20"/>
                <w:lang w:eastAsia="ru-RU"/>
              </w:rPr>
            </w:pPr>
            <w:r w:rsidRPr="006F4305">
              <w:rPr>
                <w:rFonts w:ascii="Times New Roman" w:eastAsia="Times New Roman" w:hAnsi="Times New Roman" w:cs="Times New Roman"/>
                <w:b/>
                <w:bCs/>
                <w:color w:val="000000"/>
                <w:sz w:val="20"/>
                <w:szCs w:val="20"/>
                <w:lang w:eastAsia="ru-RU"/>
              </w:rPr>
              <w:t>0,0</w:t>
            </w:r>
          </w:p>
        </w:tc>
        <w:tc>
          <w:tcPr>
            <w:tcW w:w="742" w:type="dxa"/>
            <w:shd w:val="clear" w:color="auto" w:fill="D9E2F3" w:themeFill="accent1" w:themeFillTint="33"/>
            <w:hideMark/>
          </w:tcPr>
          <w:p w14:paraId="14DA6F9E"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c>
          <w:tcPr>
            <w:tcW w:w="1021" w:type="dxa"/>
            <w:shd w:val="clear" w:color="auto" w:fill="D9E2F3" w:themeFill="accent1" w:themeFillTint="33"/>
            <w:hideMark/>
          </w:tcPr>
          <w:p w14:paraId="1AF8BA19"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c>
          <w:tcPr>
            <w:tcW w:w="963" w:type="dxa"/>
            <w:shd w:val="clear" w:color="auto" w:fill="D9E2F3" w:themeFill="accent1" w:themeFillTint="33"/>
            <w:hideMark/>
          </w:tcPr>
          <w:p w14:paraId="5307FF50" w14:textId="77777777" w:rsidR="006F4305" w:rsidRPr="006F4305" w:rsidRDefault="006F4305" w:rsidP="006F4305">
            <w:pPr>
              <w:spacing w:after="0" w:line="216" w:lineRule="auto"/>
              <w:jc w:val="right"/>
              <w:rPr>
                <w:rFonts w:ascii="Times New Roman" w:eastAsia="Times New Roman" w:hAnsi="Times New Roman" w:cs="Times New Roman"/>
                <w:b/>
                <w:bCs/>
                <w:sz w:val="20"/>
                <w:szCs w:val="20"/>
                <w:lang w:eastAsia="ru-RU"/>
              </w:rPr>
            </w:pPr>
            <w:r w:rsidRPr="006F4305">
              <w:rPr>
                <w:rFonts w:ascii="Times New Roman" w:eastAsia="Times New Roman" w:hAnsi="Times New Roman" w:cs="Times New Roman"/>
                <w:b/>
                <w:bCs/>
                <w:sz w:val="20"/>
                <w:szCs w:val="20"/>
                <w:lang w:eastAsia="ru-RU"/>
              </w:rPr>
              <w:t>0,0</w:t>
            </w:r>
          </w:p>
        </w:tc>
      </w:tr>
    </w:tbl>
    <w:p w14:paraId="7CEDBFCD"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
          <w:color w:val="002060"/>
          <w:sz w:val="28"/>
          <w:szCs w:val="28"/>
          <w:lang w:eastAsia="ru-RU"/>
        </w:rPr>
      </w:pPr>
    </w:p>
    <w:p w14:paraId="47E41C46"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
          <w:color w:val="002060"/>
          <w:sz w:val="28"/>
          <w:szCs w:val="28"/>
          <w:lang w:eastAsia="ru-RU"/>
        </w:rPr>
        <w:t>6.5.</w:t>
      </w:r>
      <w:r w:rsidRPr="006F4305">
        <w:rPr>
          <w:rFonts w:ascii="Times New Roman" w:eastAsia="Times New Roman" w:hAnsi="Times New Roman" w:cs="Times New Roman"/>
          <w:bCs/>
          <w:color w:val="002060"/>
          <w:sz w:val="28"/>
          <w:szCs w:val="28"/>
          <w:lang w:eastAsia="ru-RU"/>
        </w:rPr>
        <w:t xml:space="preserve"> </w:t>
      </w:r>
      <w:r w:rsidRPr="006F4305">
        <w:rPr>
          <w:rFonts w:ascii="Times New Roman" w:eastAsia="Times New Roman" w:hAnsi="Times New Roman" w:cs="Times New Roman"/>
          <w:bCs/>
          <w:sz w:val="28"/>
          <w:szCs w:val="28"/>
          <w:lang w:eastAsia="ru-RU"/>
        </w:rPr>
        <w:t>Анализ реализации мероприятий национальных (региональных) проектов за 2021 год показал следующее.</w:t>
      </w:r>
    </w:p>
    <w:p w14:paraId="151D8C90" w14:textId="77777777" w:rsidR="006F4305" w:rsidRPr="00FB55DE" w:rsidRDefault="006F4305" w:rsidP="006F4305">
      <w:pPr>
        <w:widowControl w:val="0"/>
        <w:spacing w:after="0" w:line="240" w:lineRule="auto"/>
        <w:ind w:firstLine="709"/>
        <w:jc w:val="both"/>
        <w:rPr>
          <w:rFonts w:ascii="Times New Roman" w:eastAsia="Times New Roman" w:hAnsi="Times New Roman" w:cs="Times New Roman"/>
          <w:b/>
          <w:color w:val="002060"/>
          <w:sz w:val="28"/>
          <w:szCs w:val="24"/>
          <w:lang w:eastAsia="ru-RU"/>
        </w:rPr>
      </w:pPr>
      <w:r w:rsidRPr="00FB55DE">
        <w:rPr>
          <w:rFonts w:ascii="Times New Roman" w:eastAsia="Times New Roman" w:hAnsi="Times New Roman" w:cs="Times New Roman"/>
          <w:b/>
          <w:color w:val="002060"/>
          <w:sz w:val="28"/>
          <w:szCs w:val="28"/>
          <w:lang w:eastAsia="ru-RU"/>
        </w:rPr>
        <w:t>6.5.1. Н</w:t>
      </w:r>
      <w:r w:rsidRPr="00FB55DE">
        <w:rPr>
          <w:rFonts w:ascii="Times New Roman" w:eastAsia="Times New Roman" w:hAnsi="Times New Roman" w:cs="Times New Roman"/>
          <w:b/>
          <w:color w:val="002060"/>
          <w:sz w:val="28"/>
          <w:szCs w:val="24"/>
          <w:lang w:eastAsia="ru-RU"/>
        </w:rPr>
        <w:t xml:space="preserve">ациональный проект «Демография». </w:t>
      </w:r>
    </w:p>
    <w:p w14:paraId="29A62FB4"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В 2021 году на реализацию национального проекта</w:t>
      </w:r>
      <w:r w:rsidRPr="006F4305">
        <w:rPr>
          <w:rFonts w:ascii="Times New Roman" w:eastAsia="Times New Roman" w:hAnsi="Times New Roman" w:cs="Times New Roman"/>
          <w:b/>
          <w:bCs/>
          <w:sz w:val="28"/>
          <w:szCs w:val="24"/>
          <w:lang w:eastAsia="ru-RU"/>
        </w:rPr>
        <w:t xml:space="preserve"> </w:t>
      </w:r>
      <w:r w:rsidRPr="006F4305">
        <w:rPr>
          <w:rFonts w:ascii="Times New Roman" w:eastAsia="Times New Roman" w:hAnsi="Times New Roman" w:cs="Times New Roman"/>
          <w:sz w:val="28"/>
          <w:szCs w:val="24"/>
          <w:lang w:eastAsia="ru-RU"/>
        </w:rPr>
        <w:t xml:space="preserve">«Демография» </w:t>
      </w:r>
      <w:r w:rsidRPr="006F4305">
        <w:rPr>
          <w:rFonts w:ascii="Times New Roman" w:eastAsia="Calibri" w:hAnsi="Times New Roman" w:cs="Times New Roman"/>
          <w:sz w:val="28"/>
          <w:szCs w:val="28"/>
          <w:lang w:eastAsia="ru-RU"/>
        </w:rPr>
        <w:t>профинансированы расходы в сумме 7 812,</w:t>
      </w:r>
      <w:r w:rsidRPr="006F4305">
        <w:rPr>
          <w:rFonts w:ascii="Times New Roman" w:eastAsia="Calibri" w:hAnsi="Times New Roman" w:cs="Times New Roman"/>
          <w:bCs/>
          <w:sz w:val="28"/>
          <w:szCs w:val="28"/>
          <w:lang w:eastAsia="ru-RU"/>
        </w:rPr>
        <w:t>6 млн рублей</w:t>
      </w:r>
      <w:r w:rsidRPr="006F4305">
        <w:rPr>
          <w:rFonts w:ascii="Times New Roman" w:eastAsia="Calibri" w:hAnsi="Times New Roman" w:cs="Times New Roman"/>
          <w:sz w:val="28"/>
          <w:szCs w:val="28"/>
          <w:lang w:eastAsia="ru-RU"/>
        </w:rPr>
        <w:t>, или 100 % от годовых назначений (за счет федерального бюджета – 7 240,7 млн рублей, республиканского бюджета Республики Дагестан – 448,8 млн рублей, средства ТФОМС – 123,0 млн рублей).</w:t>
      </w:r>
    </w:p>
    <w:p w14:paraId="6780D97D"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На 1 января 2022 года освоение средств составило 6 329,8</w:t>
      </w:r>
      <w:r w:rsidRPr="006F4305">
        <w:rPr>
          <w:rFonts w:ascii="Times New Roman" w:eastAsia="Calibri" w:hAnsi="Times New Roman" w:cs="Times New Roman"/>
          <w:color w:val="FF0000"/>
          <w:sz w:val="28"/>
          <w:szCs w:val="28"/>
          <w:lang w:eastAsia="ru-RU"/>
        </w:rPr>
        <w:t xml:space="preserve"> </w:t>
      </w:r>
      <w:r w:rsidRPr="006F4305">
        <w:rPr>
          <w:rFonts w:ascii="Times New Roman" w:eastAsia="Calibri" w:hAnsi="Times New Roman" w:cs="Times New Roman"/>
          <w:sz w:val="28"/>
          <w:szCs w:val="28"/>
          <w:lang w:eastAsia="ru-RU"/>
        </w:rPr>
        <w:t>млн рублей, или 81,0 % от объема финансирования (7 812,6 млн рублей). По итогам года неиспользованный (неосвоенный) остаток составил 1 482,7 млн рублей, или 19,0 % от объема годовых назначений.</w:t>
      </w:r>
    </w:p>
    <w:p w14:paraId="55248D17"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В 2021 году по нацпроекту «Демография» из 5 региональных проектов финансирование осуществлялось по 4 региональным проектам.  </w:t>
      </w:r>
    </w:p>
    <w:p w14:paraId="76458EC8"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Calibri" w:hAnsi="Times New Roman" w:cs="Times New Roman"/>
          <w:sz w:val="28"/>
          <w:szCs w:val="28"/>
          <w:lang w:eastAsia="ru-RU"/>
        </w:rPr>
        <w:t>В рамках национального проекта бюджетные средства направленны на финансирование мероприятий 4 региональных проектов, в том числе</w:t>
      </w:r>
      <w:r w:rsidRPr="006F4305">
        <w:rPr>
          <w:rFonts w:ascii="Times New Roman" w:eastAsia="Times New Roman" w:hAnsi="Times New Roman" w:cs="Times New Roman"/>
          <w:sz w:val="28"/>
          <w:szCs w:val="24"/>
          <w:lang w:eastAsia="ru-RU"/>
        </w:rPr>
        <w:t>:</w:t>
      </w:r>
    </w:p>
    <w:p w14:paraId="65839048"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FB55DE">
        <w:rPr>
          <w:rFonts w:ascii="Times New Roman" w:eastAsia="Times New Roman" w:hAnsi="Times New Roman" w:cs="Times New Roman"/>
          <w:b/>
          <w:bCs/>
          <w:iCs/>
          <w:color w:val="002060"/>
          <w:sz w:val="28"/>
          <w:szCs w:val="24"/>
          <w:lang w:eastAsia="ru-RU"/>
        </w:rPr>
        <w:t>1)</w:t>
      </w:r>
      <w:r w:rsidRPr="00FB55DE">
        <w:rPr>
          <w:rFonts w:ascii="Times New Roman" w:eastAsia="Times New Roman" w:hAnsi="Times New Roman" w:cs="Times New Roman"/>
          <w:iCs/>
          <w:color w:val="002060"/>
          <w:sz w:val="28"/>
          <w:szCs w:val="24"/>
          <w:lang w:eastAsia="ru-RU"/>
        </w:rPr>
        <w:t xml:space="preserve"> </w:t>
      </w:r>
      <w:r w:rsidRPr="00FB55DE">
        <w:rPr>
          <w:rFonts w:ascii="Times New Roman" w:eastAsia="Times New Roman" w:hAnsi="Times New Roman" w:cs="Times New Roman"/>
          <w:b/>
          <w:bCs/>
          <w:iCs/>
          <w:color w:val="002060"/>
          <w:sz w:val="28"/>
          <w:szCs w:val="24"/>
          <w:lang w:eastAsia="ru-RU"/>
        </w:rPr>
        <w:t>Региональный проект «</w:t>
      </w:r>
      <w:r w:rsidRPr="00FB55DE">
        <w:rPr>
          <w:rFonts w:ascii="Times New Roman" w:eastAsia="Calibri" w:hAnsi="Times New Roman" w:cs="Times New Roman"/>
          <w:b/>
          <w:bCs/>
          <w:iCs/>
          <w:color w:val="002060"/>
          <w:sz w:val="28"/>
          <w:szCs w:val="28"/>
          <w:lang w:eastAsia="ru-RU"/>
        </w:rPr>
        <w:t xml:space="preserve">Финансовая поддержка семей при </w:t>
      </w:r>
      <w:r w:rsidRPr="00FB55DE">
        <w:rPr>
          <w:rFonts w:ascii="Times New Roman" w:eastAsia="Calibri" w:hAnsi="Times New Roman" w:cs="Times New Roman"/>
          <w:b/>
          <w:bCs/>
          <w:iCs/>
          <w:color w:val="002060"/>
          <w:sz w:val="28"/>
          <w:szCs w:val="28"/>
          <w:lang w:eastAsia="ru-RU"/>
        </w:rPr>
        <w:lastRenderedPageBreak/>
        <w:t>рождении детей»</w:t>
      </w:r>
      <w:r w:rsidRPr="00FB55DE">
        <w:rPr>
          <w:rFonts w:ascii="Times New Roman" w:eastAsia="Calibri" w:hAnsi="Times New Roman" w:cs="Times New Roman"/>
          <w:b/>
          <w:iCs/>
          <w:color w:val="002060"/>
          <w:sz w:val="28"/>
          <w:szCs w:val="28"/>
          <w:lang w:eastAsia="ru-RU"/>
        </w:rPr>
        <w:t xml:space="preserve"> – 4</w:t>
      </w:r>
      <w:r w:rsidRPr="00FB55DE">
        <w:rPr>
          <w:rFonts w:ascii="Times New Roman" w:eastAsia="Calibri" w:hAnsi="Times New Roman" w:cs="Times New Roman"/>
          <w:b/>
          <w:bCs/>
          <w:iCs/>
          <w:color w:val="002060"/>
          <w:sz w:val="28"/>
          <w:szCs w:val="28"/>
          <w:lang w:eastAsia="ru-RU"/>
        </w:rPr>
        <w:t> 898,4 млн рублей,</w:t>
      </w:r>
      <w:r w:rsidRPr="00FB55DE">
        <w:rPr>
          <w:rFonts w:ascii="Times New Roman" w:eastAsia="Calibri" w:hAnsi="Times New Roman" w:cs="Times New Roman"/>
          <w:b/>
          <w:bCs/>
          <w:i/>
          <w:color w:val="002060"/>
          <w:sz w:val="28"/>
          <w:szCs w:val="28"/>
          <w:lang w:eastAsia="ru-RU"/>
        </w:rPr>
        <w:t xml:space="preserve"> </w:t>
      </w:r>
      <w:r w:rsidRPr="006F4305">
        <w:rPr>
          <w:rFonts w:ascii="Times New Roman" w:eastAsia="Times New Roman" w:hAnsi="Times New Roman" w:cs="Times New Roman"/>
          <w:sz w:val="28"/>
          <w:szCs w:val="24"/>
          <w:lang w:eastAsia="ru-RU"/>
        </w:rPr>
        <w:t xml:space="preserve">или 100 % от годовых назначений. </w:t>
      </w:r>
    </w:p>
    <w:p w14:paraId="0342FD4A"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на </w:t>
      </w:r>
      <w:r w:rsidRPr="006F4305">
        <w:rPr>
          <w:rFonts w:ascii="Times New Roman" w:eastAsia="Times New Roman" w:hAnsi="Times New Roman" w:cs="Times New Roman"/>
          <w:sz w:val="28"/>
          <w:szCs w:val="24"/>
          <w:lang w:eastAsia="ru-RU"/>
        </w:rPr>
        <w:t xml:space="preserve">ежемесячные выплаты на первого ребенка – 12,4 тыс. семей (с начала года). Всего с начала реализации регионального проекта (2019 год) указанные выплаты </w:t>
      </w:r>
      <w:r w:rsidRPr="006F4305">
        <w:rPr>
          <w:rFonts w:ascii="Times New Roman" w:eastAsia="Times New Roman" w:hAnsi="Times New Roman" w:cs="Times New Roman"/>
          <w:sz w:val="28"/>
          <w:szCs w:val="28"/>
          <w:shd w:val="clear" w:color="auto" w:fill="FFFFFF"/>
          <w:lang w:eastAsia="ru-RU"/>
        </w:rPr>
        <w:t>получили 48,5 тыс. семей</w:t>
      </w:r>
      <w:r w:rsidRPr="006F4305">
        <w:rPr>
          <w:rFonts w:ascii="Times New Roman" w:eastAsia="Arial Unicode MS" w:hAnsi="Times New Roman" w:cs="Times New Roman"/>
          <w:bCs/>
          <w:sz w:val="28"/>
          <w:szCs w:val="28"/>
          <w:u w:color="000000"/>
          <w:lang w:eastAsia="ru-RU"/>
        </w:rPr>
        <w:t xml:space="preserve">, или 107,8 % от планового объема </w:t>
      </w:r>
      <w:r w:rsidRPr="006F4305">
        <w:rPr>
          <w:rFonts w:ascii="Times New Roman" w:eastAsia="Arial Unicode MS" w:hAnsi="Times New Roman" w:cs="Times New Roman"/>
          <w:bCs/>
          <w:sz w:val="28"/>
          <w:szCs w:val="28"/>
          <w:u w:color="000000"/>
          <w:lang w:eastAsia="ru-RU"/>
        </w:rPr>
        <w:br/>
        <w:t>(45,0 тыс. семей).</w:t>
      </w:r>
    </w:p>
    <w:p w14:paraId="3BFBBF46"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Arial Unicode MS" w:hAnsi="Times New Roman" w:cs="Times New Roman"/>
          <w:bCs/>
          <w:sz w:val="28"/>
          <w:szCs w:val="28"/>
          <w:u w:color="000000"/>
          <w:lang w:eastAsia="ru-RU"/>
        </w:rPr>
        <w:t xml:space="preserve">За счет средств Фонда обязательного медицинского страхования </w:t>
      </w:r>
      <w:r w:rsidRPr="006F4305">
        <w:rPr>
          <w:rFonts w:ascii="Times New Roman" w:eastAsia="Arial Unicode MS" w:hAnsi="Times New Roman" w:cs="Times New Roman"/>
          <w:bCs/>
          <w:sz w:val="28"/>
          <w:szCs w:val="28"/>
          <w:u w:color="000000"/>
          <w:lang w:eastAsia="ru-RU"/>
        </w:rPr>
        <w:br/>
        <w:t xml:space="preserve">(123,0 млн рублей) обеспечено выполнение 1 290 процедур экстракорпорального оплодотворения семьям, страдающим бесплодием, или </w:t>
      </w:r>
      <w:r w:rsidRPr="006F4305">
        <w:rPr>
          <w:rFonts w:ascii="Times New Roman" w:eastAsia="Arial Unicode MS" w:hAnsi="Times New Roman" w:cs="Times New Roman"/>
          <w:bCs/>
          <w:sz w:val="28"/>
          <w:szCs w:val="28"/>
          <w:u w:color="000000"/>
          <w:lang w:eastAsia="ru-RU"/>
        </w:rPr>
        <w:br/>
        <w:t xml:space="preserve">108,4 % от планового объема (1 190 процедур). </w:t>
      </w:r>
      <w:r w:rsidRPr="006F4305">
        <w:rPr>
          <w:rFonts w:ascii="Times New Roman" w:eastAsia="Calibri" w:hAnsi="Times New Roman" w:cs="Times New Roman"/>
          <w:sz w:val="28"/>
          <w:szCs w:val="28"/>
          <w:lang w:eastAsia="ru-RU"/>
        </w:rPr>
        <w:t>В то же время, согласно дополнительному соглашению от 17.12.2021 г. № 149-2019-P10023-1/5), количество плановых процедур на 2021 год уменьшено с 1600 процедур до 1 190 процедур.</w:t>
      </w:r>
    </w:p>
    <w:p w14:paraId="43E5AD89"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 xml:space="preserve">По состоянию на 1 января 2022 года фактически освоено </w:t>
      </w:r>
      <w:r w:rsidRPr="006F4305">
        <w:rPr>
          <w:rFonts w:ascii="Times New Roman" w:eastAsia="Times New Roman" w:hAnsi="Times New Roman" w:cs="Times New Roman"/>
          <w:sz w:val="28"/>
          <w:szCs w:val="24"/>
          <w:lang w:eastAsia="ru-RU"/>
        </w:rPr>
        <w:br/>
        <w:t xml:space="preserve">4 898,0 млн рублей, или 99,9 % от объема финансирования (4 898,4 млн рублей), в том числе по ежемесячным выплатам – 4 775,0 млн рублей, процедурам ЭКО за счет средств ТФОМС – 123,0 млн рублей. Неиспользованный (неосвоенный) остаток бюджетных средств составил </w:t>
      </w:r>
      <w:r w:rsidRPr="006F4305">
        <w:rPr>
          <w:rFonts w:ascii="Times New Roman" w:eastAsia="Times New Roman" w:hAnsi="Times New Roman" w:cs="Times New Roman"/>
          <w:sz w:val="28"/>
          <w:szCs w:val="24"/>
          <w:lang w:eastAsia="ru-RU"/>
        </w:rPr>
        <w:br/>
      </w:r>
      <w:r w:rsidRPr="006F4305">
        <w:rPr>
          <w:rFonts w:ascii="Times New Roman" w:eastAsia="Calibri" w:hAnsi="Times New Roman" w:cs="Times New Roman"/>
          <w:sz w:val="28"/>
          <w:szCs w:val="28"/>
          <w:lang w:eastAsia="ru-RU"/>
        </w:rPr>
        <w:t xml:space="preserve">0,3 млн рублей, или 0,01 % от годовых назначений. </w:t>
      </w:r>
    </w:p>
    <w:p w14:paraId="5D3F27BA"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Целевой показатель регионального проекта «Количество семей, получивших ежемесячные выплаты в связи с рождением (усыновлением) первого ребенка» выполнен на 107,8 % (план – 45,0 тыс. семей, факт – </w:t>
      </w:r>
      <w:r w:rsidRPr="006F4305">
        <w:rPr>
          <w:rFonts w:ascii="Times New Roman" w:eastAsia="Calibri" w:hAnsi="Times New Roman" w:cs="Times New Roman"/>
          <w:sz w:val="28"/>
          <w:szCs w:val="28"/>
          <w:lang w:eastAsia="ru-RU"/>
        </w:rPr>
        <w:br/>
        <w:t>48,3 тыс. семей).</w:t>
      </w:r>
    </w:p>
    <w:p w14:paraId="5AE3E4EF"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4"/>
          <w:lang w:eastAsia="ru-RU"/>
        </w:rPr>
      </w:pPr>
      <w:r w:rsidRPr="00FB55DE">
        <w:rPr>
          <w:rFonts w:ascii="Times New Roman" w:eastAsia="Times New Roman" w:hAnsi="Times New Roman" w:cs="Times New Roman"/>
          <w:b/>
          <w:bCs/>
          <w:color w:val="002060"/>
          <w:sz w:val="28"/>
          <w:szCs w:val="24"/>
          <w:lang w:eastAsia="ru-RU"/>
        </w:rPr>
        <w:t>2)</w:t>
      </w:r>
      <w:r w:rsidRPr="00FB55DE">
        <w:rPr>
          <w:rFonts w:ascii="Times New Roman" w:eastAsia="Times New Roman" w:hAnsi="Times New Roman" w:cs="Times New Roman"/>
          <w:color w:val="002060"/>
          <w:sz w:val="28"/>
          <w:szCs w:val="24"/>
          <w:lang w:eastAsia="ru-RU"/>
        </w:rPr>
        <w:t xml:space="preserve"> </w:t>
      </w:r>
      <w:r w:rsidRPr="00FB55DE">
        <w:rPr>
          <w:rFonts w:ascii="Times New Roman" w:eastAsia="Times New Roman" w:hAnsi="Times New Roman" w:cs="Times New Roman"/>
          <w:b/>
          <w:bCs/>
          <w:color w:val="002060"/>
          <w:sz w:val="28"/>
          <w:szCs w:val="24"/>
          <w:lang w:eastAsia="ru-RU"/>
        </w:rPr>
        <w:t>Региональный проект</w:t>
      </w:r>
      <w:r w:rsidRPr="00FB55DE">
        <w:rPr>
          <w:rFonts w:ascii="Times New Roman" w:eastAsia="Times New Roman" w:hAnsi="Times New Roman" w:cs="Times New Roman"/>
          <w:color w:val="002060"/>
          <w:sz w:val="28"/>
          <w:szCs w:val="24"/>
          <w:lang w:eastAsia="ru-RU"/>
        </w:rPr>
        <w:t xml:space="preserve"> </w:t>
      </w:r>
      <w:r w:rsidRPr="00FB55DE">
        <w:rPr>
          <w:rFonts w:ascii="Times New Roman" w:eastAsia="Times New Roman" w:hAnsi="Times New Roman" w:cs="Times New Roman"/>
          <w:b/>
          <w:bCs/>
          <w:color w:val="002060"/>
          <w:sz w:val="28"/>
          <w:szCs w:val="24"/>
          <w:lang w:eastAsia="ru-RU"/>
        </w:rPr>
        <w:t xml:space="preserve">«Содействие занятости» </w:t>
      </w:r>
      <w:r w:rsidRPr="00FB55DE">
        <w:rPr>
          <w:rFonts w:ascii="Times New Roman" w:eastAsia="Times New Roman" w:hAnsi="Times New Roman" w:cs="Times New Roman"/>
          <w:b/>
          <w:color w:val="002060"/>
          <w:sz w:val="28"/>
          <w:szCs w:val="24"/>
          <w:lang w:eastAsia="ru-RU"/>
        </w:rPr>
        <w:t>– 2 818,4</w:t>
      </w:r>
      <w:r w:rsidRPr="00FB55DE">
        <w:rPr>
          <w:rFonts w:ascii="Times New Roman" w:eastAsia="Calibri" w:hAnsi="Times New Roman" w:cs="Times New Roman"/>
          <w:b/>
          <w:bCs/>
          <w:color w:val="002060"/>
          <w:sz w:val="28"/>
          <w:szCs w:val="28"/>
          <w:lang w:eastAsia="ru-RU"/>
        </w:rPr>
        <w:t xml:space="preserve"> </w:t>
      </w:r>
      <w:r w:rsidRPr="00FB55DE">
        <w:rPr>
          <w:rFonts w:ascii="Times New Roman" w:eastAsia="Times New Roman" w:hAnsi="Times New Roman" w:cs="Times New Roman"/>
          <w:b/>
          <w:bCs/>
          <w:color w:val="002060"/>
          <w:sz w:val="28"/>
          <w:szCs w:val="24"/>
          <w:lang w:eastAsia="ru-RU"/>
        </w:rPr>
        <w:t>млн рублей</w:t>
      </w:r>
      <w:r w:rsidRPr="006F4305">
        <w:rPr>
          <w:rFonts w:ascii="Times New Roman" w:eastAsia="Times New Roman" w:hAnsi="Times New Roman" w:cs="Times New Roman"/>
          <w:sz w:val="28"/>
          <w:szCs w:val="24"/>
          <w:lang w:eastAsia="ru-RU"/>
        </w:rPr>
        <w:t>, или 100 % от годовых назначений.</w:t>
      </w:r>
    </w:p>
    <w:p w14:paraId="73D280E9"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По состоянию на 1 января 2022 года фактически освоено 1 336,2 млн рублей, или 47,4 % от объема финансирования (2 818,4 млн рублей). Неиспользованный (неосвоенный) остаток средств составил </w:t>
      </w:r>
      <w:bookmarkStart w:id="38" w:name="_Hlk63081962"/>
      <w:r w:rsidRPr="006F4305">
        <w:rPr>
          <w:rFonts w:ascii="Times New Roman" w:eastAsia="Times New Roman" w:hAnsi="Times New Roman" w:cs="Times New Roman"/>
          <w:sz w:val="28"/>
          <w:szCs w:val="24"/>
          <w:lang w:eastAsia="ru-RU"/>
        </w:rPr>
        <w:t xml:space="preserve">1 482,3 млн рублей, или </w:t>
      </w:r>
      <w:bookmarkEnd w:id="38"/>
      <w:r w:rsidRPr="006F4305">
        <w:rPr>
          <w:rFonts w:ascii="Times New Roman" w:eastAsia="Times New Roman" w:hAnsi="Times New Roman" w:cs="Times New Roman"/>
          <w:sz w:val="28"/>
          <w:szCs w:val="24"/>
          <w:lang w:eastAsia="ru-RU"/>
        </w:rPr>
        <w:t xml:space="preserve">52,6 % от объема финансирования, в том числе средства федерального бюджета в сумме 1 230,2 млн рублей, подлежащие возврату в федеральный бюджет. </w:t>
      </w:r>
    </w:p>
    <w:p w14:paraId="6DA84D8C"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В рамках регионального проекта в 2021 году было предусмотрено </w:t>
      </w:r>
      <w:r w:rsidRPr="006F4305">
        <w:rPr>
          <w:rFonts w:ascii="Times New Roman" w:eastAsia="Arial" w:hAnsi="Times New Roman" w:cs="Times New Roman"/>
          <w:bCs/>
          <w:sz w:val="28"/>
          <w:szCs w:val="28"/>
          <w:lang w:eastAsia="ru-RU"/>
        </w:rPr>
        <w:t xml:space="preserve">строительство 58 объектов дошкольного образования, в том числе: </w:t>
      </w:r>
      <w:r w:rsidRPr="006F4305">
        <w:rPr>
          <w:rFonts w:ascii="Times New Roman" w:eastAsia="Times New Roman" w:hAnsi="Times New Roman" w:cs="Times New Roman"/>
          <w:sz w:val="28"/>
          <w:szCs w:val="24"/>
          <w:lang w:eastAsia="ru-RU"/>
        </w:rPr>
        <w:t xml:space="preserve">строительство и ввод в эксплуатацию 20 детских садов на 1 950 мест </w:t>
      </w:r>
      <w:r w:rsidRPr="006F4305">
        <w:rPr>
          <w:rFonts w:ascii="Times New Roman" w:eastAsia="Times New Roman" w:hAnsi="Times New Roman" w:cs="Times New Roman"/>
          <w:sz w:val="28"/>
          <w:szCs w:val="24"/>
          <w:lang w:eastAsia="ru-RU"/>
        </w:rPr>
        <w:br/>
        <w:t>(317,58 млн рублей)</w:t>
      </w:r>
      <w:r w:rsidRPr="006F4305">
        <w:rPr>
          <w:rFonts w:ascii="Times New Roman" w:eastAsia="Times New Roman" w:hAnsi="Times New Roman" w:cs="Times New Roman"/>
          <w:sz w:val="28"/>
          <w:szCs w:val="24"/>
          <w:vertAlign w:val="superscript"/>
          <w:lang w:eastAsia="ru-RU"/>
        </w:rPr>
        <w:footnoteReference w:id="1"/>
      </w:r>
      <w:r w:rsidRPr="006F4305">
        <w:rPr>
          <w:rFonts w:ascii="Times New Roman" w:eastAsia="Times New Roman" w:hAnsi="Times New Roman" w:cs="Times New Roman"/>
          <w:sz w:val="28"/>
          <w:szCs w:val="24"/>
          <w:lang w:eastAsia="ru-RU"/>
        </w:rPr>
        <w:t xml:space="preserve"> и 38 яслей на 6 750 мест (2 500,84 млн рублей). </w:t>
      </w:r>
    </w:p>
    <w:p w14:paraId="6CB3EB11"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По состоянию на 1 января 2022 года из 58 объектов:</w:t>
      </w:r>
    </w:p>
    <w:p w14:paraId="4D4DEB14"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sz w:val="28"/>
          <w:szCs w:val="28"/>
          <w:lang w:eastAsia="ru-RU"/>
        </w:rPr>
        <w:t xml:space="preserve">- по 29 объектам </w:t>
      </w:r>
      <w:r w:rsidRPr="006F4305">
        <w:rPr>
          <w:rFonts w:ascii="Times New Roman" w:eastAsia="Calibri" w:hAnsi="Times New Roman" w:cs="Times New Roman"/>
          <w:bCs/>
          <w:sz w:val="28"/>
          <w:szCs w:val="28"/>
          <w:lang w:eastAsia="ru-RU"/>
        </w:rPr>
        <w:t xml:space="preserve">получены разрешения на ввод в эксплуатацию и заключение о соответствии объекта (в том числе по 9 объектам получена лицензия на осуществление деятельности в сфере дошкольного образования); </w:t>
      </w:r>
    </w:p>
    <w:p w14:paraId="41403A81"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по 2 детсадам (ясли) на 500 мест строительные работы завершены;</w:t>
      </w:r>
    </w:p>
    <w:p w14:paraId="58113157"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продолжается строительство 26 объектов (из них завершается </w:t>
      </w:r>
      <w:r w:rsidRPr="006F4305">
        <w:rPr>
          <w:rFonts w:ascii="Times New Roman" w:eastAsia="Calibri" w:hAnsi="Times New Roman" w:cs="Times New Roman"/>
          <w:bCs/>
          <w:sz w:val="28"/>
          <w:szCs w:val="28"/>
          <w:lang w:eastAsia="ru-RU"/>
        </w:rPr>
        <w:br/>
        <w:t>6 объектов с уровнем готовности от 93,8 % до 99,0 %);</w:t>
      </w:r>
    </w:p>
    <w:p w14:paraId="269EC593"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lastRenderedPageBreak/>
        <w:t>- планируется начало строительства 1 объекта в 2022 году.</w:t>
      </w:r>
    </w:p>
    <w:p w14:paraId="340E729E"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6F4305">
        <w:rPr>
          <w:rFonts w:ascii="Times New Roman" w:eastAsia="Times New Roman" w:hAnsi="Times New Roman" w:cs="Times New Roman"/>
          <w:sz w:val="28"/>
          <w:szCs w:val="24"/>
          <w:lang w:eastAsia="ru-RU"/>
        </w:rPr>
        <w:t xml:space="preserve">В связи с несвоевременным проведением работ </w:t>
      </w:r>
      <w:r w:rsidRPr="006F4305">
        <w:rPr>
          <w:rFonts w:ascii="Times New Roman" w:eastAsia="Times New Roman" w:hAnsi="Times New Roman" w:cs="Times New Roman"/>
          <w:sz w:val="28"/>
          <w:szCs w:val="28"/>
          <w:lang w:eastAsia="ru-RU"/>
        </w:rPr>
        <w:t xml:space="preserve">по разработке проектной документации, проведением экспертизы и </w:t>
      </w:r>
      <w:r w:rsidRPr="006F4305">
        <w:rPr>
          <w:rFonts w:ascii="Times New Roman" w:eastAsia="Times New Roman" w:hAnsi="Times New Roman" w:cs="Times New Roman"/>
          <w:sz w:val="28"/>
          <w:szCs w:val="24"/>
          <w:lang w:eastAsia="ru-RU"/>
        </w:rPr>
        <w:t xml:space="preserve">процедур по заключению контрактов, </w:t>
      </w:r>
      <w:r w:rsidRPr="006F4305">
        <w:rPr>
          <w:rFonts w:ascii="Times New Roman" w:eastAsia="Times New Roman" w:hAnsi="Times New Roman" w:cs="Times New Roman"/>
          <w:sz w:val="28"/>
          <w:szCs w:val="28"/>
          <w:lang w:eastAsia="ru-RU"/>
        </w:rPr>
        <w:t xml:space="preserve">наличием дефицита рабочей силы и техники, </w:t>
      </w:r>
      <w:r w:rsidRPr="006F4305">
        <w:rPr>
          <w:rFonts w:ascii="Times New Roman" w:eastAsia="Times New Roman" w:hAnsi="Times New Roman" w:cs="Times New Roman"/>
          <w:sz w:val="28"/>
          <w:szCs w:val="28"/>
          <w:shd w:val="clear" w:color="auto" w:fill="FFFFFF"/>
          <w:lang w:eastAsia="ru-RU"/>
        </w:rPr>
        <w:t>низкими темпами проведения строительных работ, несоблюдением</w:t>
      </w:r>
      <w:r w:rsidRPr="006F4305">
        <w:rPr>
          <w:rFonts w:ascii="Calibri" w:eastAsia="Times New Roman" w:hAnsi="Calibri" w:cs="Calibri"/>
          <w:sz w:val="28"/>
          <w:szCs w:val="28"/>
          <w:shd w:val="clear" w:color="auto" w:fill="FFFFFF"/>
          <w:lang w:eastAsia="ru-RU"/>
        </w:rPr>
        <w:t> </w:t>
      </w:r>
      <w:r w:rsidRPr="006F4305">
        <w:rPr>
          <w:rFonts w:ascii="Times New Roman" w:eastAsia="Times New Roman" w:hAnsi="Times New Roman" w:cs="Times New Roman"/>
          <w:sz w:val="28"/>
          <w:szCs w:val="28"/>
          <w:shd w:val="clear" w:color="auto" w:fill="FFFFFF"/>
          <w:lang w:eastAsia="ru-RU"/>
        </w:rPr>
        <w:t xml:space="preserve">графика строительства и низким качеством строительного контроля, несоблюдением  исполнительской дисциплины, </w:t>
      </w:r>
      <w:r w:rsidRPr="006F4305">
        <w:rPr>
          <w:rFonts w:ascii="Times New Roman" w:eastAsia="Times New Roman" w:hAnsi="Times New Roman" w:cs="Times New Roman"/>
          <w:color w:val="000000" w:themeColor="text1"/>
          <w:sz w:val="28"/>
          <w:szCs w:val="28"/>
          <w:lang w:eastAsia="ru-RU"/>
        </w:rPr>
        <w:t xml:space="preserve">запланированные в ходе реализации регионального проекта, мероприятия исполнены не в полном объеме, что привело к не освоению средств в сумме </w:t>
      </w:r>
      <w:r w:rsidRPr="006F4305">
        <w:rPr>
          <w:rFonts w:ascii="Times New Roman" w:eastAsia="Times New Roman" w:hAnsi="Times New Roman" w:cs="Times New Roman"/>
          <w:color w:val="000000" w:themeColor="text1"/>
          <w:sz w:val="28"/>
          <w:szCs w:val="24"/>
          <w:lang w:eastAsia="ru-RU"/>
        </w:rPr>
        <w:t>1 482,3 млн рублей (</w:t>
      </w:r>
      <w:r w:rsidRPr="006F4305">
        <w:rPr>
          <w:rFonts w:ascii="Times New Roman" w:eastAsia="Calibri" w:hAnsi="Times New Roman" w:cs="Times New Roman"/>
          <w:color w:val="000000" w:themeColor="text1"/>
          <w:sz w:val="28"/>
          <w:szCs w:val="28"/>
          <w:lang w:eastAsia="ru-RU"/>
        </w:rPr>
        <w:t>за счет федерального бюджета – 1 230,2 млн рублей, республиканского бюджета Республики Дагестан – 252,1 млн рублей).</w:t>
      </w:r>
    </w:p>
    <w:p w14:paraId="294FE58D" w14:textId="77777777" w:rsidR="006F4305" w:rsidRPr="006F4305" w:rsidRDefault="006F4305" w:rsidP="006F4305">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В соответствии со статьей 242 Бюджетного кодекса Российской Федерации и условиями заключенного соглашения не</w:t>
      </w:r>
      <w:r w:rsidRPr="006F4305">
        <w:rPr>
          <w:rFonts w:ascii="Times New Roman" w:eastAsia="Times New Roman" w:hAnsi="Times New Roman" w:cs="Times New Roman"/>
          <w:sz w:val="28"/>
          <w:szCs w:val="28"/>
          <w:shd w:val="clear" w:color="auto" w:fill="FFFFFF"/>
          <w:lang w:eastAsia="ru-RU"/>
        </w:rPr>
        <w:t>использованный остаток средств в сумме 1 230,2 млн рублей возвращены в федеральный бюджет</w:t>
      </w:r>
      <w:r w:rsidRPr="006F4305">
        <w:rPr>
          <w:rFonts w:ascii="Times New Roman" w:eastAsia="Times New Roman" w:hAnsi="Times New Roman" w:cs="Times New Roman"/>
          <w:sz w:val="28"/>
          <w:szCs w:val="28"/>
          <w:lang w:eastAsia="ru-RU"/>
        </w:rPr>
        <w:t>.</w:t>
      </w:r>
    </w:p>
    <w:p w14:paraId="79261701"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iCs/>
          <w:sz w:val="28"/>
          <w:szCs w:val="24"/>
          <w:lang w:eastAsia="ru-RU"/>
        </w:rPr>
        <w:t xml:space="preserve">По региональному проекту в 2021 году было </w:t>
      </w:r>
      <w:r w:rsidRPr="006F4305">
        <w:rPr>
          <w:rFonts w:ascii="Times New Roman" w:eastAsia="Times New Roman" w:hAnsi="Times New Roman" w:cs="Times New Roman"/>
          <w:sz w:val="28"/>
          <w:szCs w:val="24"/>
          <w:lang w:eastAsia="ru-RU"/>
        </w:rPr>
        <w:t>предусмотрено достижение 2 целевых показателей, по которым плановые значения не достигнуты, в том числе:</w:t>
      </w:r>
    </w:p>
    <w:p w14:paraId="454D77D3"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«Количество дополнительно созданных мест с целью обеспечения дошкольным образованием детей в возрасте до 3 лет, нарастающим итогом (план – 9,1 тыс. мест, факт – 0,91 тыс. мест).</w:t>
      </w:r>
    </w:p>
    <w:p w14:paraId="47FABA3C"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«Доступность дошкольного образования для детей в возрасте от 1,5 до 3 лет» (план – 66,4 %, факт – 52,0 %).</w:t>
      </w:r>
    </w:p>
    <w:p w14:paraId="78C76ECE"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FB55DE">
        <w:rPr>
          <w:rFonts w:ascii="Times New Roman" w:eastAsia="Times New Roman" w:hAnsi="Times New Roman" w:cs="Times New Roman"/>
          <w:b/>
          <w:bCs/>
          <w:iCs/>
          <w:color w:val="002060"/>
          <w:sz w:val="28"/>
          <w:szCs w:val="28"/>
          <w:lang w:eastAsia="ru-RU"/>
        </w:rPr>
        <w:t xml:space="preserve">3) Региональный проект </w:t>
      </w:r>
      <w:r w:rsidRPr="00FB55DE">
        <w:rPr>
          <w:rFonts w:ascii="Times New Roman" w:eastAsia="Times New Roman" w:hAnsi="Times New Roman" w:cs="Times New Roman"/>
          <w:b/>
          <w:bCs/>
          <w:iCs/>
          <w:color w:val="002060"/>
          <w:sz w:val="28"/>
          <w:szCs w:val="24"/>
          <w:lang w:eastAsia="ru-RU"/>
        </w:rPr>
        <w:t>«</w:t>
      </w:r>
      <w:r w:rsidRPr="00FB55DE">
        <w:rPr>
          <w:rFonts w:ascii="Times New Roman" w:eastAsia="Calibri" w:hAnsi="Times New Roman" w:cs="Times New Roman"/>
          <w:b/>
          <w:bCs/>
          <w:iCs/>
          <w:color w:val="002060"/>
          <w:sz w:val="28"/>
          <w:szCs w:val="28"/>
          <w:lang w:eastAsia="ru-RU"/>
        </w:rPr>
        <w:t>Старшее поколение»</w:t>
      </w:r>
      <w:r w:rsidRPr="00FB55DE">
        <w:rPr>
          <w:rFonts w:ascii="Times New Roman" w:eastAsia="Times New Roman" w:hAnsi="Times New Roman" w:cs="Times New Roman"/>
          <w:b/>
          <w:bCs/>
          <w:iCs/>
          <w:color w:val="002060"/>
          <w:sz w:val="28"/>
          <w:szCs w:val="24"/>
          <w:lang w:eastAsia="ru-RU"/>
        </w:rPr>
        <w:t xml:space="preserve"> – 0,048</w:t>
      </w:r>
      <w:r w:rsidRPr="00FB55DE">
        <w:rPr>
          <w:rFonts w:ascii="Times New Roman" w:eastAsia="Calibri" w:hAnsi="Times New Roman" w:cs="Times New Roman"/>
          <w:b/>
          <w:bCs/>
          <w:iCs/>
          <w:color w:val="002060"/>
          <w:sz w:val="28"/>
          <w:szCs w:val="28"/>
          <w:lang w:eastAsia="ru-RU"/>
        </w:rPr>
        <w:t xml:space="preserve"> млн рублей</w:t>
      </w:r>
      <w:r w:rsidRPr="00FB55DE">
        <w:rPr>
          <w:rFonts w:ascii="Times New Roman" w:eastAsia="Calibri" w:hAnsi="Times New Roman" w:cs="Times New Roman"/>
          <w:bCs/>
          <w:color w:val="002060"/>
          <w:sz w:val="28"/>
          <w:szCs w:val="28"/>
          <w:lang w:eastAsia="ru-RU"/>
        </w:rPr>
        <w:t>,</w:t>
      </w:r>
      <w:r w:rsidRPr="00FB55DE">
        <w:rPr>
          <w:rFonts w:ascii="Times New Roman" w:eastAsia="Calibri" w:hAnsi="Times New Roman" w:cs="Times New Roman"/>
          <w:iCs/>
          <w:color w:val="002060"/>
          <w:sz w:val="28"/>
          <w:szCs w:val="28"/>
          <w:lang w:eastAsia="ru-RU"/>
        </w:rPr>
        <w:t xml:space="preserve"> </w:t>
      </w:r>
      <w:r w:rsidRPr="006F4305">
        <w:rPr>
          <w:rFonts w:ascii="Times New Roman" w:eastAsia="Calibri" w:hAnsi="Times New Roman" w:cs="Times New Roman"/>
          <w:iCs/>
          <w:sz w:val="28"/>
          <w:szCs w:val="28"/>
          <w:lang w:eastAsia="ru-RU"/>
        </w:rPr>
        <w:t xml:space="preserve">или 100 % </w:t>
      </w:r>
      <w:r w:rsidRPr="006F4305">
        <w:rPr>
          <w:rFonts w:ascii="Times New Roman" w:eastAsia="Times New Roman" w:hAnsi="Times New Roman" w:cs="Times New Roman"/>
          <w:sz w:val="28"/>
          <w:szCs w:val="24"/>
          <w:lang w:eastAsia="ru-RU"/>
        </w:rPr>
        <w:t>от годовых назначений.</w:t>
      </w:r>
      <w:r w:rsidRPr="006F4305">
        <w:rPr>
          <w:rFonts w:ascii="Times New Roman" w:eastAsia="Calibri" w:hAnsi="Times New Roman" w:cs="Times New Roman"/>
          <w:sz w:val="28"/>
          <w:szCs w:val="28"/>
          <w:lang w:eastAsia="ru-RU"/>
        </w:rPr>
        <w:t xml:space="preserve"> </w:t>
      </w:r>
    </w:p>
    <w:p w14:paraId="15F2BAF7" w14:textId="77777777" w:rsidR="006F4305" w:rsidRPr="006F4305" w:rsidRDefault="006F4305" w:rsidP="006F4305">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на </w:t>
      </w:r>
      <w:r w:rsidRPr="006F4305">
        <w:rPr>
          <w:rFonts w:ascii="Times New Roman" w:eastAsia="Times New Roman" w:hAnsi="Times New Roman" w:cs="Times New Roman"/>
          <w:sz w:val="28"/>
          <w:szCs w:val="24"/>
          <w:lang w:eastAsia="ru-RU"/>
        </w:rPr>
        <w:t xml:space="preserve">вакцинацию 105 лиц, </w:t>
      </w:r>
      <w:r w:rsidRPr="006F4305">
        <w:rPr>
          <w:rFonts w:ascii="Times New Roman" w:eastAsia="Calibri" w:hAnsi="Times New Roman" w:cs="Times New Roman"/>
          <w:sz w:val="28"/>
          <w:szCs w:val="28"/>
          <w:lang w:eastAsia="ru-RU"/>
        </w:rPr>
        <w:t>старше трудоспособного возраста, проживающих в организациях социального обслуживания</w:t>
      </w:r>
      <w:r w:rsidRPr="006F4305">
        <w:rPr>
          <w:rFonts w:ascii="Times New Roman" w:eastAsia="Times New Roman" w:hAnsi="Times New Roman" w:cs="Times New Roman"/>
          <w:sz w:val="28"/>
          <w:szCs w:val="28"/>
          <w:lang w:eastAsia="ru-RU"/>
        </w:rPr>
        <w:t xml:space="preserve"> против пневмококковой инфекции, или 100 % планового значения.</w:t>
      </w:r>
    </w:p>
    <w:p w14:paraId="1BFB5F63"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4"/>
          <w:lang w:eastAsia="ru-RU"/>
        </w:rPr>
        <w:t xml:space="preserve">По состоянию на 1 января 2022 года фактически освоено 0,048 млн рублей, или 100 % от объема финансирования.  </w:t>
      </w:r>
    </w:p>
    <w:p w14:paraId="59410088" w14:textId="77777777" w:rsidR="00F95B96"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По данным отчетов, представленных ответственными исполнителями, </w:t>
      </w:r>
      <w:r w:rsidRPr="006F4305">
        <w:rPr>
          <w:rFonts w:ascii="Times New Roman" w:eastAsia="Times New Roman" w:hAnsi="Times New Roman" w:cs="Times New Roman"/>
          <w:sz w:val="28"/>
          <w:szCs w:val="28"/>
          <w:lang w:eastAsia="ru-RU"/>
        </w:rPr>
        <w:br/>
        <w:t>из 5 целевых показателей регионального проекта выполнены плановые значения по 4 целевым показателям.</w:t>
      </w:r>
    </w:p>
    <w:p w14:paraId="7C22981F" w14:textId="32253A79" w:rsidR="006F4305" w:rsidRPr="006F4305" w:rsidRDefault="006F4305" w:rsidP="006F4305">
      <w:pPr>
        <w:spacing w:after="0" w:line="240" w:lineRule="auto"/>
        <w:ind w:firstLine="709"/>
        <w:jc w:val="both"/>
        <w:rPr>
          <w:rFonts w:ascii="Times New Roman" w:eastAsia="Arial" w:hAnsi="Times New Roman" w:cs="Times New Roman"/>
          <w:bCs/>
          <w:sz w:val="28"/>
          <w:szCs w:val="28"/>
          <w:lang w:eastAsia="ru-RU"/>
        </w:rPr>
      </w:pPr>
      <w:r w:rsidRPr="006F4305">
        <w:rPr>
          <w:rFonts w:ascii="Times New Roman" w:eastAsia="Arial" w:hAnsi="Times New Roman" w:cs="Times New Roman"/>
          <w:bCs/>
          <w:sz w:val="28"/>
          <w:szCs w:val="28"/>
          <w:lang w:eastAsia="ru-RU"/>
        </w:rPr>
        <w:t xml:space="preserve">По региональному проекту в 2021 году было предусмотрено достижение 5 целевых показателей, из которых выполнены плановые значения по </w:t>
      </w:r>
      <w:r w:rsidRPr="006F4305">
        <w:rPr>
          <w:rFonts w:ascii="Times New Roman" w:eastAsia="Arial" w:hAnsi="Times New Roman" w:cs="Times New Roman"/>
          <w:bCs/>
          <w:sz w:val="28"/>
          <w:szCs w:val="28"/>
          <w:lang w:eastAsia="ru-RU"/>
        </w:rPr>
        <w:br/>
        <w:t>4 целевым показателям. Не выполнен показатель «Доля граждан старше трудоспособного возраста и инвалидов, получивших социальные услуги в организациях социального обслуживания, от общего числа граждан старше трудоспособного возраста и инвалидов» (план – 11,0 %, факт – 10,8 %).</w:t>
      </w:r>
    </w:p>
    <w:p w14:paraId="5632CDA7"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FB55DE">
        <w:rPr>
          <w:rFonts w:ascii="Times New Roman" w:eastAsia="Times New Roman" w:hAnsi="Times New Roman" w:cs="Times New Roman"/>
          <w:b/>
          <w:bCs/>
          <w:iCs/>
          <w:color w:val="002060"/>
          <w:sz w:val="28"/>
          <w:szCs w:val="24"/>
          <w:lang w:eastAsia="ru-RU"/>
        </w:rPr>
        <w:t>4) Региональный проект «Спорт-норма жизни» – 95,7</w:t>
      </w:r>
      <w:r w:rsidRPr="00FB55DE">
        <w:rPr>
          <w:rFonts w:ascii="Times New Roman" w:eastAsia="Calibri" w:hAnsi="Times New Roman" w:cs="Times New Roman"/>
          <w:b/>
          <w:bCs/>
          <w:iCs/>
          <w:color w:val="002060"/>
          <w:sz w:val="28"/>
          <w:szCs w:val="28"/>
          <w:lang w:eastAsia="ru-RU"/>
        </w:rPr>
        <w:t xml:space="preserve"> млн рублей</w:t>
      </w:r>
      <w:r w:rsidRPr="00FB55DE">
        <w:rPr>
          <w:rFonts w:ascii="Times New Roman" w:eastAsia="Calibri" w:hAnsi="Times New Roman" w:cs="Times New Roman"/>
          <w:b/>
          <w:iCs/>
          <w:color w:val="002060"/>
          <w:sz w:val="28"/>
          <w:szCs w:val="28"/>
          <w:lang w:eastAsia="ru-RU"/>
        </w:rPr>
        <w:t xml:space="preserve">, </w:t>
      </w:r>
      <w:r w:rsidRPr="006F4305">
        <w:rPr>
          <w:rFonts w:ascii="Times New Roman" w:eastAsia="Calibri" w:hAnsi="Times New Roman" w:cs="Times New Roman"/>
          <w:iCs/>
          <w:sz w:val="28"/>
          <w:szCs w:val="28"/>
          <w:lang w:eastAsia="ru-RU"/>
        </w:rPr>
        <w:t xml:space="preserve">или 100 % </w:t>
      </w:r>
      <w:r w:rsidRPr="006F4305">
        <w:rPr>
          <w:rFonts w:ascii="Times New Roman" w:eastAsia="Times New Roman" w:hAnsi="Times New Roman" w:cs="Times New Roman"/>
          <w:sz w:val="28"/>
          <w:szCs w:val="24"/>
          <w:lang w:eastAsia="ru-RU"/>
        </w:rPr>
        <w:t xml:space="preserve">от годовых назначений. </w:t>
      </w:r>
    </w:p>
    <w:p w14:paraId="76086B30"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hi-IN" w:bidi="hi-IN"/>
        </w:rPr>
      </w:pPr>
      <w:r w:rsidRPr="006F4305">
        <w:rPr>
          <w:rFonts w:ascii="Times New Roman" w:eastAsia="Calibri" w:hAnsi="Times New Roman" w:cs="Times New Roman"/>
          <w:sz w:val="28"/>
          <w:szCs w:val="28"/>
          <w:lang w:eastAsia="ru-RU"/>
        </w:rPr>
        <w:t>Средства, выделенные по региональному проекту</w:t>
      </w:r>
      <w:r w:rsidRPr="006F4305">
        <w:rPr>
          <w:rFonts w:ascii="Times New Roman" w:eastAsia="Calibri" w:hAnsi="Times New Roman" w:cs="Times New Roman"/>
          <w:bCs/>
          <w:sz w:val="28"/>
          <w:szCs w:val="28"/>
          <w:lang w:eastAsia="hi-IN" w:bidi="hi-IN"/>
        </w:rPr>
        <w:t xml:space="preserve"> </w:t>
      </w:r>
      <w:r w:rsidRPr="006F4305">
        <w:rPr>
          <w:rFonts w:ascii="Times New Roman" w:eastAsia="Calibri" w:hAnsi="Times New Roman" w:cs="Times New Roman"/>
          <w:sz w:val="28"/>
          <w:szCs w:val="28"/>
          <w:lang w:eastAsia="ru-RU"/>
        </w:rPr>
        <w:t xml:space="preserve">направлены </w:t>
      </w:r>
      <w:r w:rsidRPr="006F4305">
        <w:rPr>
          <w:rFonts w:ascii="Times New Roman" w:eastAsia="Calibri" w:hAnsi="Times New Roman" w:cs="Times New Roman"/>
          <w:bCs/>
          <w:sz w:val="28"/>
          <w:szCs w:val="28"/>
          <w:lang w:eastAsia="hi-IN" w:bidi="hi-IN"/>
        </w:rPr>
        <w:t xml:space="preserve">на строительство </w:t>
      </w:r>
      <w:r w:rsidRPr="006F4305">
        <w:rPr>
          <w:rFonts w:ascii="Times New Roman" w:eastAsia="Calibri" w:hAnsi="Times New Roman" w:cs="Times New Roman"/>
          <w:sz w:val="28"/>
          <w:szCs w:val="28"/>
          <w:lang w:eastAsia="hi-IN" w:bidi="hi-IN"/>
        </w:rPr>
        <w:t xml:space="preserve">футбольного поля с беговыми дорожками и секторами в </w:t>
      </w:r>
      <w:r w:rsidRPr="006F4305">
        <w:rPr>
          <w:rFonts w:ascii="Times New Roman" w:eastAsia="Calibri" w:hAnsi="Times New Roman" w:cs="Times New Roman"/>
          <w:sz w:val="28"/>
          <w:szCs w:val="28"/>
          <w:lang w:eastAsia="hi-IN" w:bidi="hi-IN"/>
        </w:rPr>
        <w:br/>
        <w:t>с. Ансалта Ботлихского района (30,9 млн рублей) и приобретение:</w:t>
      </w:r>
    </w:p>
    <w:p w14:paraId="3C050361"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hi-IN" w:bidi="hi-IN"/>
        </w:rPr>
      </w:pPr>
      <w:r w:rsidRPr="006F4305">
        <w:rPr>
          <w:rFonts w:ascii="Times New Roman" w:eastAsia="Calibri" w:hAnsi="Times New Roman" w:cs="Times New Roman"/>
          <w:sz w:val="28"/>
          <w:szCs w:val="28"/>
          <w:lang w:eastAsia="hi-IN" w:bidi="hi-IN"/>
        </w:rPr>
        <w:lastRenderedPageBreak/>
        <w:t>- спортивной экипировки - 13,6 млн рублей;</w:t>
      </w:r>
    </w:p>
    <w:p w14:paraId="275F6C4B"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hi-IN" w:bidi="hi-IN"/>
        </w:rPr>
        <w:t>- </w:t>
      </w:r>
      <w:r w:rsidRPr="006F4305">
        <w:rPr>
          <w:rFonts w:ascii="Times New Roman" w:eastAsia="Calibri" w:hAnsi="Times New Roman" w:cs="Times New Roman"/>
          <w:sz w:val="28"/>
          <w:szCs w:val="28"/>
          <w:lang w:eastAsia="ru-RU"/>
        </w:rPr>
        <w:t>комплектов спортивно-технологического оборудования для создания физкультурно-оздоровительных комплексов открытого типа, (г. Дербент и Ахвахский район, с. Карата) – 40,3 млн рублей;</w:t>
      </w:r>
    </w:p>
    <w:p w14:paraId="12CA3ABD"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спортивно-технологического оборудования для создания малых спортивных площадок – 10,6 млн рублей.</w:t>
      </w:r>
    </w:p>
    <w:p w14:paraId="733C0EB1"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Calibri" w:hAnsi="Times New Roman" w:cs="Times New Roman"/>
          <w:bCs/>
          <w:sz w:val="28"/>
          <w:szCs w:val="28"/>
          <w:lang w:eastAsia="hi-IN" w:bidi="hi-IN"/>
        </w:rPr>
        <w:t>По состоянию на 1 января 2022 года фактически освоено 95,6 млн рублей, или 99,8 % от годовых назначений (95,7 млн рублей). Н</w:t>
      </w:r>
      <w:r w:rsidRPr="006F4305">
        <w:rPr>
          <w:rFonts w:ascii="Times New Roman" w:eastAsia="Times New Roman" w:hAnsi="Times New Roman" w:cs="Times New Roman"/>
          <w:sz w:val="28"/>
          <w:szCs w:val="24"/>
          <w:lang w:eastAsia="ru-RU"/>
        </w:rPr>
        <w:t>еиспользованный (неосвоенный) остаток бюджетных средств</w:t>
      </w:r>
      <w:r w:rsidRPr="006F4305">
        <w:rPr>
          <w:rFonts w:ascii="Times New Roman" w:eastAsia="Calibri" w:hAnsi="Times New Roman" w:cs="Times New Roman"/>
          <w:bCs/>
          <w:sz w:val="28"/>
          <w:szCs w:val="28"/>
          <w:lang w:eastAsia="hi-IN" w:bidi="hi-IN"/>
        </w:rPr>
        <w:t xml:space="preserve"> в сумме </w:t>
      </w:r>
      <w:r w:rsidRPr="006F4305">
        <w:rPr>
          <w:rFonts w:ascii="Times New Roman" w:eastAsia="Calibri" w:hAnsi="Times New Roman" w:cs="Times New Roman"/>
          <w:bCs/>
          <w:sz w:val="28"/>
          <w:szCs w:val="28"/>
          <w:lang w:eastAsia="hi-IN" w:bidi="hi-IN"/>
        </w:rPr>
        <w:br/>
        <w:t>0,16 млн рублей, или 0,2 % от объема годовых назначений сложился за счет экономии по торгам на закупку спортивно-технологического оборудования.</w:t>
      </w:r>
    </w:p>
    <w:p w14:paraId="620C98AE"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8"/>
          <w:lang w:eastAsia="ru-RU"/>
        </w:rPr>
        <w:t>По итогам реализации регионального проекта в 2021 году, запланированные 2 целевых показателя выполнены в полном объеме.</w:t>
      </w:r>
    </w:p>
    <w:p w14:paraId="184A3922"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b/>
          <w:sz w:val="28"/>
          <w:szCs w:val="28"/>
          <w:lang w:eastAsia="ru-RU"/>
        </w:rPr>
      </w:pPr>
    </w:p>
    <w:p w14:paraId="727E92BB" w14:textId="77777777" w:rsidR="006F4305" w:rsidRPr="00FB55DE"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7.5.2. Национальный проект «Здравоохранение». </w:t>
      </w:r>
    </w:p>
    <w:p w14:paraId="7CD017C6"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В 2021 году на реализацию национального проекта «Здравоохранение» </w:t>
      </w:r>
      <w:r w:rsidRPr="006F4305">
        <w:rPr>
          <w:rFonts w:ascii="Times New Roman" w:eastAsia="Calibri" w:hAnsi="Times New Roman" w:cs="Times New Roman"/>
          <w:sz w:val="28"/>
          <w:szCs w:val="28"/>
          <w:lang w:eastAsia="ru-RU"/>
        </w:rPr>
        <w:t xml:space="preserve">профинансированы расходы в сумме 2 816,8 млн рублей, или 100 % от годовых назначений (за счет федерального бюджета – 999,1 млн рублей, республиканского бюджета Республики Дагестан – 130,0 млн рублей, </w:t>
      </w:r>
      <w:r w:rsidRPr="006F4305">
        <w:rPr>
          <w:rFonts w:ascii="Times New Roman" w:eastAsia="Calibri" w:hAnsi="Times New Roman" w:cs="Times New Roman"/>
          <w:sz w:val="28"/>
          <w:szCs w:val="28"/>
          <w:lang w:eastAsia="ru-RU"/>
        </w:rPr>
        <w:br/>
        <w:t xml:space="preserve">средств ТФОМС РД – 1 389,4 млн рублей, ФСС – 83,5 млн рублей, медицинских организаций – 214,8 млн рублей). </w:t>
      </w:r>
    </w:p>
    <w:p w14:paraId="562D1345"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На 1 января 2022 года освоение выделенных средств составило </w:t>
      </w:r>
      <w:r w:rsidRPr="006F4305">
        <w:rPr>
          <w:rFonts w:ascii="Times New Roman" w:eastAsia="Calibri" w:hAnsi="Times New Roman" w:cs="Times New Roman"/>
          <w:sz w:val="28"/>
          <w:szCs w:val="28"/>
          <w:lang w:eastAsia="ru-RU"/>
        </w:rPr>
        <w:br/>
        <w:t xml:space="preserve">2 479,3 млн рублей, или 88,0 % от объема финансирования. По итогам года неиспользованный (неосвоенный) остаток составил 337,5 млн рублей, или </w:t>
      </w:r>
      <w:r w:rsidRPr="006F4305">
        <w:rPr>
          <w:rFonts w:ascii="Times New Roman" w:eastAsia="Calibri" w:hAnsi="Times New Roman" w:cs="Times New Roman"/>
          <w:sz w:val="28"/>
          <w:szCs w:val="28"/>
          <w:lang w:eastAsia="ru-RU"/>
        </w:rPr>
        <w:br/>
        <w:t>12,0 % от объема финансирования (в том числе: средства федерального бюджета – 126,5 млн рублей, республиканского бюджета Республики Дагестан – 1,2 млн рублей, медицинских организаций – 209,8 млн рублей).</w:t>
      </w:r>
    </w:p>
    <w:p w14:paraId="1A492026"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Следует отметить, что в 2021 году из 7 региональных проектов национального проекта финансирование было предусмотрено на реализацию 5 региональных проектов. Финансирование регионального проекта «Обеспечение медицинских организаций системы здравоохранения квалифицированными кадрами» предусмотрено вне регионального проекта. Финансирование регионального проекта «Развитие экспорта медицинских услуг» </w:t>
      </w:r>
      <w:r w:rsidRPr="006F4305">
        <w:rPr>
          <w:rFonts w:ascii="Times New Roman" w:eastAsia="Calibri" w:hAnsi="Times New Roman" w:cs="Times New Roman"/>
          <w:sz w:val="28"/>
          <w:szCs w:val="28"/>
        </w:rPr>
        <w:t>осуществляется в пределах поступлений финансовых средств за экспортируемые медицинские услуги.</w:t>
      </w:r>
    </w:p>
    <w:p w14:paraId="026322BB"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6F4305">
        <w:rPr>
          <w:rFonts w:ascii="Times New Roman" w:eastAsia="Calibri" w:hAnsi="Times New Roman" w:cs="Times New Roman"/>
          <w:sz w:val="28"/>
          <w:szCs w:val="28"/>
          <w:lang w:eastAsia="ru-RU"/>
        </w:rPr>
        <w:t xml:space="preserve">В рамках национального проекта бюджетные средства направлены на </w:t>
      </w:r>
      <w:r w:rsidRPr="006F4305">
        <w:rPr>
          <w:rFonts w:ascii="Times New Roman" w:eastAsia="Calibri" w:hAnsi="Times New Roman" w:cs="Times New Roman"/>
          <w:color w:val="000000"/>
          <w:sz w:val="28"/>
          <w:szCs w:val="28"/>
          <w:lang w:eastAsia="ru-RU"/>
        </w:rPr>
        <w:t xml:space="preserve">реализацию </w:t>
      </w:r>
      <w:r w:rsidRPr="006F4305">
        <w:rPr>
          <w:rFonts w:ascii="Times New Roman" w:eastAsia="Calibri" w:hAnsi="Times New Roman" w:cs="Times New Roman"/>
          <w:sz w:val="28"/>
          <w:szCs w:val="28"/>
          <w:lang w:eastAsia="ru-RU"/>
        </w:rPr>
        <w:t xml:space="preserve">мероприятий 5 региональных </w:t>
      </w:r>
      <w:r w:rsidRPr="006F4305">
        <w:rPr>
          <w:rFonts w:ascii="Times New Roman" w:eastAsia="Calibri" w:hAnsi="Times New Roman" w:cs="Times New Roman"/>
          <w:color w:val="000000"/>
          <w:sz w:val="28"/>
          <w:szCs w:val="28"/>
          <w:lang w:eastAsia="ru-RU"/>
        </w:rPr>
        <w:t>проектов, в том числе</w:t>
      </w:r>
      <w:r w:rsidRPr="006F4305">
        <w:rPr>
          <w:rFonts w:ascii="Times New Roman" w:eastAsia="Times New Roman" w:hAnsi="Times New Roman" w:cs="Times New Roman"/>
          <w:color w:val="000000"/>
          <w:sz w:val="28"/>
          <w:szCs w:val="28"/>
          <w:lang w:eastAsia="ru-RU"/>
        </w:rPr>
        <w:t>:</w:t>
      </w:r>
    </w:p>
    <w:p w14:paraId="30381A01"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FB55DE">
        <w:rPr>
          <w:rFonts w:ascii="Times New Roman" w:eastAsia="Times New Roman" w:hAnsi="Times New Roman" w:cs="Times New Roman"/>
          <w:b/>
          <w:iCs/>
          <w:color w:val="002060"/>
          <w:sz w:val="28"/>
          <w:szCs w:val="28"/>
          <w:lang w:eastAsia="ru-RU"/>
        </w:rPr>
        <w:t>1</w:t>
      </w:r>
      <w:r w:rsidRPr="00FB55DE">
        <w:rPr>
          <w:rFonts w:ascii="Times New Roman" w:eastAsia="Times New Roman" w:hAnsi="Times New Roman" w:cs="Times New Roman"/>
          <w:b/>
          <w:bCs/>
          <w:iCs/>
          <w:color w:val="002060"/>
          <w:sz w:val="28"/>
          <w:szCs w:val="28"/>
          <w:lang w:eastAsia="ru-RU"/>
        </w:rPr>
        <w:t>) Региональный проект «Первичная медико-санитарная помощь» –</w:t>
      </w:r>
      <w:r w:rsidRPr="00FB55DE">
        <w:rPr>
          <w:rFonts w:ascii="Times New Roman" w:eastAsia="Calibri" w:hAnsi="Times New Roman" w:cs="Times New Roman"/>
          <w:b/>
          <w:bCs/>
          <w:iCs/>
          <w:color w:val="002060"/>
          <w:sz w:val="28"/>
          <w:szCs w:val="28"/>
          <w:lang w:eastAsia="ru-RU"/>
        </w:rPr>
        <w:t xml:space="preserve"> 140,16 млн рублей,</w:t>
      </w:r>
      <w:r w:rsidRPr="00FB55DE">
        <w:rPr>
          <w:rFonts w:ascii="Times New Roman" w:eastAsia="Calibri" w:hAnsi="Times New Roman" w:cs="Times New Roman"/>
          <w:iCs/>
          <w:color w:val="002060"/>
          <w:sz w:val="28"/>
          <w:szCs w:val="28"/>
          <w:lang w:eastAsia="ru-RU"/>
        </w:rPr>
        <w:t xml:space="preserve"> </w:t>
      </w:r>
      <w:r w:rsidRPr="006F4305">
        <w:rPr>
          <w:rFonts w:ascii="Times New Roman" w:eastAsia="Calibri" w:hAnsi="Times New Roman" w:cs="Times New Roman"/>
          <w:iCs/>
          <w:sz w:val="28"/>
          <w:szCs w:val="28"/>
          <w:lang w:eastAsia="ru-RU"/>
        </w:rPr>
        <w:t xml:space="preserve">или 100 % от годовых назначений. </w:t>
      </w: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p>
    <w:p w14:paraId="734A696F" w14:textId="77777777" w:rsidR="006F4305" w:rsidRPr="006F4305" w:rsidRDefault="006F4305" w:rsidP="006F4305">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6F4305">
        <w:rPr>
          <w:rFonts w:ascii="Times New Roman" w:eastAsia="Calibri" w:hAnsi="Times New Roman" w:cs="Times New Roman"/>
          <w:sz w:val="28"/>
          <w:szCs w:val="28"/>
          <w:lang w:eastAsia="ru-RU"/>
        </w:rPr>
        <w:t>- оказание экстренной медицинской помощи с использованием санитарной авиации (</w:t>
      </w:r>
      <w:r w:rsidRPr="006F4305">
        <w:rPr>
          <w:rFonts w:ascii="Times New Roman" w:hAnsi="Times New Roman" w:cs="Times New Roman"/>
          <w:sz w:val="28"/>
          <w:szCs w:val="28"/>
        </w:rPr>
        <w:t>ГБУ РД «Дагестанский центр медицины катастроф») – 139,8 млн рублей. О</w:t>
      </w:r>
      <w:r w:rsidRPr="006F4305">
        <w:rPr>
          <w:rFonts w:ascii="Times New Roman" w:eastAsia="Calibri" w:hAnsi="Times New Roman" w:cs="Times New Roman"/>
          <w:color w:val="000000" w:themeColor="text1"/>
          <w:sz w:val="28"/>
          <w:szCs w:val="28"/>
          <w:lang w:eastAsia="ru-RU"/>
        </w:rPr>
        <w:t xml:space="preserve">существлено </w:t>
      </w:r>
      <w:r w:rsidRPr="006F4305">
        <w:rPr>
          <w:rFonts w:ascii="Times New Roman" w:eastAsia="Times New Roman" w:hAnsi="Times New Roman" w:cs="Times New Roman"/>
          <w:color w:val="000000" w:themeColor="text1"/>
          <w:sz w:val="28"/>
          <w:szCs w:val="28"/>
          <w:shd w:val="clear" w:color="auto" w:fill="FFFFFF"/>
          <w:lang w:eastAsia="ru-RU"/>
        </w:rPr>
        <w:t>166 вылетов вертолетом санитарной авиации, эвакуированы в медицинские организации 196 человек, из них 37 детей;</w:t>
      </w:r>
    </w:p>
    <w:p w14:paraId="08BBCCB3" w14:textId="77777777" w:rsidR="006F4305" w:rsidRPr="006F4305" w:rsidRDefault="006F4305" w:rsidP="006F4305">
      <w:pPr>
        <w:spacing w:after="0" w:line="240" w:lineRule="auto"/>
        <w:ind w:firstLine="709"/>
        <w:jc w:val="both"/>
        <w:rPr>
          <w:rFonts w:ascii="Times New Roman" w:hAnsi="Times New Roman" w:cs="Times New Roman"/>
          <w:sz w:val="28"/>
          <w:szCs w:val="28"/>
        </w:rPr>
      </w:pPr>
      <w:r w:rsidRPr="006F4305">
        <w:rPr>
          <w:rFonts w:ascii="Times New Roman" w:eastAsia="Times New Roman" w:hAnsi="Times New Roman" w:cs="Times New Roman"/>
          <w:color w:val="000000" w:themeColor="text1"/>
          <w:sz w:val="28"/>
          <w:szCs w:val="28"/>
          <w:shd w:val="clear" w:color="auto" w:fill="FFFFFF"/>
          <w:lang w:eastAsia="ru-RU"/>
        </w:rPr>
        <w:lastRenderedPageBreak/>
        <w:t>- м</w:t>
      </w:r>
      <w:r w:rsidRPr="006F4305">
        <w:rPr>
          <w:rFonts w:ascii="Times New Roman" w:hAnsi="Times New Roman" w:cs="Times New Roman"/>
          <w:sz w:val="28"/>
          <w:szCs w:val="28"/>
        </w:rPr>
        <w:t xml:space="preserve">ероприятия по обеспечению противопожарной безопасности фельдшерско-акушерских пунктов, построенных в 2020 году – 0,39 млн рублей. </w:t>
      </w:r>
    </w:p>
    <w:p w14:paraId="27A8AECB" w14:textId="77777777" w:rsidR="006F4305" w:rsidRPr="006F4305" w:rsidRDefault="006F4305" w:rsidP="006F4305">
      <w:pPr>
        <w:spacing w:after="0" w:line="240" w:lineRule="auto"/>
        <w:ind w:firstLine="709"/>
        <w:jc w:val="both"/>
        <w:rPr>
          <w:rFonts w:ascii="Times New Roman" w:eastAsia="Times New Roman" w:hAnsi="Times New Roman" w:cs="Times New Roman"/>
          <w:strike/>
          <w:sz w:val="28"/>
          <w:szCs w:val="24"/>
          <w:lang w:eastAsia="ru-RU"/>
        </w:rPr>
      </w:pPr>
      <w:r w:rsidRPr="006F4305">
        <w:rPr>
          <w:rFonts w:ascii="Times New Roman" w:eastAsia="Times New Roman" w:hAnsi="Times New Roman" w:cs="Times New Roman"/>
          <w:sz w:val="28"/>
          <w:szCs w:val="24"/>
          <w:lang w:eastAsia="ru-RU"/>
        </w:rPr>
        <w:t xml:space="preserve">По состоянию на 1 января 2022 года фактически освоено 140,16 млн рублей, или 100 % от запланированного объема.  </w:t>
      </w:r>
    </w:p>
    <w:p w14:paraId="0D466B54"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В 2021 году по региональному проекту было предусмотрено достижение 10 целевых показателей (индикаторы), из которых выполнены 5 показателей.</w:t>
      </w:r>
    </w:p>
    <w:p w14:paraId="6190373A"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Не достигнуты плановые значения по 5 целевым показателям, в том числе:</w:t>
      </w:r>
    </w:p>
    <w:p w14:paraId="74A3915F"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sz w:val="28"/>
          <w:szCs w:val="28"/>
          <w:lang w:eastAsia="ru-RU"/>
        </w:rPr>
        <w:t>-</w:t>
      </w:r>
      <w:r w:rsidRPr="006F4305">
        <w:rPr>
          <w:rFonts w:ascii="Times New Roman" w:eastAsia="Times New Roman" w:hAnsi="Times New Roman" w:cs="Times New Roman"/>
          <w:bCs/>
          <w:sz w:val="20"/>
          <w:szCs w:val="24"/>
          <w:lang w:eastAsia="ru-RU"/>
        </w:rPr>
        <w:t xml:space="preserve"> «</w:t>
      </w:r>
      <w:r w:rsidRPr="006F4305">
        <w:rPr>
          <w:rFonts w:ascii="Times New Roman" w:eastAsia="Calibri" w:hAnsi="Times New Roman" w:cs="Times New Roman"/>
          <w:bCs/>
          <w:sz w:val="28"/>
          <w:szCs w:val="28"/>
          <w:lang w:eastAsia="ru-RU"/>
        </w:rPr>
        <w:t>Доля граждан из числа прошедших профилактический медицинский осмотр или диспансеризацию, получивших возможность доступа к данным о прохождении профилактического медосмотра или диспансеризацию в Личном кабинете пациента «Мое здоровье» (план – 3 %, факт - 0,9 %);</w:t>
      </w:r>
    </w:p>
    <w:p w14:paraId="420CD988"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«Количество посещений при выездах мобильных медицинских бригад, оснащенных мобильными медицинскими комплексами, тыс. посещений на </w:t>
      </w:r>
      <w:r w:rsidRPr="006F4305">
        <w:rPr>
          <w:rFonts w:ascii="Times New Roman" w:eastAsia="Calibri" w:hAnsi="Times New Roman" w:cs="Times New Roman"/>
          <w:bCs/>
          <w:sz w:val="28"/>
          <w:szCs w:val="28"/>
          <w:lang w:eastAsia="ru-RU"/>
        </w:rPr>
        <w:br/>
        <w:t>1 мобильную бригаду»</w:t>
      </w:r>
      <w:r w:rsidRPr="006F4305">
        <w:rPr>
          <w:rFonts w:ascii="Times New Roman" w:eastAsia="Times New Roman" w:hAnsi="Times New Roman" w:cs="Times New Roman"/>
          <w:sz w:val="28"/>
          <w:szCs w:val="28"/>
          <w:lang w:eastAsia="ru-RU"/>
        </w:rPr>
        <w:t xml:space="preserve"> </w:t>
      </w:r>
      <w:r w:rsidRPr="006F4305">
        <w:rPr>
          <w:rFonts w:ascii="Times New Roman" w:eastAsia="Calibri" w:hAnsi="Times New Roman" w:cs="Times New Roman"/>
          <w:bCs/>
          <w:sz w:val="28"/>
          <w:szCs w:val="28"/>
          <w:lang w:eastAsia="ru-RU"/>
        </w:rPr>
        <w:t xml:space="preserve">(план – 5,2 тыс. посещений, факт </w:t>
      </w:r>
      <w:r w:rsidRPr="006F4305">
        <w:rPr>
          <w:rFonts w:ascii="Times New Roman" w:eastAsia="Times New Roman" w:hAnsi="Times New Roman" w:cs="Times New Roman"/>
          <w:sz w:val="28"/>
          <w:szCs w:val="28"/>
          <w:lang w:eastAsia="ru-RU"/>
        </w:rPr>
        <w:t>– 3,9 тыс. посещений</w:t>
      </w:r>
      <w:r w:rsidRPr="006F4305">
        <w:rPr>
          <w:rFonts w:ascii="Times New Roman" w:eastAsia="Calibri" w:hAnsi="Times New Roman" w:cs="Times New Roman"/>
          <w:bCs/>
          <w:sz w:val="28"/>
          <w:szCs w:val="28"/>
          <w:lang w:eastAsia="ru-RU"/>
        </w:rPr>
        <w:t>);</w:t>
      </w:r>
    </w:p>
    <w:p w14:paraId="0201FF2A"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bCs/>
          <w:sz w:val="28"/>
          <w:szCs w:val="28"/>
          <w:lang w:eastAsia="ru-RU"/>
        </w:rPr>
        <w:t>- «Число выполненных посещений гражданами поликлиник и поликлинических подразделений, участвующих в создании и тиражировании «Новой модели организации оказания медицинской помощи»</w:t>
      </w:r>
      <w:r w:rsidRPr="006F4305">
        <w:rPr>
          <w:rFonts w:ascii="Times New Roman" w:eastAsia="Times New Roman" w:hAnsi="Times New Roman" w:cs="Times New Roman"/>
          <w:sz w:val="28"/>
          <w:szCs w:val="28"/>
          <w:lang w:eastAsia="ru-RU"/>
        </w:rPr>
        <w:t xml:space="preserve"> (план – </w:t>
      </w:r>
      <w:r w:rsidRPr="006F4305">
        <w:rPr>
          <w:rFonts w:ascii="Times New Roman" w:eastAsia="Times New Roman" w:hAnsi="Times New Roman" w:cs="Times New Roman"/>
          <w:sz w:val="28"/>
          <w:szCs w:val="28"/>
          <w:lang w:eastAsia="ru-RU"/>
        </w:rPr>
        <w:br/>
        <w:t>9 139,3 тыс. посещений, факт – 7 334,8 тыс. посещений);</w:t>
      </w:r>
    </w:p>
    <w:p w14:paraId="21A6B00C"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«Число посещений сельскими жителями ФП, ФАПов, в расчете на </w:t>
      </w:r>
      <w:r w:rsidRPr="006F4305">
        <w:rPr>
          <w:rFonts w:ascii="Times New Roman" w:eastAsia="Calibri" w:hAnsi="Times New Roman" w:cs="Times New Roman"/>
          <w:bCs/>
          <w:sz w:val="28"/>
          <w:szCs w:val="28"/>
          <w:lang w:eastAsia="ru-RU"/>
        </w:rPr>
        <w:br/>
        <w:t>1 сельского жителя» (план – 2,95 тыс. посещений, факт - 2,51 тыс. посещений);</w:t>
      </w:r>
    </w:p>
    <w:p w14:paraId="12BC8246"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«Доля населенных пунктов с числом жителей до 2000 человек, населению которых доступна первичная медико-санитарная помощь по месту их проживания» (план – 99,84 %, факт – 99,8 %);</w:t>
      </w:r>
    </w:p>
    <w:p w14:paraId="64DE6D9A" w14:textId="77777777" w:rsidR="006F4305" w:rsidRPr="006F4305" w:rsidRDefault="006F4305" w:rsidP="006F4305">
      <w:pPr>
        <w:spacing w:after="0" w:line="240" w:lineRule="auto"/>
        <w:ind w:firstLine="709"/>
        <w:jc w:val="both"/>
        <w:rPr>
          <w:rFonts w:ascii="Times New Roman" w:eastAsia="Calibri" w:hAnsi="Times New Roman" w:cs="Times New Roman"/>
          <w:iCs/>
          <w:sz w:val="28"/>
          <w:szCs w:val="28"/>
          <w:lang w:eastAsia="ru-RU"/>
        </w:rPr>
      </w:pPr>
      <w:r w:rsidRPr="00FB55DE">
        <w:rPr>
          <w:rFonts w:ascii="Times New Roman" w:eastAsia="Times New Roman" w:hAnsi="Times New Roman" w:cs="Times New Roman"/>
          <w:b/>
          <w:bCs/>
          <w:iCs/>
          <w:color w:val="002060"/>
          <w:sz w:val="28"/>
          <w:szCs w:val="24"/>
          <w:lang w:eastAsia="ru-RU"/>
        </w:rPr>
        <w:t xml:space="preserve">2) Региональный проект </w:t>
      </w:r>
      <w:r w:rsidRPr="00FB55DE">
        <w:rPr>
          <w:rFonts w:ascii="Times New Roman" w:eastAsia="Times New Roman" w:hAnsi="Times New Roman" w:cs="Times New Roman"/>
          <w:b/>
          <w:bCs/>
          <w:iCs/>
          <w:color w:val="002060"/>
          <w:sz w:val="28"/>
          <w:szCs w:val="28"/>
          <w:lang w:eastAsia="ru-RU"/>
        </w:rPr>
        <w:t>«Борьба с сердечно-сосудистыми заболеваниями» –</w:t>
      </w:r>
      <w:r w:rsidRPr="00FB55DE">
        <w:rPr>
          <w:rFonts w:ascii="Times New Roman" w:eastAsia="Calibri" w:hAnsi="Times New Roman" w:cs="Times New Roman"/>
          <w:b/>
          <w:bCs/>
          <w:iCs/>
          <w:color w:val="002060"/>
          <w:sz w:val="28"/>
          <w:szCs w:val="28"/>
          <w:lang w:eastAsia="ru-RU"/>
        </w:rPr>
        <w:t xml:space="preserve"> 195,47 млн рублей</w:t>
      </w:r>
      <w:r w:rsidRPr="00FB55DE">
        <w:rPr>
          <w:rFonts w:ascii="Times New Roman" w:eastAsia="Calibri" w:hAnsi="Times New Roman" w:cs="Times New Roman"/>
          <w:iCs/>
          <w:color w:val="002060"/>
          <w:sz w:val="28"/>
          <w:szCs w:val="28"/>
          <w:lang w:eastAsia="ru-RU"/>
        </w:rPr>
        <w:t>,</w:t>
      </w:r>
      <w:r w:rsidRPr="006F4305">
        <w:rPr>
          <w:rFonts w:ascii="Times New Roman" w:eastAsia="Calibri" w:hAnsi="Times New Roman" w:cs="Times New Roman"/>
          <w:iCs/>
          <w:sz w:val="28"/>
          <w:szCs w:val="28"/>
          <w:lang w:eastAsia="ru-RU"/>
        </w:rPr>
        <w:t xml:space="preserve"> или 100 % от годовых назначений.</w:t>
      </w:r>
    </w:p>
    <w:p w14:paraId="441F934C"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Calibri" w:hAnsi="Times New Roman" w:cs="Times New Roman"/>
          <w:sz w:val="28"/>
          <w:szCs w:val="28"/>
          <w:lang w:eastAsia="ru-RU"/>
        </w:rPr>
        <w:t>Средства, выделенные по региональному проекту, направлены на поставку медицинского оборудования,</w:t>
      </w:r>
      <w:r w:rsidRPr="006F4305">
        <w:rPr>
          <w:rFonts w:ascii="Times New Roman" w:eastAsia="Times New Roman" w:hAnsi="Times New Roman" w:cs="Times New Roman"/>
          <w:bCs/>
          <w:sz w:val="28"/>
          <w:szCs w:val="28"/>
          <w:lang w:eastAsia="ru-RU"/>
        </w:rPr>
        <w:t xml:space="preserve"> включая оборудование для ранней медицинской реабилитации,</w:t>
      </w:r>
      <w:r w:rsidRPr="006F4305">
        <w:rPr>
          <w:rFonts w:ascii="Times New Roman" w:eastAsia="Calibri" w:hAnsi="Times New Roman" w:cs="Times New Roman"/>
          <w:sz w:val="28"/>
          <w:szCs w:val="28"/>
          <w:lang w:eastAsia="ru-RU"/>
        </w:rPr>
        <w:t xml:space="preserve"> </w:t>
      </w:r>
      <w:r w:rsidRPr="006F4305">
        <w:rPr>
          <w:rFonts w:ascii="Times New Roman" w:eastAsia="Times New Roman" w:hAnsi="Times New Roman" w:cs="Times New Roman"/>
          <w:bCs/>
          <w:color w:val="000000"/>
          <w:sz w:val="28"/>
          <w:szCs w:val="28"/>
          <w:lang w:eastAsia="ru-RU"/>
        </w:rPr>
        <w:t xml:space="preserve">в </w:t>
      </w:r>
      <w:r w:rsidRPr="006F4305">
        <w:rPr>
          <w:rFonts w:ascii="Times New Roman" w:eastAsia="Times New Roman" w:hAnsi="Times New Roman" w:cs="Times New Roman"/>
          <w:sz w:val="28"/>
          <w:szCs w:val="28"/>
          <w:lang w:eastAsia="ru-RU"/>
        </w:rPr>
        <w:t>ГБУ РД «Республиканская клиническая больница», ГБУ РД «Республиканская клиническая больница скорой медицинской помощи», ГБУ РД «Городская клиническая больница»,</w:t>
      </w:r>
      <w:r w:rsidRPr="006F4305">
        <w:rPr>
          <w:rFonts w:ascii="Times New Roman" w:eastAsia="Times New Roman" w:hAnsi="Times New Roman" w:cs="Times New Roman"/>
          <w:sz w:val="28"/>
          <w:szCs w:val="28"/>
          <w:lang w:eastAsia="ru-RU"/>
        </w:rPr>
        <w:br/>
        <w:t>ГБУ РД «Кизлярская центральная городская больница», в том числе:</w:t>
      </w:r>
    </w:p>
    <w:p w14:paraId="0A62A919" w14:textId="77777777" w:rsidR="006F4305" w:rsidRPr="006F4305" w:rsidRDefault="006F4305" w:rsidP="006F4305">
      <w:pPr>
        <w:spacing w:after="0" w:line="240" w:lineRule="auto"/>
        <w:ind w:firstLine="709"/>
        <w:jc w:val="both"/>
        <w:rPr>
          <w:rFonts w:ascii="Times New Roman" w:eastAsia="Times New Roman" w:hAnsi="Times New Roman" w:cs="Times New Roman"/>
          <w:bCs/>
          <w:color w:val="000000"/>
          <w:sz w:val="28"/>
          <w:szCs w:val="28"/>
          <w:lang w:eastAsia="ru-RU"/>
        </w:rPr>
      </w:pPr>
      <w:r w:rsidRPr="006F4305">
        <w:rPr>
          <w:rFonts w:ascii="Times New Roman" w:eastAsia="Times New Roman" w:hAnsi="Times New Roman" w:cs="Times New Roman"/>
          <w:sz w:val="28"/>
          <w:szCs w:val="28"/>
          <w:lang w:eastAsia="ru-RU"/>
        </w:rPr>
        <w:t xml:space="preserve">- </w:t>
      </w:r>
      <w:r w:rsidRPr="006F4305">
        <w:rPr>
          <w:rFonts w:ascii="Times New Roman" w:eastAsia="Times New Roman" w:hAnsi="Times New Roman" w:cs="Times New Roman"/>
          <w:bCs/>
          <w:color w:val="000000"/>
          <w:sz w:val="28"/>
          <w:szCs w:val="28"/>
          <w:lang w:eastAsia="ru-RU"/>
        </w:rPr>
        <w:t>ангиографическая рентгеновская система (91,5 млн рублей);</w:t>
      </w:r>
    </w:p>
    <w:p w14:paraId="05FDD96F" w14:textId="77777777" w:rsidR="006F4305" w:rsidRPr="006F4305" w:rsidRDefault="006F4305" w:rsidP="006F4305">
      <w:pPr>
        <w:spacing w:after="0" w:line="240" w:lineRule="auto"/>
        <w:ind w:firstLine="709"/>
        <w:jc w:val="both"/>
        <w:rPr>
          <w:rFonts w:ascii="Times New Roman" w:eastAsia="Times New Roman" w:hAnsi="Times New Roman" w:cs="Times New Roman"/>
          <w:bCs/>
          <w:color w:val="000000"/>
          <w:sz w:val="28"/>
          <w:szCs w:val="28"/>
          <w:lang w:eastAsia="ru-RU"/>
        </w:rPr>
      </w:pPr>
      <w:r w:rsidRPr="006F4305">
        <w:rPr>
          <w:rFonts w:ascii="Times New Roman" w:eastAsia="Times New Roman" w:hAnsi="Times New Roman" w:cs="Times New Roman"/>
          <w:bCs/>
          <w:color w:val="000000"/>
          <w:sz w:val="28"/>
          <w:szCs w:val="28"/>
          <w:lang w:eastAsia="ru-RU"/>
        </w:rPr>
        <w:t>- компьютерный томограф (45,0 млн рублей);</w:t>
      </w:r>
    </w:p>
    <w:p w14:paraId="768B3763" w14:textId="77777777" w:rsidR="006F4305" w:rsidRPr="006F4305" w:rsidRDefault="006F4305" w:rsidP="006F4305">
      <w:pPr>
        <w:spacing w:after="0" w:line="240" w:lineRule="auto"/>
        <w:ind w:firstLine="709"/>
        <w:jc w:val="both"/>
        <w:rPr>
          <w:rFonts w:ascii="Times New Roman" w:eastAsia="Times New Roman" w:hAnsi="Times New Roman" w:cs="Times New Roman"/>
          <w:bCs/>
          <w:color w:val="000000"/>
          <w:sz w:val="28"/>
          <w:szCs w:val="28"/>
          <w:lang w:eastAsia="ru-RU"/>
        </w:rPr>
      </w:pPr>
      <w:r w:rsidRPr="006F4305">
        <w:rPr>
          <w:rFonts w:ascii="Times New Roman" w:eastAsia="Times New Roman" w:hAnsi="Times New Roman" w:cs="Times New Roman"/>
          <w:bCs/>
          <w:color w:val="000000"/>
          <w:sz w:val="28"/>
          <w:szCs w:val="28"/>
          <w:lang w:eastAsia="ru-RU"/>
        </w:rPr>
        <w:t>- тренажер с биологической обратной связью для восстановления равновесия (0,64 млн рублей);</w:t>
      </w:r>
    </w:p>
    <w:p w14:paraId="55D8B66B" w14:textId="77777777" w:rsidR="006F4305" w:rsidRPr="006F4305" w:rsidRDefault="006F4305" w:rsidP="006F4305">
      <w:pPr>
        <w:spacing w:after="0" w:line="240" w:lineRule="auto"/>
        <w:ind w:firstLine="709"/>
        <w:jc w:val="both"/>
        <w:rPr>
          <w:rFonts w:ascii="Times New Roman" w:eastAsia="Times New Roman" w:hAnsi="Times New Roman" w:cs="Times New Roman"/>
          <w:bCs/>
          <w:color w:val="000000"/>
          <w:sz w:val="28"/>
          <w:szCs w:val="28"/>
          <w:lang w:eastAsia="ru-RU"/>
        </w:rPr>
      </w:pPr>
      <w:r w:rsidRPr="006F4305">
        <w:rPr>
          <w:rFonts w:ascii="Times New Roman" w:eastAsia="Times New Roman" w:hAnsi="Times New Roman" w:cs="Times New Roman"/>
          <w:bCs/>
          <w:color w:val="000000"/>
          <w:sz w:val="28"/>
          <w:szCs w:val="28"/>
          <w:lang w:eastAsia="ru-RU"/>
        </w:rPr>
        <w:t>- аппарат для роботизированной механотерапии верхних конечностей (0,46 млн рублей);</w:t>
      </w:r>
    </w:p>
    <w:p w14:paraId="75DAFE9C" w14:textId="77777777" w:rsidR="006F4305" w:rsidRPr="006F4305" w:rsidRDefault="006F4305" w:rsidP="006F4305">
      <w:pPr>
        <w:spacing w:after="0" w:line="240" w:lineRule="auto"/>
        <w:ind w:firstLine="709"/>
        <w:jc w:val="both"/>
        <w:rPr>
          <w:rFonts w:ascii="Times New Roman" w:eastAsia="Times New Roman" w:hAnsi="Times New Roman" w:cs="Times New Roman"/>
          <w:bCs/>
          <w:color w:val="000000"/>
          <w:sz w:val="28"/>
          <w:szCs w:val="28"/>
          <w:lang w:eastAsia="ru-RU"/>
        </w:rPr>
      </w:pPr>
      <w:r w:rsidRPr="006F4305">
        <w:rPr>
          <w:rFonts w:ascii="Times New Roman" w:eastAsia="Times New Roman" w:hAnsi="Times New Roman" w:cs="Times New Roman"/>
          <w:bCs/>
          <w:color w:val="000000"/>
          <w:sz w:val="28"/>
          <w:szCs w:val="28"/>
          <w:lang w:eastAsia="ru-RU"/>
        </w:rPr>
        <w:t>- стабиллоплатформа (0,35 млн рублей);</w:t>
      </w:r>
    </w:p>
    <w:p w14:paraId="6D669B68" w14:textId="77777777" w:rsidR="006F4305" w:rsidRPr="006F4305" w:rsidRDefault="006F4305" w:rsidP="006F4305">
      <w:pPr>
        <w:spacing w:after="0" w:line="240" w:lineRule="auto"/>
        <w:ind w:firstLine="709"/>
        <w:jc w:val="both"/>
        <w:rPr>
          <w:rFonts w:ascii="Times New Roman" w:eastAsia="Times New Roman" w:hAnsi="Times New Roman" w:cs="Times New Roman"/>
          <w:bCs/>
          <w:color w:val="000000"/>
          <w:sz w:val="28"/>
          <w:szCs w:val="28"/>
          <w:lang w:eastAsia="ru-RU"/>
        </w:rPr>
      </w:pPr>
      <w:r w:rsidRPr="006F4305">
        <w:rPr>
          <w:rFonts w:ascii="Times New Roman" w:eastAsia="Times New Roman" w:hAnsi="Times New Roman" w:cs="Times New Roman"/>
          <w:bCs/>
          <w:color w:val="000000"/>
          <w:sz w:val="28"/>
          <w:szCs w:val="28"/>
          <w:lang w:eastAsia="ru-RU"/>
        </w:rPr>
        <w:t>- кардиопрепараты на общую сумму 55,08 млн рублей.</w:t>
      </w:r>
    </w:p>
    <w:p w14:paraId="1464E4FD"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По состоянию на 1 января 2022 года фактически освоено 195,47 млн рублей, или 100 % от объема финансирования.  </w:t>
      </w:r>
    </w:p>
    <w:p w14:paraId="7DB1694A"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В 2021 году по региональному проекту было предусмотрено достижение </w:t>
      </w:r>
      <w:r w:rsidRPr="006F4305">
        <w:rPr>
          <w:rFonts w:ascii="Times New Roman" w:eastAsia="Times New Roman" w:hAnsi="Times New Roman" w:cs="Times New Roman"/>
          <w:sz w:val="28"/>
          <w:szCs w:val="28"/>
          <w:lang w:eastAsia="ru-RU"/>
        </w:rPr>
        <w:lastRenderedPageBreak/>
        <w:t xml:space="preserve">6 целевых показателей регионального проекта, из которых выполнены </w:t>
      </w:r>
      <w:r w:rsidRPr="006F4305">
        <w:rPr>
          <w:rFonts w:ascii="Times New Roman" w:eastAsia="Times New Roman" w:hAnsi="Times New Roman" w:cs="Times New Roman"/>
          <w:sz w:val="28"/>
          <w:szCs w:val="28"/>
          <w:lang w:eastAsia="ru-RU"/>
        </w:rPr>
        <w:br/>
        <w:t>3 показателя.</w:t>
      </w:r>
      <w:r w:rsidRPr="006F4305">
        <w:rPr>
          <w:rFonts w:ascii="Times New Roman" w:eastAsia="Calibri" w:hAnsi="Times New Roman" w:cs="Times New Roman"/>
          <w:sz w:val="28"/>
          <w:szCs w:val="28"/>
          <w:lang w:eastAsia="ru-RU"/>
        </w:rPr>
        <w:t xml:space="preserve"> Не достигнуты плановые значения по 3 целевым показателям:</w:t>
      </w:r>
    </w:p>
    <w:p w14:paraId="1A21429B"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«Больничная летальность от инфаркта миокарда, убывающий, %» (план – 6,0 %, факт – 7,0 %);</w:t>
      </w:r>
    </w:p>
    <w:p w14:paraId="0904FE91"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«Больничная летальность от острого нарушения мозгового кровообращения» (план – 8,0 %, факт – 9,0 %).</w:t>
      </w:r>
    </w:p>
    <w:p w14:paraId="1FA6B461"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 «Количество рентген-эндоваскулярных вмешательств в лечебных целях, тыс. ед.» </w:t>
      </w:r>
      <w:bookmarkStart w:id="39" w:name="_Hlk62888234"/>
      <w:r w:rsidRPr="006F4305">
        <w:rPr>
          <w:rFonts w:ascii="Times New Roman" w:eastAsia="Times New Roman" w:hAnsi="Times New Roman" w:cs="Times New Roman"/>
          <w:sz w:val="28"/>
          <w:szCs w:val="28"/>
          <w:lang w:eastAsia="ru-RU"/>
        </w:rPr>
        <w:t>(план – 3,24 тыс. ед, факт – 2,07 тыс. ед.).</w:t>
      </w:r>
    </w:p>
    <w:bookmarkEnd w:id="39"/>
    <w:p w14:paraId="5962AD73"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FB55DE">
        <w:rPr>
          <w:rFonts w:ascii="Times New Roman" w:eastAsia="Times New Roman" w:hAnsi="Times New Roman" w:cs="Times New Roman"/>
          <w:b/>
          <w:bCs/>
          <w:iCs/>
          <w:color w:val="002060"/>
          <w:sz w:val="28"/>
          <w:szCs w:val="24"/>
          <w:lang w:eastAsia="ru-RU"/>
        </w:rPr>
        <w:t xml:space="preserve">3) Региональный проект </w:t>
      </w:r>
      <w:r w:rsidRPr="00FB55DE">
        <w:rPr>
          <w:rFonts w:ascii="Times New Roman" w:eastAsia="Times New Roman" w:hAnsi="Times New Roman" w:cs="Times New Roman"/>
          <w:b/>
          <w:bCs/>
          <w:iCs/>
          <w:color w:val="002060"/>
          <w:sz w:val="28"/>
          <w:szCs w:val="28"/>
          <w:lang w:eastAsia="ru-RU"/>
        </w:rPr>
        <w:t>«Борьба с онкологическими заболеваниями» –</w:t>
      </w:r>
      <w:r w:rsidRPr="00FB55DE">
        <w:rPr>
          <w:rFonts w:ascii="Times New Roman" w:eastAsia="Calibri" w:hAnsi="Times New Roman" w:cs="Times New Roman"/>
          <w:b/>
          <w:bCs/>
          <w:iCs/>
          <w:color w:val="002060"/>
          <w:sz w:val="28"/>
          <w:szCs w:val="28"/>
          <w:lang w:eastAsia="ru-RU"/>
        </w:rPr>
        <w:t xml:space="preserve"> 1 694,47 млн рублей</w:t>
      </w:r>
      <w:r w:rsidRPr="006F4305">
        <w:rPr>
          <w:rFonts w:ascii="Times New Roman" w:eastAsia="Calibri" w:hAnsi="Times New Roman" w:cs="Times New Roman"/>
          <w:b/>
          <w:iCs/>
          <w:sz w:val="28"/>
          <w:szCs w:val="28"/>
          <w:lang w:eastAsia="ru-RU"/>
        </w:rPr>
        <w:t>,</w:t>
      </w:r>
      <w:r w:rsidRPr="006F4305">
        <w:rPr>
          <w:rFonts w:ascii="Times New Roman" w:eastAsia="Calibri" w:hAnsi="Times New Roman" w:cs="Times New Roman"/>
          <w:iCs/>
          <w:sz w:val="28"/>
          <w:szCs w:val="28"/>
          <w:lang w:eastAsia="ru-RU"/>
        </w:rPr>
        <w:t xml:space="preserve"> или 100 % от годовых назначений </w:t>
      </w:r>
      <w:r w:rsidRPr="006F4305">
        <w:rPr>
          <w:rFonts w:ascii="Times New Roman" w:eastAsia="Calibri" w:hAnsi="Times New Roman" w:cs="Times New Roman"/>
          <w:iCs/>
          <w:sz w:val="28"/>
          <w:szCs w:val="28"/>
          <w:lang w:eastAsia="ru-RU"/>
        </w:rPr>
        <w:br/>
        <w:t xml:space="preserve">(в том числе средства ТФОМС РД – 1 389,4 млн рублей). </w:t>
      </w: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p>
    <w:p w14:paraId="39A5082B" w14:textId="77777777" w:rsidR="006F4305" w:rsidRPr="006F4305" w:rsidRDefault="006F4305" w:rsidP="006F4305">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6F4305">
        <w:rPr>
          <w:rFonts w:ascii="Times New Roman" w:eastAsia="Times New Roman" w:hAnsi="Times New Roman" w:cs="Times New Roman"/>
          <w:sz w:val="28"/>
          <w:szCs w:val="28"/>
          <w:lang w:eastAsia="ru-RU"/>
        </w:rPr>
        <w:t xml:space="preserve">- ремонт и </w:t>
      </w:r>
      <w:r w:rsidRPr="006F4305">
        <w:rPr>
          <w:rFonts w:ascii="Times New Roman" w:eastAsia="Times New Roman" w:hAnsi="Times New Roman" w:cs="Times New Roman"/>
          <w:sz w:val="28"/>
          <w:szCs w:val="28"/>
          <w:shd w:val="clear" w:color="auto" w:fill="FFFFFF"/>
          <w:lang w:eastAsia="ru-RU"/>
        </w:rPr>
        <w:t xml:space="preserve">оснащение </w:t>
      </w:r>
      <w:r w:rsidRPr="006F4305">
        <w:rPr>
          <w:rFonts w:ascii="Times New Roman" w:eastAsia="Times New Roman" w:hAnsi="Times New Roman" w:cs="Times New Roman"/>
          <w:bCs/>
          <w:color w:val="000000"/>
          <w:sz w:val="28"/>
          <w:szCs w:val="28"/>
          <w:lang w:eastAsia="ru-RU"/>
        </w:rPr>
        <w:t xml:space="preserve">ГБУ РД «Избербашская центральная городская больница» – </w:t>
      </w:r>
      <w:r w:rsidRPr="006F4305">
        <w:rPr>
          <w:rFonts w:ascii="Times New Roman" w:eastAsia="Times New Roman" w:hAnsi="Times New Roman" w:cs="Times New Roman"/>
          <w:sz w:val="28"/>
          <w:szCs w:val="28"/>
          <w:lang w:eastAsia="ru-RU"/>
        </w:rPr>
        <w:t xml:space="preserve">52,9 млн рублей. Проведен ремонт (2,01 млн рублей) и закуплено </w:t>
      </w:r>
      <w:r w:rsidRPr="006F4305">
        <w:rPr>
          <w:rFonts w:ascii="Times New Roman" w:eastAsia="Times New Roman" w:hAnsi="Times New Roman" w:cs="Times New Roman"/>
          <w:sz w:val="28"/>
          <w:szCs w:val="28"/>
          <w:lang w:eastAsia="ru-RU"/>
        </w:rPr>
        <w:br/>
        <w:t xml:space="preserve">30 единиц медицинского оборудования (50,9 млн рублей).  В ноябре </w:t>
      </w:r>
      <w:r w:rsidRPr="006F4305">
        <w:rPr>
          <w:rFonts w:ascii="Times New Roman" w:eastAsia="Times New Roman" w:hAnsi="Times New Roman" w:cs="Times New Roman"/>
          <w:bCs/>
          <w:sz w:val="28"/>
          <w:szCs w:val="28"/>
        </w:rPr>
        <w:t>2021 года состоялось открытие Центра амбулаторной онкологической помощи при ГБУ РД «Избербашская ЦГБ»;</w:t>
      </w:r>
    </w:p>
    <w:p w14:paraId="0B3728F9" w14:textId="77777777" w:rsidR="006F4305" w:rsidRPr="006F4305" w:rsidRDefault="006F4305" w:rsidP="006F4305">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rPr>
      </w:pPr>
      <w:r w:rsidRPr="006F4305">
        <w:rPr>
          <w:rFonts w:ascii="Times New Roman" w:eastAsia="Times New Roman" w:hAnsi="Times New Roman" w:cs="Times New Roman"/>
          <w:bCs/>
          <w:color w:val="000000"/>
          <w:sz w:val="28"/>
          <w:szCs w:val="28"/>
        </w:rPr>
        <w:t>- оснащение ГБУ РД «Республиканский онкологический центр» –</w:t>
      </w:r>
      <w:r w:rsidRPr="006F4305">
        <w:rPr>
          <w:rFonts w:ascii="Times New Roman" w:eastAsia="Times New Roman" w:hAnsi="Times New Roman" w:cs="Times New Roman"/>
          <w:bCs/>
          <w:color w:val="000000"/>
          <w:sz w:val="28"/>
          <w:szCs w:val="28"/>
        </w:rPr>
        <w:br/>
        <w:t xml:space="preserve"> 249,2 млн рублей. Закуплено следующее оборудование: плазменный стерилизатор на сумму 5,94 млн рублей, роботизированная система гистологической и иммуногистохимической диагностики на сумму </w:t>
      </w:r>
      <w:r w:rsidRPr="006F4305">
        <w:rPr>
          <w:rFonts w:ascii="Times New Roman" w:eastAsia="Times New Roman" w:hAnsi="Times New Roman" w:cs="Times New Roman"/>
          <w:bCs/>
          <w:color w:val="000000"/>
          <w:sz w:val="28"/>
          <w:szCs w:val="28"/>
        </w:rPr>
        <w:br/>
        <w:t xml:space="preserve">51,2 млн рублей, магнитно-резонансный томограф на сумму 192,0 млн рублей. </w:t>
      </w:r>
    </w:p>
    <w:p w14:paraId="5E2B99A5" w14:textId="77777777" w:rsidR="006F4305" w:rsidRPr="006F4305" w:rsidRDefault="006F4305" w:rsidP="006F4305">
      <w:pPr>
        <w:spacing w:after="0" w:line="240" w:lineRule="auto"/>
        <w:ind w:firstLine="709"/>
        <w:jc w:val="both"/>
        <w:rPr>
          <w:rFonts w:ascii="Times New Roman" w:eastAsia="Times New Roman" w:hAnsi="Times New Roman" w:cs="Times New Roman"/>
          <w:color w:val="000000"/>
          <w:sz w:val="28"/>
          <w:szCs w:val="28"/>
          <w:lang w:eastAsia="ru-RU"/>
        </w:rPr>
      </w:pPr>
      <w:r w:rsidRPr="006F4305">
        <w:rPr>
          <w:rFonts w:ascii="Times New Roman" w:eastAsia="Calibri" w:hAnsi="Times New Roman" w:cs="Times New Roman"/>
          <w:sz w:val="28"/>
          <w:szCs w:val="28"/>
          <w:lang w:eastAsia="ru-RU"/>
        </w:rPr>
        <w:t xml:space="preserve">По состоянию на 1 января 2022 года освоено 1 691,4 млн рублей, или </w:t>
      </w:r>
      <w:r w:rsidRPr="006F4305">
        <w:rPr>
          <w:rFonts w:ascii="Times New Roman" w:eastAsia="Calibri" w:hAnsi="Times New Roman" w:cs="Times New Roman"/>
          <w:sz w:val="28"/>
          <w:szCs w:val="28"/>
          <w:lang w:eastAsia="ru-RU"/>
        </w:rPr>
        <w:br/>
        <w:t xml:space="preserve">99,8 % от объема финансирования.  </w:t>
      </w:r>
      <w:r w:rsidRPr="006F4305">
        <w:rPr>
          <w:rFonts w:ascii="Times New Roman" w:eastAsia="Calibri" w:hAnsi="Times New Roman" w:cs="Times New Roman"/>
          <w:bCs/>
          <w:sz w:val="28"/>
          <w:szCs w:val="28"/>
          <w:lang w:eastAsia="hi-IN" w:bidi="hi-IN"/>
        </w:rPr>
        <w:t xml:space="preserve">Неиспользованный (неосвоенный) остаток составил 3,0 млн рублей </w:t>
      </w:r>
      <w:r w:rsidRPr="006F4305">
        <w:rPr>
          <w:rFonts w:ascii="Times New Roman" w:eastAsia="Times New Roman" w:hAnsi="Times New Roman" w:cs="Times New Roman"/>
          <w:color w:val="000000"/>
          <w:sz w:val="28"/>
          <w:szCs w:val="28"/>
          <w:lang w:eastAsia="ru-RU"/>
        </w:rPr>
        <w:t>(средства федерального бюджета, остатки 2020 года)</w:t>
      </w:r>
      <w:r w:rsidRPr="006F4305">
        <w:rPr>
          <w:rFonts w:ascii="Times New Roman" w:eastAsia="Calibri" w:hAnsi="Times New Roman" w:cs="Times New Roman"/>
          <w:bCs/>
          <w:sz w:val="28"/>
          <w:szCs w:val="28"/>
          <w:lang w:eastAsia="hi-IN" w:bidi="hi-IN"/>
        </w:rPr>
        <w:t xml:space="preserve">, или 0,2 % от объема годовых назначений. Данные средства были предназначены для финансирования строительства </w:t>
      </w:r>
      <w:r w:rsidRPr="006F4305">
        <w:rPr>
          <w:rFonts w:ascii="Times New Roman" w:eastAsia="Times New Roman" w:hAnsi="Times New Roman" w:cs="Times New Roman"/>
          <w:color w:val="000000"/>
          <w:sz w:val="28"/>
          <w:szCs w:val="28"/>
          <w:lang w:eastAsia="ru-RU"/>
        </w:rPr>
        <w:t xml:space="preserve">помещения для размещения линейных ускорителей, приобретенных в 2020 году в рамках регионального проекта. </w:t>
      </w:r>
    </w:p>
    <w:p w14:paraId="49B229D4" w14:textId="77777777" w:rsidR="006F4305" w:rsidRPr="006F4305" w:rsidRDefault="006F4305" w:rsidP="006F4305">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t xml:space="preserve">Следует отметить, что по состоянию на 1 января 2022 года </w:t>
      </w:r>
      <w:r w:rsidRPr="006F4305">
        <w:rPr>
          <w:rFonts w:ascii="Times New Roman" w:eastAsia="Times New Roman" w:hAnsi="Times New Roman" w:cs="Times New Roman"/>
          <w:bCs/>
          <w:sz w:val="28"/>
          <w:szCs w:val="28"/>
          <w:lang w:eastAsia="ru-RU"/>
        </w:rPr>
        <w:br/>
        <w:t>н</w:t>
      </w:r>
      <w:r w:rsidRPr="006F4305">
        <w:rPr>
          <w:rFonts w:ascii="Times New Roman" w:eastAsia="Calibri" w:hAnsi="Times New Roman" w:cs="Times New Roman"/>
          <w:bCs/>
          <w:sz w:val="28"/>
          <w:szCs w:val="28"/>
          <w:lang w:eastAsia="ru-RU"/>
        </w:rPr>
        <w:t xml:space="preserve">е получено заключение государственной экспертизы по проектно-сметной документации, подготовленной в 2020 году в целях строительства референс -центра в ГБУ РД «Республиканский онкологический центр» для размещения медицинского оборудования (линейных ускорителей). При этом, в рамках регионального проекта в 2020 году были закуплены и поставлены линейные ускорители на общую сумму </w:t>
      </w:r>
      <w:r w:rsidRPr="006F4305">
        <w:rPr>
          <w:rFonts w:ascii="Times New Roman" w:eastAsia="Calibri" w:hAnsi="Times New Roman" w:cs="Times New Roman"/>
          <w:sz w:val="28"/>
          <w:szCs w:val="28"/>
          <w:lang w:eastAsia="ru-RU"/>
        </w:rPr>
        <w:t xml:space="preserve">652,86 млн рублей. Дорогостоящее оборудование по настоящее время остается </w:t>
      </w:r>
      <w:r w:rsidRPr="006F4305">
        <w:rPr>
          <w:rFonts w:ascii="Times New Roman" w:eastAsia="Calibri" w:hAnsi="Times New Roman" w:cs="Times New Roman"/>
          <w:bCs/>
          <w:sz w:val="28"/>
          <w:szCs w:val="28"/>
          <w:lang w:eastAsia="ru-RU"/>
        </w:rPr>
        <w:t>неиспользуемым и подвержено моральному износу.</w:t>
      </w:r>
    </w:p>
    <w:p w14:paraId="52FB9084"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6F4305">
        <w:rPr>
          <w:rFonts w:ascii="Times New Roman" w:eastAsia="Times New Roman" w:hAnsi="Times New Roman" w:cs="Times New Roman"/>
          <w:bCs/>
          <w:sz w:val="28"/>
          <w:szCs w:val="28"/>
          <w:shd w:val="clear" w:color="auto" w:fill="FFFFFF"/>
          <w:lang w:eastAsia="ru-RU"/>
        </w:rPr>
        <w:t xml:space="preserve">По итогам реализации регионального проекта в 2021 году </w:t>
      </w:r>
      <w:r w:rsidRPr="006F4305">
        <w:rPr>
          <w:rFonts w:ascii="Times New Roman" w:eastAsia="Times New Roman" w:hAnsi="Times New Roman" w:cs="Times New Roman"/>
          <w:sz w:val="28"/>
          <w:szCs w:val="28"/>
          <w:shd w:val="clear" w:color="auto" w:fill="FFFFFF"/>
          <w:lang w:eastAsia="ru-RU"/>
        </w:rPr>
        <w:t>запланированные 4 целевых показателя выполнены в полном объеме.</w:t>
      </w:r>
    </w:p>
    <w:p w14:paraId="17E40461" w14:textId="77777777" w:rsidR="006F4305" w:rsidRPr="006F4305" w:rsidRDefault="006F4305" w:rsidP="006F4305">
      <w:pPr>
        <w:widowControl w:val="0"/>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ru-RU"/>
        </w:rPr>
      </w:pPr>
      <w:r w:rsidRPr="00FB55DE">
        <w:rPr>
          <w:rFonts w:ascii="Times New Roman" w:eastAsia="Times New Roman" w:hAnsi="Times New Roman" w:cs="Times New Roman"/>
          <w:b/>
          <w:bCs/>
          <w:iCs/>
          <w:color w:val="002060"/>
          <w:sz w:val="28"/>
          <w:szCs w:val="24"/>
          <w:lang w:eastAsia="ru-RU"/>
        </w:rPr>
        <w:t>4) Региональный проект «</w:t>
      </w:r>
      <w:r w:rsidRPr="00FB55DE">
        <w:rPr>
          <w:rFonts w:ascii="Times New Roman" w:eastAsia="Times New Roman" w:hAnsi="Times New Roman" w:cs="Times New Roman"/>
          <w:b/>
          <w:bCs/>
          <w:iCs/>
          <w:color w:val="002060"/>
          <w:sz w:val="28"/>
          <w:szCs w:val="28"/>
          <w:lang w:eastAsia="ru-RU"/>
        </w:rPr>
        <w:t xml:space="preserve">Развитие детского здравоохранения, включая создание современной инфраструктуры оказания медицинской помощи детям» – </w:t>
      </w:r>
      <w:r w:rsidRPr="00FB55DE">
        <w:rPr>
          <w:rFonts w:ascii="Times New Roman" w:eastAsia="Calibri" w:hAnsi="Times New Roman" w:cs="Times New Roman"/>
          <w:b/>
          <w:bCs/>
          <w:iCs/>
          <w:color w:val="002060"/>
          <w:sz w:val="28"/>
          <w:szCs w:val="28"/>
          <w:lang w:eastAsia="ru-RU"/>
        </w:rPr>
        <w:t>83,5 млн рублей</w:t>
      </w:r>
      <w:r w:rsidRPr="00FB55DE">
        <w:rPr>
          <w:rFonts w:ascii="Times New Roman" w:eastAsia="Calibri" w:hAnsi="Times New Roman" w:cs="Times New Roman"/>
          <w:bCs/>
          <w:iCs/>
          <w:color w:val="002060"/>
          <w:sz w:val="28"/>
          <w:szCs w:val="28"/>
          <w:lang w:eastAsia="ru-RU"/>
        </w:rPr>
        <w:t>,</w:t>
      </w:r>
      <w:r w:rsidRPr="00FB55DE">
        <w:rPr>
          <w:rFonts w:ascii="Times New Roman" w:eastAsia="Calibri" w:hAnsi="Times New Roman" w:cs="Times New Roman"/>
          <w:iCs/>
          <w:color w:val="002060"/>
          <w:sz w:val="28"/>
          <w:szCs w:val="28"/>
          <w:lang w:eastAsia="ru-RU"/>
        </w:rPr>
        <w:t xml:space="preserve"> </w:t>
      </w:r>
      <w:r w:rsidRPr="006F4305">
        <w:rPr>
          <w:rFonts w:ascii="Times New Roman" w:eastAsia="Calibri" w:hAnsi="Times New Roman" w:cs="Times New Roman"/>
          <w:iCs/>
          <w:color w:val="000000" w:themeColor="text1"/>
          <w:sz w:val="28"/>
          <w:szCs w:val="28"/>
          <w:lang w:eastAsia="ru-RU"/>
        </w:rPr>
        <w:t>или 100 % от годовых</w:t>
      </w:r>
      <w:r w:rsidRPr="006F4305">
        <w:rPr>
          <w:rFonts w:ascii="Times New Roman" w:eastAsia="Calibri" w:hAnsi="Times New Roman" w:cs="Times New Roman"/>
          <w:color w:val="000000" w:themeColor="text1"/>
          <w:sz w:val="28"/>
          <w:szCs w:val="28"/>
          <w:lang w:eastAsia="ru-RU"/>
        </w:rPr>
        <w:t xml:space="preserve"> назначений</w:t>
      </w:r>
      <w:r w:rsidRPr="006F4305">
        <w:rPr>
          <w:rFonts w:ascii="Times New Roman" w:eastAsia="Times New Roman" w:hAnsi="Times New Roman" w:cs="Times New Roman"/>
          <w:color w:val="000000" w:themeColor="text1"/>
          <w:sz w:val="28"/>
          <w:szCs w:val="24"/>
          <w:lang w:eastAsia="ru-RU"/>
        </w:rPr>
        <w:t xml:space="preserve"> </w:t>
      </w:r>
      <w:r w:rsidRPr="006F4305">
        <w:rPr>
          <w:rFonts w:ascii="Times New Roman" w:eastAsia="Calibri" w:hAnsi="Times New Roman" w:cs="Times New Roman"/>
          <w:color w:val="000000" w:themeColor="text1"/>
          <w:sz w:val="28"/>
          <w:szCs w:val="28"/>
          <w:lang w:eastAsia="ru-RU"/>
        </w:rPr>
        <w:t xml:space="preserve">(средства </w:t>
      </w:r>
      <w:r w:rsidRPr="006F4305">
        <w:rPr>
          <w:rFonts w:ascii="Times New Roman" w:eastAsia="Calibri" w:hAnsi="Times New Roman" w:cs="Times New Roman"/>
          <w:bCs/>
          <w:color w:val="000000" w:themeColor="text1"/>
          <w:sz w:val="28"/>
          <w:szCs w:val="28"/>
          <w:lang w:eastAsia="ru-RU"/>
        </w:rPr>
        <w:t>Фонда социального страхования</w:t>
      </w:r>
      <w:r w:rsidRPr="006F4305">
        <w:rPr>
          <w:rFonts w:ascii="Times New Roman" w:eastAsia="Calibri" w:hAnsi="Times New Roman" w:cs="Times New Roman"/>
          <w:color w:val="000000" w:themeColor="text1"/>
          <w:sz w:val="28"/>
          <w:szCs w:val="28"/>
          <w:lang w:eastAsia="ru-RU"/>
        </w:rPr>
        <w:t xml:space="preserve"> Российской Федерации по </w:t>
      </w:r>
      <w:r w:rsidRPr="006F4305">
        <w:rPr>
          <w:rFonts w:ascii="Times New Roman" w:eastAsia="Calibri" w:hAnsi="Times New Roman" w:cs="Times New Roman"/>
          <w:color w:val="000000" w:themeColor="text1"/>
          <w:sz w:val="28"/>
          <w:szCs w:val="28"/>
          <w:lang w:eastAsia="ru-RU"/>
        </w:rPr>
        <w:lastRenderedPageBreak/>
        <w:t>Республике Дагестан).</w:t>
      </w:r>
    </w:p>
    <w:p w14:paraId="2188AA59"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Calibri" w:hAnsi="Times New Roman" w:cs="Times New Roman"/>
          <w:sz w:val="28"/>
          <w:szCs w:val="28"/>
          <w:lang w:eastAsia="ru-RU"/>
        </w:rPr>
        <w:t>Средства, профинансированные по региональному проекту</w:t>
      </w:r>
      <w:r w:rsidRPr="006F4305">
        <w:rPr>
          <w:rFonts w:ascii="Times New Roman" w:eastAsia="Times New Roman" w:hAnsi="Times New Roman" w:cs="Times New Roman"/>
          <w:sz w:val="28"/>
          <w:szCs w:val="24"/>
          <w:lang w:eastAsia="ru-RU"/>
        </w:rPr>
        <w:t xml:space="preserve"> направлены на </w:t>
      </w:r>
      <w:r w:rsidRPr="006F4305">
        <w:rPr>
          <w:rFonts w:ascii="Times New Roman" w:eastAsia="Calibri" w:hAnsi="Times New Roman" w:cs="Times New Roman"/>
          <w:sz w:val="28"/>
          <w:szCs w:val="28"/>
        </w:rPr>
        <w:t xml:space="preserve">развитие материально-технической базы медицинских организаций Республики Дагестан, оказывающих помощь женщинам в период беременности, родов и в послеродовом периоде и новорожденным. </w:t>
      </w:r>
      <w:r w:rsidRPr="006F4305">
        <w:rPr>
          <w:rFonts w:ascii="Times New Roman" w:eastAsia="Times New Roman" w:hAnsi="Times New Roman" w:cs="Times New Roman"/>
          <w:sz w:val="28"/>
          <w:szCs w:val="28"/>
          <w:lang w:eastAsia="ru-RU"/>
        </w:rPr>
        <w:t xml:space="preserve">Оказана помощь более 125,1 тыс. человек, или 100 % от плана. </w:t>
      </w:r>
    </w:p>
    <w:p w14:paraId="12FBD926"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По состоянию на 1 января 2022 года фактически </w:t>
      </w:r>
      <w:r w:rsidRPr="006F4305">
        <w:rPr>
          <w:rFonts w:ascii="Times New Roman" w:eastAsia="Times New Roman" w:hAnsi="Times New Roman" w:cs="Times New Roman"/>
          <w:sz w:val="28"/>
          <w:szCs w:val="24"/>
          <w:lang w:eastAsia="ru-RU"/>
        </w:rPr>
        <w:t xml:space="preserve">освоено 83,5 млн рублей, или 100 % от объема финансирования.  </w:t>
      </w:r>
    </w:p>
    <w:p w14:paraId="62C63ED9"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bCs/>
          <w:sz w:val="28"/>
          <w:szCs w:val="28"/>
          <w:lang w:eastAsia="ru-RU"/>
        </w:rPr>
        <w:t xml:space="preserve">По итогам реализации регионального проекта в 2021 году </w:t>
      </w:r>
      <w:r w:rsidRPr="006F4305">
        <w:rPr>
          <w:rFonts w:ascii="Times New Roman" w:eastAsia="Times New Roman" w:hAnsi="Times New Roman" w:cs="Times New Roman"/>
          <w:sz w:val="28"/>
          <w:szCs w:val="28"/>
          <w:lang w:eastAsia="ru-RU"/>
        </w:rPr>
        <w:t>запланированные 13 целевых показателей выполнены в полном объеме.</w:t>
      </w:r>
    </w:p>
    <w:p w14:paraId="6A6605F0"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iCs/>
          <w:sz w:val="28"/>
          <w:szCs w:val="28"/>
          <w:lang w:eastAsia="ru-RU"/>
        </w:rPr>
      </w:pPr>
      <w:r w:rsidRPr="00FB55DE">
        <w:rPr>
          <w:rFonts w:ascii="Times New Roman" w:eastAsia="Times New Roman" w:hAnsi="Times New Roman" w:cs="Times New Roman"/>
          <w:b/>
          <w:bCs/>
          <w:iCs/>
          <w:color w:val="002060"/>
          <w:sz w:val="28"/>
          <w:szCs w:val="24"/>
          <w:lang w:eastAsia="ru-RU"/>
        </w:rPr>
        <w:t xml:space="preserve">5) Региональный проект </w:t>
      </w:r>
      <w:r w:rsidRPr="00FB55DE">
        <w:rPr>
          <w:rFonts w:ascii="Times New Roman" w:eastAsia="Times New Roman" w:hAnsi="Times New Roman" w:cs="Times New Roman"/>
          <w:b/>
          <w:bCs/>
          <w:iCs/>
          <w:color w:val="002060"/>
          <w:sz w:val="28"/>
          <w:szCs w:val="28"/>
          <w:lang w:eastAsia="ru-RU"/>
        </w:rPr>
        <w:t xml:space="preserve">«Создание единого цифрового контура в здравоохранении на основе единой государственной информационной системы здравоохранения (ЕГИСЗ)» </w:t>
      </w:r>
      <w:r w:rsidRPr="00FB55DE">
        <w:rPr>
          <w:rFonts w:ascii="Times New Roman" w:eastAsia="Calibri" w:hAnsi="Times New Roman" w:cs="Times New Roman"/>
          <w:b/>
          <w:bCs/>
          <w:iCs/>
          <w:color w:val="002060"/>
          <w:sz w:val="28"/>
          <w:szCs w:val="28"/>
          <w:lang w:eastAsia="ru-RU"/>
        </w:rPr>
        <w:t>– 703,2 млн рублей</w:t>
      </w:r>
      <w:r w:rsidRPr="00FB55DE">
        <w:rPr>
          <w:rFonts w:ascii="Times New Roman" w:eastAsia="Calibri" w:hAnsi="Times New Roman" w:cs="Times New Roman"/>
          <w:b/>
          <w:iCs/>
          <w:color w:val="002060"/>
          <w:sz w:val="28"/>
          <w:szCs w:val="28"/>
          <w:lang w:eastAsia="ru-RU"/>
        </w:rPr>
        <w:t>,</w:t>
      </w:r>
      <w:r w:rsidRPr="00FB55DE">
        <w:rPr>
          <w:rFonts w:ascii="Times New Roman" w:eastAsia="Calibri" w:hAnsi="Times New Roman" w:cs="Times New Roman"/>
          <w:iCs/>
          <w:color w:val="002060"/>
          <w:sz w:val="28"/>
          <w:szCs w:val="28"/>
          <w:lang w:eastAsia="ru-RU"/>
        </w:rPr>
        <w:t xml:space="preserve"> </w:t>
      </w:r>
      <w:r w:rsidRPr="006F4305">
        <w:rPr>
          <w:rFonts w:ascii="Times New Roman" w:eastAsia="Calibri" w:hAnsi="Times New Roman" w:cs="Times New Roman"/>
          <w:iCs/>
          <w:sz w:val="28"/>
          <w:szCs w:val="28"/>
          <w:lang w:eastAsia="ru-RU"/>
        </w:rPr>
        <w:t>или 100 % от годовых</w:t>
      </w:r>
      <w:r w:rsidRPr="006F4305">
        <w:rPr>
          <w:rFonts w:ascii="Times New Roman" w:eastAsia="Calibri" w:hAnsi="Times New Roman" w:cs="Times New Roman"/>
          <w:sz w:val="28"/>
          <w:szCs w:val="28"/>
          <w:lang w:eastAsia="ru-RU"/>
        </w:rPr>
        <w:t xml:space="preserve"> назначений</w:t>
      </w:r>
      <w:r w:rsidRPr="006F4305">
        <w:rPr>
          <w:rFonts w:ascii="Times New Roman" w:eastAsia="Times New Roman" w:hAnsi="Times New Roman" w:cs="Times New Roman"/>
          <w:sz w:val="28"/>
          <w:szCs w:val="24"/>
          <w:lang w:eastAsia="ru-RU"/>
        </w:rPr>
        <w:t xml:space="preserve"> </w:t>
      </w:r>
      <w:r w:rsidRPr="006F4305">
        <w:rPr>
          <w:rFonts w:ascii="Times New Roman" w:eastAsia="Calibri" w:hAnsi="Times New Roman" w:cs="Times New Roman"/>
          <w:sz w:val="28"/>
          <w:szCs w:val="28"/>
          <w:lang w:eastAsia="ru-RU"/>
        </w:rPr>
        <w:t xml:space="preserve">(за счет федерального бюджета – 483,5 млн рублей, республиканского бюджета Республики Дагестан – 4,88 млн рублей, средства медицинских организаций - 214,8 млн рублей). </w:t>
      </w:r>
    </w:p>
    <w:p w14:paraId="66FEB2BC" w14:textId="77777777" w:rsidR="006F4305" w:rsidRPr="006F4305" w:rsidRDefault="006F4305" w:rsidP="006F4305">
      <w:pPr>
        <w:spacing w:after="0" w:line="240" w:lineRule="auto"/>
        <w:ind w:firstLine="705"/>
        <w:jc w:val="both"/>
        <w:textAlignment w:val="baseline"/>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p>
    <w:p w14:paraId="541BBB60" w14:textId="77777777" w:rsidR="006F4305" w:rsidRPr="006F4305" w:rsidRDefault="006F4305" w:rsidP="006F4305">
      <w:pPr>
        <w:spacing w:after="0" w:line="240" w:lineRule="auto"/>
        <w:ind w:firstLine="705"/>
        <w:jc w:val="both"/>
        <w:textAlignment w:val="baseline"/>
        <w:rPr>
          <w:rFonts w:ascii="Times New Roman" w:eastAsia="Times New Roman" w:hAnsi="Times New Roman" w:cs="Times New Roman"/>
          <w:sz w:val="28"/>
          <w:szCs w:val="28"/>
        </w:rPr>
      </w:pPr>
      <w:r w:rsidRPr="006F4305">
        <w:rPr>
          <w:rFonts w:ascii="Times New Roman" w:eastAsia="Calibri" w:hAnsi="Times New Roman" w:cs="Times New Roman"/>
          <w:sz w:val="28"/>
          <w:szCs w:val="28"/>
          <w:lang w:eastAsia="ru-RU"/>
        </w:rPr>
        <w:t xml:space="preserve">- оснащение медицинских организаций и </w:t>
      </w:r>
      <w:r w:rsidRPr="006F4305">
        <w:rPr>
          <w:rFonts w:ascii="Times New Roman" w:eastAsia="Times New Roman" w:hAnsi="Times New Roman" w:cs="Times New Roman"/>
          <w:sz w:val="28"/>
          <w:szCs w:val="28"/>
        </w:rPr>
        <w:t xml:space="preserve">Центра обработки данных Министерства здравоохранения Республики Дагестан </w:t>
      </w:r>
      <w:r w:rsidRPr="006F4305">
        <w:rPr>
          <w:rFonts w:ascii="Times New Roman" w:eastAsia="Calibri" w:hAnsi="Times New Roman" w:cs="Times New Roman"/>
          <w:sz w:val="28"/>
          <w:szCs w:val="28"/>
          <w:lang w:eastAsia="ru-RU"/>
        </w:rPr>
        <w:t>информационно-телекоммуникационным оборудованием (</w:t>
      </w:r>
      <w:r w:rsidRPr="006F4305">
        <w:rPr>
          <w:rFonts w:ascii="Times New Roman" w:eastAsia="Times New Roman" w:hAnsi="Times New Roman" w:cs="Times New Roman"/>
          <w:sz w:val="28"/>
          <w:szCs w:val="28"/>
        </w:rPr>
        <w:t xml:space="preserve">560 программно-аппаратных комплексов VipNetCoordinator, 1 057 автоматизированных рабочих мест, </w:t>
      </w:r>
      <w:r w:rsidRPr="006F4305">
        <w:rPr>
          <w:rFonts w:ascii="Times New Roman" w:eastAsia="Times New Roman" w:hAnsi="Times New Roman" w:cs="Times New Roman"/>
          <w:sz w:val="28"/>
          <w:szCs w:val="28"/>
        </w:rPr>
        <w:br/>
        <w:t>8 комплектов серверного оборудования, 3 5602 принтеров, средства защиты информации, оборудование для расширения дискового пространства,  программное обеспечение – 240,0 млн рублей;</w:t>
      </w:r>
    </w:p>
    <w:p w14:paraId="46F02CFD" w14:textId="77777777" w:rsidR="006F4305" w:rsidRPr="006F4305" w:rsidRDefault="006F4305" w:rsidP="006F4305">
      <w:pPr>
        <w:spacing w:after="0" w:line="240" w:lineRule="auto"/>
        <w:ind w:firstLine="705"/>
        <w:jc w:val="both"/>
        <w:textAlignment w:val="baseline"/>
        <w:rPr>
          <w:rFonts w:ascii="Times New Roman" w:eastAsia="Times New Roman" w:hAnsi="Times New Roman" w:cs="Times New Roman"/>
          <w:sz w:val="28"/>
          <w:szCs w:val="28"/>
        </w:rPr>
      </w:pPr>
      <w:r w:rsidRPr="006F4305">
        <w:rPr>
          <w:rFonts w:ascii="Times New Roman" w:eastAsia="Times New Roman" w:hAnsi="Times New Roman" w:cs="Times New Roman"/>
          <w:sz w:val="28"/>
          <w:szCs w:val="28"/>
        </w:rPr>
        <w:t>- оказание услуг по поставке, установке и настройке средств защиты информации в рамках развития (модернизации) Регионального сегмента ЕГИСЗ Республики Дагестан и развитие подсистем региональной медицинской информационной системы (РМИС) – 128,7 млн рублей.</w:t>
      </w:r>
    </w:p>
    <w:p w14:paraId="06FABAF5"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rPr>
      </w:pPr>
      <w:r w:rsidRPr="006F4305">
        <w:rPr>
          <w:rFonts w:ascii="Times New Roman" w:eastAsia="Times New Roman" w:hAnsi="Times New Roman" w:cs="Times New Roman"/>
          <w:sz w:val="28"/>
          <w:szCs w:val="24"/>
          <w:lang w:eastAsia="ru-RU"/>
        </w:rPr>
        <w:t xml:space="preserve">По состоянию на 1 января 2022 года фактически освоено </w:t>
      </w:r>
      <w:r w:rsidRPr="006F4305">
        <w:rPr>
          <w:rFonts w:ascii="Times New Roman" w:eastAsia="Times New Roman" w:hAnsi="Times New Roman" w:cs="Times New Roman"/>
          <w:sz w:val="28"/>
          <w:szCs w:val="24"/>
          <w:lang w:eastAsia="ru-RU"/>
        </w:rPr>
        <w:br/>
        <w:t>368,7 млн рублей, или 52,4 % от объема финансирования. Неиспользованный (неосвоенный) остаток бюджетных средств составил 334,5 млн рублей, или 47,6</w:t>
      </w:r>
      <w:r w:rsidRPr="006F4305">
        <w:rPr>
          <w:rFonts w:ascii="Times New Roman" w:eastAsia="Calibri" w:hAnsi="Times New Roman" w:cs="Times New Roman"/>
          <w:sz w:val="28"/>
          <w:szCs w:val="28"/>
          <w:lang w:eastAsia="ru-RU"/>
        </w:rPr>
        <w:t xml:space="preserve"> %. Остаток образован в связи с </w:t>
      </w:r>
      <w:r w:rsidRPr="006F4305">
        <w:rPr>
          <w:rFonts w:ascii="Times New Roman" w:eastAsia="Times New Roman" w:hAnsi="Times New Roman" w:cs="Times New Roman"/>
          <w:sz w:val="28"/>
          <w:szCs w:val="28"/>
        </w:rPr>
        <w:t xml:space="preserve">необеспечением своевременного выполнения по модернизации государственной информационной системы «Региональный фрагмент Единой государственной информационной системы в сфере здравоохранения Республики Дагестан» в рамках государственного контракта № 0103200008421002253 от 30 сентября 2021 года, заключенного между ООО «Национальный центр информатизации» и Министерством здравоохранения Республики Дагестан, что привело к неосвоению бюджетных средств в сумме 124,67 млн рублей. </w:t>
      </w:r>
    </w:p>
    <w:p w14:paraId="5BE302B3"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rPr>
        <w:t xml:space="preserve">Кроме этого, не освоены средства </w:t>
      </w:r>
      <w:r w:rsidRPr="006F4305">
        <w:rPr>
          <w:rFonts w:ascii="Times New Roman" w:eastAsia="Times New Roman" w:hAnsi="Times New Roman" w:cs="Times New Roman"/>
          <w:sz w:val="28"/>
          <w:szCs w:val="28"/>
          <w:lang w:eastAsia="ru-RU"/>
        </w:rPr>
        <w:t xml:space="preserve">медицинских организаций в сумме 209,8 млн рублей, которые предусматривались ими для получения услуг по комплексному техническому сопровождению подсистем ГИС «РФ ЕГИСЗ РД» в 2021 году. В 2021 году осуществлялась процедура перехода на модернизированную региональную медицинскую информационную систему </w:t>
      </w:r>
      <w:r w:rsidRPr="006F4305">
        <w:rPr>
          <w:rFonts w:ascii="Times New Roman" w:eastAsia="Times New Roman" w:hAnsi="Times New Roman" w:cs="Times New Roman"/>
          <w:sz w:val="28"/>
          <w:szCs w:val="28"/>
          <w:lang w:eastAsia="ru-RU"/>
        </w:rPr>
        <w:lastRenderedPageBreak/>
        <w:t xml:space="preserve">«Единая цифровая платформа» (далее – ЕЦП). Завершение настройки ЕЦП и подключение к ней медицинских организаций началось с мая 2021 года. </w:t>
      </w:r>
      <w:r w:rsidRPr="006F4305">
        <w:rPr>
          <w:rFonts w:ascii="Times New Roman" w:eastAsia="Times New Roman" w:hAnsi="Times New Roman" w:cs="Times New Roman"/>
          <w:sz w:val="28"/>
          <w:szCs w:val="28"/>
          <w:lang w:eastAsia="ru-RU"/>
        </w:rPr>
        <w:br/>
        <w:t xml:space="preserve">В связи с этим медицинскими организациями закупка услуг по техническому сопровождению подсистем ГИС «РФ ЕГИСЗ РД», начата только с момента полного перехода на работу в ЕЦП. </w:t>
      </w:r>
    </w:p>
    <w:p w14:paraId="2EEB619F"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В 2021 году 72 медицинские организации заключили контракты на техническое сопровождение ГИС «РФ ЕГИСЗ РД» на общую сумму 29,7 млн рублей, кассовое освоение составило 15 млн рублей. Из них 63 медицинских организаций заключили контракты со сроком исполнения до 31 декабря </w:t>
      </w:r>
      <w:r w:rsidRPr="006F4305">
        <w:rPr>
          <w:rFonts w:ascii="Times New Roman" w:eastAsia="Times New Roman" w:hAnsi="Times New Roman" w:cs="Times New Roman"/>
          <w:sz w:val="28"/>
          <w:szCs w:val="28"/>
          <w:lang w:eastAsia="ru-RU"/>
        </w:rPr>
        <w:br/>
        <w:t xml:space="preserve">2023 года. </w:t>
      </w:r>
    </w:p>
    <w:p w14:paraId="170CED60"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bookmarkStart w:id="40" w:name="_Hlk62905331"/>
      <w:r w:rsidRPr="006F4305">
        <w:rPr>
          <w:rFonts w:ascii="Times New Roman" w:eastAsia="Times New Roman" w:hAnsi="Times New Roman" w:cs="Times New Roman"/>
          <w:sz w:val="28"/>
          <w:szCs w:val="28"/>
          <w:lang w:eastAsia="ru-RU"/>
        </w:rPr>
        <w:t xml:space="preserve">В 2021 году по региональному проекту было предусмотрено достижение 42 целевых показателей, из которых выполнены 30 целевых показателей. </w:t>
      </w:r>
      <w:r w:rsidRPr="006F4305">
        <w:rPr>
          <w:rFonts w:ascii="Times New Roman" w:eastAsia="Times New Roman" w:hAnsi="Times New Roman" w:cs="Times New Roman"/>
          <w:sz w:val="28"/>
          <w:szCs w:val="28"/>
          <w:lang w:eastAsia="ru-RU"/>
        </w:rPr>
        <w:br/>
        <w:t>Не выполнены 12 целевых показателей, в том числе:</w:t>
      </w:r>
      <w:r w:rsidRPr="006F4305">
        <w:rPr>
          <w:rFonts w:ascii="Times New Roman" w:eastAsia="Calibri" w:hAnsi="Times New Roman" w:cs="Times New Roman"/>
          <w:sz w:val="28"/>
          <w:szCs w:val="28"/>
          <w:lang w:eastAsia="ru-RU"/>
        </w:rPr>
        <w:t xml:space="preserve"> </w:t>
      </w:r>
    </w:p>
    <w:p w14:paraId="65FB42D5"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«Доля записей на прием к врачу, совершенных гражданами дистанционно» (план – 40 %, факт – 14,03 %);</w:t>
      </w:r>
    </w:p>
    <w:p w14:paraId="733FBFBD"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w:t>
      </w:r>
      <w:r w:rsidRPr="006F4305">
        <w:t> </w:t>
      </w:r>
      <w:r w:rsidRPr="006F4305">
        <w:rPr>
          <w:rFonts w:ascii="Times New Roman" w:eastAsia="Times New Roman" w:hAnsi="Times New Roman" w:cs="Times New Roman"/>
          <w:sz w:val="28"/>
          <w:szCs w:val="28"/>
          <w:lang w:eastAsia="ru-RU"/>
        </w:rPr>
        <w:t>«Доля граждан, являющихся пользователями ЕПГУ, которым доступны электронные медицинские документы в Личном кабинете пациента «Мое здоровье» по факту оказания медицинской помощи за период» (план – 12 %, факт – 10,2 %);</w:t>
      </w:r>
    </w:p>
    <w:p w14:paraId="6FABB81C"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 «Доля случаев оказания медицинской помощи, по которым предоставлены электронные медицинские документы в подсистеме ЕГИСЗ за период» (план – 49 %, факт – 5,12 %) </w:t>
      </w:r>
    </w:p>
    <w:p w14:paraId="29C2ED27" w14:textId="77777777" w:rsidR="006F4305" w:rsidRPr="006F4305" w:rsidRDefault="006F4305" w:rsidP="006F4305">
      <w:pPr>
        <w:spacing w:after="0" w:line="240" w:lineRule="auto"/>
        <w:ind w:firstLine="709"/>
        <w:jc w:val="both"/>
        <w:rPr>
          <w:rFonts w:ascii="Times New Roman" w:eastAsia="Times New Roman" w:hAnsi="Times New Roman" w:cs="Times New Roman"/>
          <w:color w:val="000000"/>
          <w:sz w:val="28"/>
          <w:szCs w:val="28"/>
          <w:lang w:eastAsia="ru-RU"/>
        </w:rPr>
      </w:pPr>
      <w:r w:rsidRPr="006F4305">
        <w:rPr>
          <w:rFonts w:ascii="Times New Roman" w:eastAsia="Times New Roman" w:hAnsi="Times New Roman" w:cs="Times New Roman"/>
          <w:color w:val="000000"/>
          <w:sz w:val="28"/>
          <w:szCs w:val="28"/>
          <w:lang w:eastAsia="ru-RU"/>
        </w:rPr>
        <w:t xml:space="preserve">- «Доля автоматизированных рабочих мест медицинских работников государственных медицинских организаций субъекта Российской Федерации, подключенных к защищенной сети передачи данных Республики Дагестан (ФАП и ФП)» </w:t>
      </w:r>
      <w:r w:rsidRPr="006F4305">
        <w:rPr>
          <w:rFonts w:ascii="Times New Roman" w:eastAsia="Times New Roman" w:hAnsi="Times New Roman" w:cs="Times New Roman"/>
          <w:sz w:val="28"/>
          <w:szCs w:val="28"/>
          <w:lang w:eastAsia="ru-RU"/>
        </w:rPr>
        <w:t>(план – 1 005 единиц, факт – 986 единиц)</w:t>
      </w:r>
    </w:p>
    <w:p w14:paraId="3610C90F" w14:textId="77777777" w:rsidR="006F4305" w:rsidRPr="006F4305" w:rsidRDefault="006F4305" w:rsidP="006F4305">
      <w:pPr>
        <w:spacing w:after="0" w:line="240" w:lineRule="auto"/>
        <w:ind w:firstLine="709"/>
        <w:jc w:val="both"/>
        <w:rPr>
          <w:rFonts w:ascii="Times New Roman" w:eastAsia="Times New Roman" w:hAnsi="Times New Roman" w:cs="Times New Roman"/>
          <w:color w:val="000000"/>
          <w:sz w:val="28"/>
          <w:szCs w:val="28"/>
          <w:lang w:eastAsia="ru-RU"/>
        </w:rPr>
      </w:pPr>
      <w:r w:rsidRPr="006F4305">
        <w:rPr>
          <w:rFonts w:ascii="Times New Roman" w:eastAsia="Times New Roman" w:hAnsi="Times New Roman" w:cs="Times New Roman"/>
          <w:color w:val="000000"/>
          <w:sz w:val="28"/>
          <w:szCs w:val="28"/>
          <w:lang w:eastAsia="ru-RU"/>
        </w:rPr>
        <w:t xml:space="preserve">- «Количество ФАП и ФП, подключенные к сети Интернет» (план – </w:t>
      </w:r>
      <w:r w:rsidRPr="006F4305">
        <w:rPr>
          <w:rFonts w:ascii="Times New Roman" w:eastAsia="Times New Roman" w:hAnsi="Times New Roman" w:cs="Times New Roman"/>
          <w:color w:val="000000"/>
          <w:sz w:val="28"/>
          <w:szCs w:val="28"/>
          <w:lang w:eastAsia="ru-RU"/>
        </w:rPr>
        <w:br/>
        <w:t>1 005 единиц, факт – 986 единиц)</w:t>
      </w:r>
      <w:r w:rsidRPr="006F4305">
        <w:rPr>
          <w:rFonts w:ascii="Times New Roman" w:eastAsia="Times New Roman" w:hAnsi="Times New Roman" w:cs="Times New Roman"/>
          <w:sz w:val="28"/>
          <w:szCs w:val="28"/>
          <w:lang w:eastAsia="ru-RU"/>
        </w:rPr>
        <w:t xml:space="preserve"> и другие.</w:t>
      </w:r>
    </w:p>
    <w:p w14:paraId="3CFE20C3" w14:textId="77777777" w:rsidR="006F4305" w:rsidRPr="006F4305" w:rsidRDefault="006F4305" w:rsidP="006F4305">
      <w:pPr>
        <w:spacing w:after="0" w:line="240" w:lineRule="auto"/>
        <w:ind w:firstLine="709"/>
        <w:jc w:val="both"/>
        <w:rPr>
          <w:rFonts w:ascii="Times New Roman" w:eastAsia="Times New Roman" w:hAnsi="Times New Roman" w:cs="Times New Roman"/>
          <w:color w:val="000000"/>
          <w:sz w:val="28"/>
          <w:szCs w:val="28"/>
          <w:lang w:eastAsia="ru-RU"/>
        </w:rPr>
      </w:pPr>
      <w:r w:rsidRPr="006F4305">
        <w:rPr>
          <w:rFonts w:ascii="Times New Roman" w:eastAsia="Times New Roman" w:hAnsi="Times New Roman" w:cs="Times New Roman"/>
          <w:color w:val="000000"/>
          <w:sz w:val="28"/>
          <w:szCs w:val="28"/>
          <w:lang w:eastAsia="ru-RU"/>
        </w:rPr>
        <w:t xml:space="preserve">Достижение указанных показателей обеспечивается в рамках государственного контракта № 0103200008421002253 от 30 сентября </w:t>
      </w:r>
      <w:r w:rsidRPr="006F4305">
        <w:rPr>
          <w:rFonts w:ascii="Times New Roman" w:eastAsia="Times New Roman" w:hAnsi="Times New Roman" w:cs="Times New Roman"/>
          <w:color w:val="000000"/>
          <w:sz w:val="28"/>
          <w:szCs w:val="28"/>
          <w:lang w:eastAsia="ru-RU"/>
        </w:rPr>
        <w:br/>
        <w:t>2021 года, заключенного между ООО «Национальный центр информатизации» и Министерством здравоохранения Республики Дагестан.   Нарушение со стороны исполнителя сроков и условий выполнения работ по модернизации «ГИС РФ ЕГИСЗ РД» привело к недостижению показателей.</w:t>
      </w:r>
    </w:p>
    <w:bookmarkEnd w:id="40"/>
    <w:p w14:paraId="7C3BAA49" w14:textId="77777777" w:rsidR="006F4305" w:rsidRPr="00FB55DE" w:rsidRDefault="006F4305" w:rsidP="006F4305">
      <w:pPr>
        <w:widowControl w:val="0"/>
        <w:tabs>
          <w:tab w:val="left" w:pos="7938"/>
          <w:tab w:val="left" w:pos="9540"/>
        </w:tabs>
        <w:spacing w:after="0" w:line="252" w:lineRule="auto"/>
        <w:ind w:firstLine="624"/>
        <w:jc w:val="both"/>
        <w:rPr>
          <w:rFonts w:ascii="Times New Roman" w:eastAsia="Times New Roman" w:hAnsi="Times New Roman" w:cs="Times New Roman"/>
          <w:b/>
          <w:bCs/>
          <w:iCs/>
          <w:color w:val="002060"/>
          <w:sz w:val="28"/>
          <w:szCs w:val="24"/>
          <w:lang w:eastAsia="ru-RU"/>
        </w:rPr>
      </w:pPr>
      <w:r w:rsidRPr="00FB55DE">
        <w:rPr>
          <w:rFonts w:ascii="Times New Roman" w:eastAsia="Times New Roman" w:hAnsi="Times New Roman" w:cs="Times New Roman"/>
          <w:b/>
          <w:bCs/>
          <w:iCs/>
          <w:color w:val="002060"/>
          <w:sz w:val="28"/>
          <w:szCs w:val="24"/>
          <w:lang w:eastAsia="ru-RU"/>
        </w:rPr>
        <w:t>6) Региональный проект «Обеспечение медицинских организаций системы здравоохранения квалифицированными кадрами».</w:t>
      </w:r>
    </w:p>
    <w:p w14:paraId="18009D5F" w14:textId="77777777" w:rsidR="006F4305" w:rsidRPr="006F4305" w:rsidRDefault="006F4305" w:rsidP="006F4305">
      <w:pPr>
        <w:widowControl w:val="0"/>
        <w:tabs>
          <w:tab w:val="left" w:pos="7938"/>
          <w:tab w:val="left" w:pos="9540"/>
        </w:tabs>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bCs/>
          <w:color w:val="000000" w:themeColor="text1"/>
          <w:sz w:val="28"/>
          <w:szCs w:val="24"/>
          <w:lang w:eastAsia="ru-RU"/>
        </w:rPr>
        <w:t xml:space="preserve">В целях достижения целевых показателей регионального проекта </w:t>
      </w:r>
      <w:r w:rsidRPr="006F4305">
        <w:rPr>
          <w:rFonts w:ascii="Times New Roman" w:eastAsia="Times New Roman" w:hAnsi="Times New Roman" w:cs="Times New Roman"/>
          <w:bCs/>
          <w:color w:val="000000" w:themeColor="text1"/>
          <w:sz w:val="28"/>
          <w:szCs w:val="28"/>
          <w:lang w:eastAsia="ru-RU"/>
        </w:rPr>
        <w:t xml:space="preserve">«Обеспечение медицинских организаций системы здравоохранения квалифицированными кадрами» в 2021 году </w:t>
      </w:r>
      <w:r w:rsidRPr="006F4305">
        <w:rPr>
          <w:rFonts w:ascii="Times New Roman" w:eastAsia="Times New Roman" w:hAnsi="Times New Roman" w:cs="Times New Roman"/>
          <w:bCs/>
          <w:color w:val="000000" w:themeColor="text1"/>
          <w:sz w:val="28"/>
          <w:szCs w:val="24"/>
          <w:lang w:eastAsia="ru-RU"/>
        </w:rPr>
        <w:t xml:space="preserve">вне национального проекта «Здравоохранение» </w:t>
      </w:r>
      <w:r w:rsidRPr="006F4305">
        <w:rPr>
          <w:rFonts w:ascii="Times New Roman" w:eastAsia="Times New Roman" w:hAnsi="Times New Roman" w:cs="Times New Roman"/>
          <w:bCs/>
          <w:color w:val="000000" w:themeColor="text1"/>
          <w:sz w:val="28"/>
          <w:szCs w:val="28"/>
          <w:lang w:eastAsia="ru-RU"/>
        </w:rPr>
        <w:t xml:space="preserve">были профинансированы бюджетные средства в сумме </w:t>
      </w:r>
      <w:r w:rsidRPr="006F4305">
        <w:rPr>
          <w:rFonts w:ascii="Times New Roman" w:eastAsia="Calibri" w:hAnsi="Times New Roman" w:cs="Times New Roman"/>
          <w:bCs/>
          <w:color w:val="000000" w:themeColor="text1"/>
          <w:sz w:val="28"/>
          <w:szCs w:val="28"/>
          <w:lang w:eastAsia="ru-RU"/>
        </w:rPr>
        <w:t xml:space="preserve">218,15 </w:t>
      </w:r>
      <w:r w:rsidRPr="006F4305">
        <w:rPr>
          <w:rFonts w:ascii="Times New Roman" w:eastAsia="Calibri" w:hAnsi="Times New Roman" w:cs="Times New Roman"/>
          <w:bCs/>
          <w:iCs/>
          <w:color w:val="000000" w:themeColor="text1"/>
          <w:sz w:val="28"/>
          <w:szCs w:val="28"/>
          <w:lang w:eastAsia="ru-RU"/>
        </w:rPr>
        <w:t xml:space="preserve">млн </w:t>
      </w:r>
      <w:r w:rsidRPr="006F4305">
        <w:rPr>
          <w:rFonts w:ascii="Times New Roman" w:eastAsia="Calibri" w:hAnsi="Times New Roman" w:cs="Times New Roman"/>
          <w:bCs/>
          <w:iCs/>
          <w:sz w:val="28"/>
          <w:szCs w:val="28"/>
          <w:lang w:eastAsia="ru-RU"/>
        </w:rPr>
        <w:t xml:space="preserve">рублей </w:t>
      </w:r>
      <w:r w:rsidRPr="006F4305">
        <w:rPr>
          <w:rFonts w:ascii="Times New Roman" w:eastAsia="Calibri" w:hAnsi="Times New Roman" w:cs="Times New Roman"/>
          <w:sz w:val="28"/>
          <w:szCs w:val="28"/>
          <w:lang w:eastAsia="ru-RU"/>
        </w:rPr>
        <w:t xml:space="preserve">(за счет федерального бюджета – 188,5 млн рублей и республиканского бюджета Республики Дагестан – 29,65 млн рублей). </w:t>
      </w:r>
    </w:p>
    <w:p w14:paraId="6AA1F9E2" w14:textId="77777777" w:rsidR="006F4305" w:rsidRPr="006F4305" w:rsidRDefault="006F4305" w:rsidP="006F4305">
      <w:pPr>
        <w:widowControl w:val="0"/>
        <w:tabs>
          <w:tab w:val="left" w:pos="7938"/>
          <w:tab w:val="left" w:pos="9540"/>
        </w:tabs>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Средства направлены на реализацию следующих мероприятий: </w:t>
      </w:r>
    </w:p>
    <w:p w14:paraId="62FC5207" w14:textId="77777777" w:rsidR="006F4305" w:rsidRPr="006F4305" w:rsidRDefault="006F4305" w:rsidP="006F4305">
      <w:pPr>
        <w:widowControl w:val="0"/>
        <w:tabs>
          <w:tab w:val="left" w:pos="7938"/>
          <w:tab w:val="left" w:pos="9540"/>
        </w:tabs>
        <w:spacing w:after="0" w:line="252" w:lineRule="auto"/>
        <w:ind w:firstLine="624"/>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sz w:val="28"/>
          <w:szCs w:val="28"/>
          <w:lang w:eastAsia="ru-RU"/>
        </w:rPr>
        <w:t xml:space="preserve">- </w:t>
      </w:r>
      <w:r w:rsidRPr="006F4305">
        <w:rPr>
          <w:rFonts w:ascii="Times New Roman" w:eastAsia="Calibri" w:hAnsi="Times New Roman" w:cs="Times New Roman"/>
          <w:bCs/>
          <w:sz w:val="28"/>
          <w:szCs w:val="28"/>
          <w:lang w:eastAsia="ru-RU"/>
        </w:rPr>
        <w:t xml:space="preserve">предоставление единовременных компенсационных выплат </w:t>
      </w:r>
      <w:r w:rsidRPr="006F4305">
        <w:rPr>
          <w:rFonts w:ascii="Times New Roman" w:eastAsia="Calibri" w:hAnsi="Times New Roman" w:cs="Times New Roman"/>
          <w:bCs/>
          <w:sz w:val="28"/>
          <w:szCs w:val="28"/>
          <w:lang w:eastAsia="ru-RU"/>
        </w:rPr>
        <w:lastRenderedPageBreak/>
        <w:t>медицинским работникам, заключившим контракты (</w:t>
      </w:r>
      <w:r w:rsidRPr="006F4305">
        <w:rPr>
          <w:rFonts w:ascii="Times New Roman" w:eastAsia="Calibri" w:hAnsi="Times New Roman" w:cs="Times New Roman"/>
          <w:sz w:val="28"/>
          <w:szCs w:val="28"/>
          <w:lang w:eastAsia="ru-RU"/>
        </w:rPr>
        <w:t>198</w:t>
      </w:r>
      <w:r w:rsidRPr="006F4305">
        <w:rPr>
          <w:rFonts w:ascii="Times New Roman" w:eastAsia="Calibri" w:hAnsi="Times New Roman" w:cs="Times New Roman"/>
          <w:bCs/>
          <w:sz w:val="28"/>
          <w:szCs w:val="28"/>
          <w:lang w:eastAsia="ru-RU"/>
        </w:rPr>
        <w:t xml:space="preserve"> контрактов), по программе «Земской доктор» (165 контрактов) и «Земский фельдшер» </w:t>
      </w:r>
      <w:r w:rsidRPr="006F4305">
        <w:rPr>
          <w:rFonts w:ascii="Times New Roman" w:eastAsia="Calibri" w:hAnsi="Times New Roman" w:cs="Times New Roman"/>
          <w:bCs/>
          <w:sz w:val="28"/>
          <w:szCs w:val="28"/>
          <w:lang w:eastAsia="ru-RU"/>
        </w:rPr>
        <w:br/>
        <w:t>(33 контракта) - 188,5 млн рублей;</w:t>
      </w:r>
    </w:p>
    <w:p w14:paraId="04E3CB36" w14:textId="77777777" w:rsidR="006F4305" w:rsidRPr="006F4305" w:rsidRDefault="006F4305" w:rsidP="006F4305">
      <w:pPr>
        <w:spacing w:after="0" w:line="252" w:lineRule="auto"/>
        <w:ind w:firstLine="624"/>
        <w:jc w:val="both"/>
        <w:rPr>
          <w:rFonts w:ascii="Times New Roman" w:eastAsia="Times New Roman" w:hAnsi="Times New Roman" w:cs="Times New Roman"/>
          <w:bCs/>
          <w:sz w:val="28"/>
          <w:szCs w:val="28"/>
          <w:lang w:eastAsia="ru-RU"/>
        </w:rPr>
      </w:pPr>
      <w:r w:rsidRPr="006F4305">
        <w:rPr>
          <w:rFonts w:ascii="Times New Roman" w:eastAsia="Calibri" w:hAnsi="Times New Roman" w:cs="Times New Roman"/>
          <w:color w:val="000000" w:themeColor="text1"/>
          <w:sz w:val="28"/>
          <w:szCs w:val="28"/>
          <w:lang w:eastAsia="ru-RU"/>
        </w:rPr>
        <w:t xml:space="preserve">- </w:t>
      </w:r>
      <w:r w:rsidRPr="006F4305">
        <w:rPr>
          <w:rFonts w:ascii="Times New Roman" w:eastAsia="Times New Roman" w:hAnsi="Times New Roman" w:cs="Times New Roman"/>
          <w:color w:val="000000" w:themeColor="text1"/>
          <w:sz w:val="28"/>
          <w:szCs w:val="28"/>
          <w:shd w:val="clear" w:color="auto" w:fill="FFFFFF"/>
          <w:lang w:eastAsia="ru-RU"/>
        </w:rPr>
        <w:t>повышение квалификации 4 200</w:t>
      </w:r>
      <w:r w:rsidRPr="006F4305">
        <w:rPr>
          <w:rFonts w:ascii="Times New Roman" w:eastAsia="Times New Roman" w:hAnsi="Times New Roman" w:cs="Times New Roman"/>
          <w:color w:val="FF0000"/>
          <w:sz w:val="28"/>
          <w:szCs w:val="28"/>
          <w:shd w:val="clear" w:color="auto" w:fill="FFFFFF"/>
          <w:lang w:eastAsia="ru-RU"/>
        </w:rPr>
        <w:t xml:space="preserve"> </w:t>
      </w:r>
      <w:r w:rsidRPr="006F4305">
        <w:rPr>
          <w:rFonts w:ascii="Times New Roman" w:eastAsia="Times New Roman" w:hAnsi="Times New Roman" w:cs="Times New Roman"/>
          <w:color w:val="000000" w:themeColor="text1"/>
          <w:sz w:val="28"/>
          <w:szCs w:val="28"/>
          <w:shd w:val="clear" w:color="auto" w:fill="FFFFFF"/>
          <w:lang w:eastAsia="ru-RU"/>
        </w:rPr>
        <w:t xml:space="preserve">работников </w:t>
      </w:r>
      <w:r w:rsidRPr="006F4305">
        <w:rPr>
          <w:rFonts w:ascii="Times New Roman" w:eastAsia="Calibri" w:hAnsi="Times New Roman" w:cs="Times New Roman"/>
          <w:color w:val="000000" w:themeColor="text1"/>
          <w:sz w:val="28"/>
          <w:szCs w:val="28"/>
          <w:lang w:eastAsia="ru-RU"/>
        </w:rPr>
        <w:t xml:space="preserve">в соответствии с федеральными государственными образовательными стандартами среднего профессионального образования – 29,65 млн рублей.  </w:t>
      </w:r>
      <w:r w:rsidRPr="006F4305">
        <w:rPr>
          <w:rFonts w:ascii="Times New Roman" w:eastAsia="Arial" w:hAnsi="Times New Roman" w:cs="Times New Roman"/>
          <w:bCs/>
          <w:sz w:val="28"/>
          <w:szCs w:val="28"/>
          <w:lang w:eastAsia="ru-RU"/>
        </w:rPr>
        <w:t>З</w:t>
      </w:r>
      <w:r w:rsidRPr="006F4305">
        <w:rPr>
          <w:rFonts w:ascii="Times New Roman" w:eastAsia="Times New Roman" w:hAnsi="Times New Roman" w:cs="Times New Roman"/>
          <w:bCs/>
          <w:sz w:val="28"/>
          <w:szCs w:val="28"/>
          <w:lang w:eastAsia="ru-RU"/>
        </w:rPr>
        <w:t>а 11 месяцев 2021 года прошли обучение 4200 медицинских работников.</w:t>
      </w:r>
    </w:p>
    <w:p w14:paraId="31F782FA" w14:textId="77777777" w:rsidR="006F4305" w:rsidRPr="006F4305" w:rsidRDefault="006F4305" w:rsidP="006F4305">
      <w:pPr>
        <w:widowControl w:val="0"/>
        <w:tabs>
          <w:tab w:val="left" w:pos="7938"/>
          <w:tab w:val="left" w:pos="9540"/>
        </w:tabs>
        <w:spacing w:after="0" w:line="252" w:lineRule="auto"/>
        <w:ind w:firstLine="624"/>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По состоянию на 1 января 2022 года фактически освоено 218,15 млн рублей, или 100 % от объема финансирования.</w:t>
      </w:r>
    </w:p>
    <w:p w14:paraId="7F6878AC" w14:textId="77777777" w:rsidR="006F4305" w:rsidRPr="006F4305" w:rsidRDefault="006F4305" w:rsidP="006F4305">
      <w:pPr>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8"/>
          <w:lang w:eastAsia="ru-RU"/>
        </w:rPr>
        <w:t>В 2021 году по региональному проекту было предусмотрено достижение 10 целевых показателей (индикаторы), из которых выполнены 3 целевых показателя.</w:t>
      </w:r>
      <w:bookmarkStart w:id="41" w:name="_Hlk62891125"/>
      <w:r w:rsidRPr="006F4305">
        <w:rPr>
          <w:rFonts w:ascii="Times New Roman" w:eastAsia="Times New Roman" w:hAnsi="Times New Roman" w:cs="Times New Roman"/>
          <w:sz w:val="28"/>
          <w:szCs w:val="28"/>
          <w:lang w:eastAsia="ru-RU"/>
        </w:rPr>
        <w:t xml:space="preserve"> </w:t>
      </w:r>
      <w:r w:rsidRPr="006F4305">
        <w:rPr>
          <w:rFonts w:ascii="Times New Roman" w:eastAsia="Calibri" w:hAnsi="Times New Roman" w:cs="Times New Roman"/>
          <w:sz w:val="28"/>
          <w:szCs w:val="28"/>
          <w:lang w:eastAsia="ru-RU"/>
        </w:rPr>
        <w:t>Не выполнено 7 целевых показателей, в том числе:</w:t>
      </w:r>
    </w:p>
    <w:p w14:paraId="65EA661A" w14:textId="77777777" w:rsidR="006F4305" w:rsidRPr="006F4305" w:rsidRDefault="006F4305" w:rsidP="006F4305">
      <w:pPr>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«Обеспеченность населения средними медицинскими работниками, работающими в государственных и муниципальных медицинских организациях (чел. на 10 тыс. населения)» (план – 81,9 чел., факт – 81,5 чел.);</w:t>
      </w:r>
    </w:p>
    <w:p w14:paraId="6C5BEAF4" w14:textId="77777777" w:rsidR="006F4305" w:rsidRPr="006F4305" w:rsidRDefault="006F4305" w:rsidP="006F4305">
      <w:pPr>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«Обеспеченность населения врачами, оказывающими первичную медико-санитарную помощь (чел. на 10 тыс. населения)» (план – 20,6 чел., факт – 20,0 чел.);</w:t>
      </w:r>
    </w:p>
    <w:p w14:paraId="1D5187FB" w14:textId="77777777" w:rsidR="006F4305" w:rsidRPr="006F4305" w:rsidRDefault="006F4305" w:rsidP="006F4305">
      <w:pPr>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«Обеспеченность населения медицинскими работниками, оказывающими скорую медицинскую помощь (чел. на 10 тыс. населения)» (план – 5 чел., факт – 4,9 чел.);</w:t>
      </w:r>
    </w:p>
    <w:p w14:paraId="5BDA6D0B" w14:textId="77777777" w:rsidR="006F4305" w:rsidRPr="006F4305" w:rsidRDefault="006F4305" w:rsidP="006F4305">
      <w:pPr>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«Обеспеченность населения врачами, оказывающими специализированную медицинскую помощь (чел. на 10 тыс. населения)» </w:t>
      </w:r>
      <w:r w:rsidRPr="006F4305">
        <w:rPr>
          <w:rFonts w:ascii="Times New Roman" w:eastAsia="Calibri" w:hAnsi="Times New Roman" w:cs="Times New Roman"/>
          <w:sz w:val="28"/>
          <w:szCs w:val="28"/>
          <w:lang w:eastAsia="ru-RU"/>
        </w:rPr>
        <w:br/>
        <w:t>(план – 12,6 чел., факт – 12,4 чел.);</w:t>
      </w:r>
    </w:p>
    <w:p w14:paraId="65961610" w14:textId="77777777" w:rsidR="006F4305" w:rsidRPr="006F4305" w:rsidRDefault="006F4305" w:rsidP="006F4305">
      <w:pPr>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«Укомплектованность фельдшерско-акушерских пунктов, врачебных амбулаторий медицинскими работниками» (план – 100 %, факт – 97,8 %);</w:t>
      </w:r>
    </w:p>
    <w:p w14:paraId="49D94033" w14:textId="77777777" w:rsidR="006F4305" w:rsidRPr="006F4305" w:rsidRDefault="006F4305" w:rsidP="006F4305">
      <w:pPr>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«Число специалистов, участвующих в системе непрерывного образования медицинских работников, в том числе с использованием дистанционных образовательных технологий, нарастающим итогом» (план – 23,9 тыс. чел, факт – 19,8 тыс. чел.);</w:t>
      </w:r>
    </w:p>
    <w:bookmarkEnd w:id="41"/>
    <w:p w14:paraId="2E80BCF2" w14:textId="77777777" w:rsidR="006F4305" w:rsidRPr="006F4305" w:rsidRDefault="006F4305" w:rsidP="006F4305">
      <w:pPr>
        <w:widowControl w:val="0"/>
        <w:spacing w:after="0" w:line="252" w:lineRule="auto"/>
        <w:ind w:firstLine="624"/>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«Доля специалистов, допущенных к профессиональной деятельности через процедуру аккредитации, от общего количества работающих специалистов (план – 22,1 %, факт – 1,3 %).</w:t>
      </w:r>
    </w:p>
    <w:p w14:paraId="1BDD5048" w14:textId="77777777" w:rsidR="006F4305" w:rsidRPr="006F4305" w:rsidRDefault="006F4305" w:rsidP="006F4305">
      <w:pPr>
        <w:widowControl w:val="0"/>
        <w:spacing w:after="0" w:line="252" w:lineRule="auto"/>
        <w:ind w:firstLine="624"/>
        <w:jc w:val="both"/>
        <w:rPr>
          <w:rFonts w:ascii="Times New Roman" w:eastAsia="Calibri" w:hAnsi="Times New Roman" w:cs="Times New Roman"/>
          <w:sz w:val="28"/>
          <w:szCs w:val="28"/>
          <w:lang w:eastAsia="ru-RU"/>
        </w:rPr>
      </w:pPr>
    </w:p>
    <w:p w14:paraId="145D8EC2" w14:textId="77777777" w:rsidR="006F4305" w:rsidRPr="00FB55DE" w:rsidRDefault="006F4305" w:rsidP="006F4305">
      <w:pPr>
        <w:widowControl w:val="0"/>
        <w:spacing w:after="0" w:line="240" w:lineRule="auto"/>
        <w:ind w:firstLine="709"/>
        <w:jc w:val="both"/>
        <w:rPr>
          <w:rFonts w:ascii="Times New Roman" w:eastAsia="Times New Roman" w:hAnsi="Times New Roman" w:cs="Times New Roman"/>
          <w:b/>
          <w:color w:val="002060"/>
          <w:sz w:val="28"/>
          <w:szCs w:val="28"/>
          <w:lang w:eastAsia="ru-RU"/>
        </w:rPr>
      </w:pPr>
      <w:r w:rsidRPr="00FB55DE">
        <w:rPr>
          <w:rFonts w:ascii="Times New Roman" w:eastAsia="Times New Roman" w:hAnsi="Times New Roman" w:cs="Times New Roman"/>
          <w:b/>
          <w:color w:val="002060"/>
          <w:sz w:val="28"/>
          <w:szCs w:val="28"/>
          <w:lang w:eastAsia="ru-RU"/>
        </w:rPr>
        <w:t xml:space="preserve">6.5.3. Национальный проект «Образование». </w:t>
      </w:r>
    </w:p>
    <w:p w14:paraId="643A6F95" w14:textId="77777777" w:rsidR="006F4305" w:rsidRPr="006F4305" w:rsidRDefault="006F4305" w:rsidP="006F4305">
      <w:pPr>
        <w:widowControl w:val="0"/>
        <w:spacing w:after="0" w:line="330" w:lineRule="exact"/>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8"/>
          <w:lang w:eastAsia="ru-RU"/>
        </w:rPr>
        <w:t>В 2021 году на реализацию национального проекта «Образование» профинансированы расходы в сумме 7 521,7 млн рублей, или 95,6 % от объема годовых назначений</w:t>
      </w:r>
      <w:r w:rsidRPr="006F4305">
        <w:rPr>
          <w:rFonts w:ascii="Times New Roman" w:eastAsia="Calibri" w:hAnsi="Times New Roman" w:cs="Times New Roman"/>
          <w:sz w:val="28"/>
          <w:szCs w:val="28"/>
          <w:lang w:eastAsia="ru-RU"/>
        </w:rPr>
        <w:t xml:space="preserve"> (7 866,2 млн рублей).</w:t>
      </w:r>
    </w:p>
    <w:p w14:paraId="30D78F6E"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В 2021 году по национальному проекту «Образование» финансирование было предусмотрено на реализацию 5 региональных проектов. Финансирование регионального проекта «Патриотическое воспитание» не предусмотрено.</w:t>
      </w:r>
    </w:p>
    <w:p w14:paraId="58A642CE"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lastRenderedPageBreak/>
        <w:t xml:space="preserve">На 1 января 2022 года освоение выделенных средств составило </w:t>
      </w:r>
      <w:r w:rsidRPr="006F4305">
        <w:rPr>
          <w:rFonts w:ascii="Times New Roman" w:eastAsia="Calibri" w:hAnsi="Times New Roman" w:cs="Times New Roman"/>
          <w:sz w:val="28"/>
          <w:szCs w:val="28"/>
          <w:lang w:eastAsia="ru-RU"/>
        </w:rPr>
        <w:br/>
        <w:t xml:space="preserve">3 214,4 млн рублей, или 41,0 % от годовых назначений (7 866,2 млн рублей).  </w:t>
      </w:r>
      <w:r w:rsidRPr="006F4305">
        <w:rPr>
          <w:rFonts w:ascii="Times New Roman" w:eastAsia="Calibri" w:hAnsi="Times New Roman" w:cs="Times New Roman"/>
          <w:sz w:val="28"/>
          <w:szCs w:val="28"/>
          <w:lang w:eastAsia="ru-RU"/>
        </w:rPr>
        <w:br/>
        <w:t xml:space="preserve">Неиспользованный (неосвоенный) остаток средств составил 4 652,0 млн рублей, или 59,0 % от объема финансирования. </w:t>
      </w:r>
    </w:p>
    <w:p w14:paraId="7D5DBC7D" w14:textId="77777777" w:rsidR="006F4305" w:rsidRPr="006F4305" w:rsidRDefault="006F4305" w:rsidP="006F4305">
      <w:pPr>
        <w:widowControl w:val="0"/>
        <w:spacing w:after="0" w:line="330" w:lineRule="exact"/>
        <w:ind w:firstLine="709"/>
        <w:jc w:val="both"/>
        <w:rPr>
          <w:rFonts w:ascii="Times New Roman" w:eastAsia="Times New Roman" w:hAnsi="Times New Roman" w:cs="Times New Roman"/>
          <w:sz w:val="28"/>
          <w:szCs w:val="28"/>
          <w:lang w:eastAsia="ru-RU"/>
        </w:rPr>
      </w:pPr>
      <w:r w:rsidRPr="006F4305">
        <w:rPr>
          <w:rFonts w:ascii="Times New Roman" w:eastAsia="Calibri" w:hAnsi="Times New Roman" w:cs="Times New Roman"/>
          <w:sz w:val="28"/>
          <w:szCs w:val="28"/>
          <w:lang w:eastAsia="ru-RU"/>
        </w:rPr>
        <w:t>В рамках национального проекта бюджетные средства направлены на</w:t>
      </w:r>
      <w:r w:rsidRPr="006F4305">
        <w:rPr>
          <w:rFonts w:ascii="Times New Roman" w:eastAsia="Times New Roman" w:hAnsi="Times New Roman" w:cs="Times New Roman"/>
          <w:sz w:val="28"/>
          <w:szCs w:val="28"/>
          <w:lang w:eastAsia="ru-RU"/>
        </w:rPr>
        <w:t>:</w:t>
      </w:r>
      <w:r w:rsidRPr="006F4305">
        <w:rPr>
          <w:rFonts w:ascii="Times New Roman" w:eastAsia="Calibri" w:hAnsi="Times New Roman" w:cs="Times New Roman"/>
          <w:sz w:val="28"/>
          <w:szCs w:val="28"/>
          <w:lang w:eastAsia="ru-RU"/>
        </w:rPr>
        <w:t xml:space="preserve"> финансирование мероприятий 5 региональных проектов, в том числе</w:t>
      </w:r>
      <w:r w:rsidRPr="006F4305">
        <w:rPr>
          <w:rFonts w:ascii="Times New Roman" w:eastAsia="Times New Roman" w:hAnsi="Times New Roman" w:cs="Times New Roman"/>
          <w:sz w:val="28"/>
          <w:szCs w:val="28"/>
          <w:lang w:eastAsia="ru-RU"/>
        </w:rPr>
        <w:t>:</w:t>
      </w:r>
    </w:p>
    <w:p w14:paraId="1014F795"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bCs/>
          <w:iCs/>
          <w:color w:val="002060"/>
          <w:sz w:val="28"/>
          <w:szCs w:val="28"/>
          <w:lang w:eastAsia="ru-RU"/>
        </w:rPr>
        <w:t xml:space="preserve">1) Региональный проект </w:t>
      </w:r>
      <w:r w:rsidRPr="00FB55DE">
        <w:rPr>
          <w:rFonts w:ascii="Times New Roman" w:eastAsia="Calibri" w:hAnsi="Times New Roman" w:cs="Times New Roman"/>
          <w:b/>
          <w:bCs/>
          <w:iCs/>
          <w:color w:val="002060"/>
          <w:sz w:val="28"/>
          <w:szCs w:val="28"/>
          <w:lang w:eastAsia="ru-RU"/>
        </w:rPr>
        <w:t>«Современная школа» –</w:t>
      </w:r>
      <w:r w:rsidRPr="00FB55DE">
        <w:rPr>
          <w:rFonts w:ascii="Times New Roman" w:eastAsia="Times New Roman" w:hAnsi="Times New Roman" w:cs="Times New Roman"/>
          <w:b/>
          <w:bCs/>
          <w:iCs/>
          <w:color w:val="002060"/>
          <w:sz w:val="28"/>
          <w:szCs w:val="28"/>
          <w:lang w:eastAsia="ru-RU"/>
        </w:rPr>
        <w:t xml:space="preserve"> 6 887,5 млн рублей,</w:t>
      </w:r>
      <w:r w:rsidRPr="006F4305">
        <w:rPr>
          <w:rFonts w:ascii="Times New Roman" w:eastAsia="Times New Roman" w:hAnsi="Times New Roman" w:cs="Times New Roman"/>
          <w:sz w:val="28"/>
          <w:szCs w:val="28"/>
          <w:lang w:eastAsia="ru-RU"/>
        </w:rPr>
        <w:t xml:space="preserve"> или 95,2 % от годовых назначений. </w:t>
      </w: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p>
    <w:p w14:paraId="0F6ABF76" w14:textId="77777777" w:rsidR="006F4305" w:rsidRPr="006F4305" w:rsidRDefault="006F4305" w:rsidP="006F4305">
      <w:pPr>
        <w:spacing w:after="0" w:line="240" w:lineRule="auto"/>
        <w:ind w:firstLine="709"/>
        <w:jc w:val="both"/>
        <w:rPr>
          <w:rFonts w:ascii="Times New Roman" w:eastAsia="Calibri" w:hAnsi="Times New Roman" w:cs="Times New Roman"/>
          <w:bCs/>
          <w:iCs/>
          <w:sz w:val="28"/>
          <w:szCs w:val="28"/>
        </w:rPr>
      </w:pPr>
      <w:r w:rsidRPr="006F4305">
        <w:rPr>
          <w:rFonts w:ascii="Times New Roman" w:eastAsia="Times New Roman" w:hAnsi="Times New Roman" w:cs="Times New Roman"/>
          <w:bCs/>
          <w:sz w:val="28"/>
          <w:szCs w:val="28"/>
          <w:lang w:eastAsia="ru-RU"/>
        </w:rPr>
        <w:t>- строительство общеобразовательных организаций –</w:t>
      </w:r>
      <w:r w:rsidRPr="006F4305">
        <w:rPr>
          <w:rFonts w:ascii="Times New Roman" w:eastAsia="Calibri" w:hAnsi="Times New Roman" w:cs="Times New Roman"/>
          <w:bCs/>
          <w:sz w:val="28"/>
          <w:szCs w:val="28"/>
          <w:lang w:eastAsia="ru-RU"/>
        </w:rPr>
        <w:t xml:space="preserve"> </w:t>
      </w:r>
      <w:r w:rsidRPr="006F4305">
        <w:rPr>
          <w:rFonts w:ascii="Times New Roman" w:eastAsia="Times New Roman" w:hAnsi="Times New Roman" w:cs="Times New Roman"/>
          <w:sz w:val="28"/>
          <w:szCs w:val="28"/>
          <w:lang w:eastAsia="ru-RU"/>
        </w:rPr>
        <w:t xml:space="preserve">6 929,3 млн рублей (в том числе средства федерального бюджета – 6 136,38 млн рублей, </w:t>
      </w:r>
      <w:r w:rsidRPr="006F4305">
        <w:rPr>
          <w:rFonts w:ascii="Times New Roman" w:eastAsia="Times New Roman" w:hAnsi="Times New Roman" w:cs="Times New Roman"/>
          <w:sz w:val="28"/>
          <w:szCs w:val="28"/>
          <w:lang w:eastAsia="ru-RU"/>
        </w:rPr>
        <w:br/>
        <w:t xml:space="preserve">средства республиканского бюджета – 792,9 млн рублей). </w:t>
      </w:r>
      <w:r w:rsidRPr="006F4305">
        <w:rPr>
          <w:rFonts w:ascii="Times New Roman" w:eastAsia="Times New Roman" w:hAnsi="Times New Roman" w:cs="Times New Roman"/>
          <w:bCs/>
          <w:sz w:val="28"/>
          <w:szCs w:val="28"/>
          <w:lang w:eastAsia="ru-RU"/>
        </w:rPr>
        <w:t xml:space="preserve">По состоянию </w:t>
      </w:r>
      <w:r w:rsidRPr="006F4305">
        <w:rPr>
          <w:rFonts w:ascii="Times New Roman" w:eastAsia="Times New Roman" w:hAnsi="Times New Roman" w:cs="Times New Roman"/>
          <w:bCs/>
          <w:sz w:val="28"/>
          <w:szCs w:val="28"/>
          <w:lang w:eastAsia="ru-RU"/>
        </w:rPr>
        <w:br/>
        <w:t xml:space="preserve">на 1 января 2022 года </w:t>
      </w:r>
      <w:r w:rsidRPr="006F4305">
        <w:rPr>
          <w:rFonts w:ascii="Times New Roman" w:eastAsia="Calibri" w:hAnsi="Times New Roman" w:cs="Times New Roman"/>
          <w:bCs/>
          <w:iCs/>
          <w:sz w:val="28"/>
          <w:szCs w:val="28"/>
        </w:rPr>
        <w:t>по строительству объектов образования фактически освоено 2 299,1 млн рублей, или 33,2 % от годовых назначений (в том числе: ГКУ РД «Дирекция единого государственного заказчика-застройщика» освоено 2 222,88 млн</w:t>
      </w:r>
      <w:r w:rsidRPr="006F4305">
        <w:rPr>
          <w:rFonts w:ascii="Times New Roman" w:eastAsia="Calibri" w:hAnsi="Times New Roman" w:cs="Times New Roman"/>
          <w:b/>
          <w:bCs/>
          <w:iCs/>
          <w:sz w:val="28"/>
          <w:szCs w:val="28"/>
        </w:rPr>
        <w:t xml:space="preserve"> </w:t>
      </w:r>
      <w:r w:rsidRPr="006F4305">
        <w:rPr>
          <w:rFonts w:ascii="Times New Roman" w:eastAsia="Calibri" w:hAnsi="Times New Roman" w:cs="Times New Roman"/>
          <w:bCs/>
          <w:iCs/>
          <w:sz w:val="28"/>
          <w:szCs w:val="28"/>
        </w:rPr>
        <w:t>рублей, МО «город Дербент» – 76,2 млн рублей);</w:t>
      </w:r>
    </w:p>
    <w:p w14:paraId="0D3FCB6A" w14:textId="77777777" w:rsidR="006F4305" w:rsidRPr="006F4305" w:rsidRDefault="006F4305" w:rsidP="006F4305">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bCs/>
          <w:sz w:val="28"/>
          <w:szCs w:val="28"/>
          <w:lang w:eastAsia="ru-RU"/>
        </w:rPr>
        <w:t xml:space="preserve">- создание Центров образования «Точка роста» – 267,0 </w:t>
      </w:r>
      <w:r w:rsidRPr="006F4305">
        <w:rPr>
          <w:rFonts w:ascii="Times New Roman" w:eastAsia="Calibri" w:hAnsi="Times New Roman" w:cs="Times New Roman"/>
          <w:sz w:val="28"/>
          <w:szCs w:val="28"/>
          <w:lang w:eastAsia="ru-RU"/>
        </w:rPr>
        <w:t xml:space="preserve">млн рублей (освоено </w:t>
      </w:r>
      <w:r w:rsidRPr="006F4305">
        <w:rPr>
          <w:rFonts w:ascii="Times New Roman" w:eastAsia="Times New Roman" w:hAnsi="Times New Roman" w:cs="Times New Roman"/>
          <w:bCs/>
          <w:sz w:val="28"/>
          <w:szCs w:val="28"/>
          <w:lang w:eastAsia="ru-RU"/>
        </w:rPr>
        <w:t xml:space="preserve">265,6 млн рублей). </w:t>
      </w:r>
      <w:r w:rsidRPr="006F4305">
        <w:rPr>
          <w:rFonts w:ascii="Times New Roman" w:eastAsia="Times New Roman" w:hAnsi="Times New Roman" w:cs="Times New Roman"/>
          <w:sz w:val="28"/>
          <w:szCs w:val="28"/>
          <w:lang w:eastAsia="ru-RU"/>
        </w:rPr>
        <w:t xml:space="preserve">В 43 муниципальных образованиях созданы </w:t>
      </w:r>
      <w:r w:rsidRPr="006F4305">
        <w:rPr>
          <w:rFonts w:ascii="Times New Roman" w:eastAsia="Times New Roman" w:hAnsi="Times New Roman" w:cs="Times New Roman"/>
          <w:sz w:val="28"/>
          <w:szCs w:val="28"/>
          <w:lang w:eastAsia="ru-RU"/>
        </w:rPr>
        <w:br/>
        <w:t xml:space="preserve">170 Центров «Точка роста», в которых реализуются образовательные программы по направлениям физика, химия, биология, экология, </w:t>
      </w:r>
      <w:r w:rsidRPr="006F4305">
        <w:rPr>
          <w:rFonts w:ascii="Times New Roman" w:eastAsia="Times New Roman" w:hAnsi="Times New Roman" w:cs="Times New Roman"/>
          <w:sz w:val="28"/>
          <w:szCs w:val="28"/>
          <w:lang w:eastAsia="ru-RU"/>
        </w:rPr>
        <w:br/>
      </w:r>
      <w:r w:rsidRPr="006F4305">
        <w:rPr>
          <w:rFonts w:ascii="Times New Roman" w:eastAsia="Times New Roman" w:hAnsi="Times New Roman" w:cs="Times New Roman"/>
          <w:sz w:val="28"/>
          <w:szCs w:val="28"/>
          <w:lang w:val="en-US" w:eastAsia="ru-RU"/>
        </w:rPr>
        <w:t>IT</w:t>
      </w:r>
      <w:r w:rsidRPr="006F4305">
        <w:rPr>
          <w:rFonts w:ascii="Times New Roman" w:eastAsia="Times New Roman" w:hAnsi="Times New Roman" w:cs="Times New Roman"/>
          <w:sz w:val="28"/>
          <w:szCs w:val="28"/>
          <w:lang w:eastAsia="ru-RU"/>
        </w:rPr>
        <w:t>- технологии и робототехника;</w:t>
      </w:r>
    </w:p>
    <w:p w14:paraId="636B682A" w14:textId="77777777" w:rsidR="006F4305" w:rsidRPr="006F4305" w:rsidRDefault="006F4305" w:rsidP="006F4305">
      <w:pPr>
        <w:spacing w:after="0" w:line="240" w:lineRule="auto"/>
        <w:ind w:firstLine="555"/>
        <w:jc w:val="both"/>
        <w:textAlignment w:val="baseline"/>
        <w:rPr>
          <w:rFonts w:ascii="Times New Roman" w:eastAsia="Times New Roman" w:hAnsi="Times New Roman" w:cs="Times New Roman"/>
          <w:color w:val="FF0000"/>
          <w:sz w:val="28"/>
          <w:szCs w:val="28"/>
          <w:lang w:eastAsia="ru-RU"/>
        </w:rPr>
      </w:pPr>
      <w:r w:rsidRPr="006F4305">
        <w:rPr>
          <w:rFonts w:ascii="Times New Roman" w:eastAsia="Times New Roman" w:hAnsi="Times New Roman" w:cs="Times New Roman"/>
          <w:sz w:val="28"/>
          <w:szCs w:val="28"/>
          <w:lang w:eastAsia="ru-RU"/>
        </w:rPr>
        <w:t xml:space="preserve">- </w:t>
      </w:r>
      <w:r w:rsidRPr="006F4305">
        <w:rPr>
          <w:rFonts w:ascii="Times New Roman" w:eastAsia="Times New Roman" w:hAnsi="Times New Roman" w:cs="Times New Roman"/>
          <w:bCs/>
          <w:sz w:val="28"/>
          <w:szCs w:val="28"/>
          <w:lang w:eastAsia="ru-RU"/>
        </w:rPr>
        <w:t xml:space="preserve">обновление материально-технической базы 2 коррекционных школ (МБОУ «Специальная (коррекционная) образовательная школа интернат </w:t>
      </w:r>
      <w:r w:rsidRPr="006F4305">
        <w:rPr>
          <w:rFonts w:ascii="Times New Roman" w:eastAsia="Times New Roman" w:hAnsi="Times New Roman" w:cs="Times New Roman"/>
          <w:bCs/>
          <w:sz w:val="28"/>
          <w:szCs w:val="28"/>
          <w:lang w:eastAsia="ru-RU"/>
        </w:rPr>
        <w:br/>
      </w:r>
      <w:r w:rsidRPr="006F4305">
        <w:rPr>
          <w:rFonts w:ascii="Times New Roman" w:eastAsia="Times New Roman" w:hAnsi="Times New Roman" w:cs="Times New Roman"/>
          <w:bCs/>
          <w:sz w:val="28"/>
          <w:szCs w:val="28"/>
          <w:lang w:val="en-US" w:eastAsia="ru-RU"/>
        </w:rPr>
        <w:t>I</w:t>
      </w:r>
      <w:r w:rsidRPr="006F4305">
        <w:rPr>
          <w:rFonts w:ascii="Times New Roman" w:eastAsia="Times New Roman" w:hAnsi="Times New Roman" w:cs="Times New Roman"/>
          <w:bCs/>
          <w:sz w:val="28"/>
          <w:szCs w:val="28"/>
          <w:lang w:eastAsia="ru-RU"/>
        </w:rPr>
        <w:t xml:space="preserve"> вида, МБОУ «Специальная (коррекционная) образовательная школа интернат </w:t>
      </w:r>
      <w:r w:rsidRPr="006F4305">
        <w:rPr>
          <w:rFonts w:ascii="Times New Roman" w:eastAsia="Times New Roman" w:hAnsi="Times New Roman" w:cs="Times New Roman"/>
          <w:bCs/>
          <w:sz w:val="28"/>
          <w:szCs w:val="28"/>
          <w:lang w:val="en-US" w:eastAsia="ru-RU"/>
        </w:rPr>
        <w:t>IV</w:t>
      </w:r>
      <w:r w:rsidRPr="006F4305">
        <w:rPr>
          <w:rFonts w:ascii="Times New Roman" w:eastAsia="Times New Roman" w:hAnsi="Times New Roman" w:cs="Times New Roman"/>
          <w:bCs/>
          <w:sz w:val="28"/>
          <w:szCs w:val="28"/>
          <w:lang w:eastAsia="ru-RU"/>
        </w:rPr>
        <w:t xml:space="preserve"> вида) по обучению предмета «Технология» – 14,7 млн рублей; </w:t>
      </w:r>
      <w:r w:rsidRPr="006F4305">
        <w:rPr>
          <w:rFonts w:ascii="Times New Roman" w:eastAsia="Times New Roman" w:hAnsi="Times New Roman" w:cs="Times New Roman"/>
          <w:bCs/>
          <w:color w:val="FF0000"/>
          <w:sz w:val="28"/>
          <w:szCs w:val="28"/>
          <w:lang w:eastAsia="ru-RU"/>
        </w:rPr>
        <w:t xml:space="preserve"> </w:t>
      </w:r>
    </w:p>
    <w:p w14:paraId="2A87F81D" w14:textId="77777777" w:rsidR="006F4305" w:rsidRPr="006F4305" w:rsidRDefault="006F4305" w:rsidP="006F430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6F4305">
        <w:rPr>
          <w:rFonts w:ascii="Times New Roman" w:eastAsia="Times New Roman" w:hAnsi="Times New Roman" w:cs="Times New Roman"/>
          <w:sz w:val="28"/>
          <w:szCs w:val="28"/>
          <w:lang w:eastAsia="ru-RU"/>
        </w:rPr>
        <w:t>- создание мобильного технопарка «Кванториум» (на базе МБОУ СОШ № 61 г. Махачкала) – 21,4 млн рублей. 23 сентября 2021 года в городе Махачкале при СОШ № 61 открыт школьный детский технопарк «Кванториум» (ч</w:t>
      </w:r>
      <w:r w:rsidRPr="006F4305">
        <w:rPr>
          <w:rFonts w:ascii="Times New Roman" w:eastAsia="Calibri" w:hAnsi="Times New Roman" w:cs="Times New Roman"/>
          <w:sz w:val="28"/>
          <w:szCs w:val="28"/>
        </w:rPr>
        <w:t xml:space="preserve">исленность обучающихся 1 463 человек). </w:t>
      </w:r>
    </w:p>
    <w:p w14:paraId="3D4636BE"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8"/>
          <w:lang w:eastAsia="ru-RU"/>
        </w:rPr>
        <w:t>По состоянию на 1</w:t>
      </w:r>
      <w:r w:rsidRPr="006F4305">
        <w:rPr>
          <w:rFonts w:ascii="Times New Roman" w:eastAsia="Times New Roman" w:hAnsi="Times New Roman" w:cs="Times New Roman"/>
          <w:sz w:val="28"/>
          <w:szCs w:val="24"/>
          <w:lang w:eastAsia="ru-RU"/>
        </w:rPr>
        <w:t xml:space="preserve"> января 2022 года по региональному проекту «Современная школа» освоено средств в сумме 2 600,6 млн рублей, или </w:t>
      </w:r>
      <w:r w:rsidRPr="006F4305">
        <w:rPr>
          <w:rFonts w:ascii="Times New Roman" w:eastAsia="Times New Roman" w:hAnsi="Times New Roman" w:cs="Times New Roman"/>
          <w:sz w:val="28"/>
          <w:szCs w:val="24"/>
          <w:lang w:eastAsia="ru-RU"/>
        </w:rPr>
        <w:br/>
        <w:t>36,0 % от объема годовых назначений (7 232,1 млн рублей). По итогам года неиспользованный (неосвоенный) остаток бюджетных средств составил 4 631,5 млн рублей, или 64,0</w:t>
      </w:r>
      <w:r w:rsidRPr="006F4305">
        <w:rPr>
          <w:rFonts w:ascii="Times New Roman" w:eastAsia="Calibri" w:hAnsi="Times New Roman" w:cs="Times New Roman"/>
          <w:sz w:val="28"/>
          <w:szCs w:val="28"/>
          <w:lang w:eastAsia="ru-RU"/>
        </w:rPr>
        <w:t xml:space="preserve"> % от объема годовых назначений.</w:t>
      </w:r>
      <w:r w:rsidRPr="006F4305">
        <w:rPr>
          <w:rFonts w:ascii="Times New Roman" w:eastAsia="Calibri" w:hAnsi="Times New Roman" w:cs="Times New Roman"/>
          <w:bCs/>
          <w:iCs/>
          <w:sz w:val="28"/>
          <w:szCs w:val="28"/>
        </w:rPr>
        <w:t xml:space="preserve">  </w:t>
      </w:r>
    </w:p>
    <w:p w14:paraId="49AEF86E"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В соответствии со статьей 242 Бюджетного кодекса Российской Федерации и условиями заключенного соглашения неиспользованный остаток бюджетных средств в сумме 4 216,6 млн рублей возвращен в федеральный бюджет.</w:t>
      </w:r>
    </w:p>
    <w:p w14:paraId="587D72E5"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Times New Roman" w:hAnsi="Times New Roman" w:cs="Times New Roman"/>
          <w:sz w:val="28"/>
          <w:szCs w:val="24"/>
          <w:lang w:eastAsia="ru-RU"/>
        </w:rPr>
        <w:t>В рамках регионального проекта «Современная школа» в 2021 году было запланировано строительство и ввод в эксплуатацию 33</w:t>
      </w:r>
      <w:r w:rsidRPr="006F4305">
        <w:rPr>
          <w:rFonts w:ascii="Times New Roman" w:eastAsia="Times New Roman" w:hAnsi="Times New Roman" w:cs="Times New Roman"/>
          <w:bCs/>
          <w:sz w:val="28"/>
          <w:szCs w:val="28"/>
          <w:lang w:eastAsia="ru-RU"/>
        </w:rPr>
        <w:t xml:space="preserve"> общеобразовательных организаций на 16 180 мест, из которых на 1 января 2022 года </w:t>
      </w:r>
      <w:r w:rsidRPr="006F4305">
        <w:rPr>
          <w:rFonts w:ascii="Times New Roman" w:eastAsia="Calibri" w:hAnsi="Times New Roman" w:cs="Times New Roman"/>
          <w:bCs/>
          <w:sz w:val="28"/>
          <w:szCs w:val="28"/>
          <w:lang w:eastAsia="ru-RU"/>
        </w:rPr>
        <w:t>введены в эксплуатацию 8 объектов на 2 446 ученических мест, в том числе:</w:t>
      </w:r>
    </w:p>
    <w:p w14:paraId="5FAD9A59"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- 4 школы на 840 уч. мест введены в 2020 году (получена лицензия на образовательную деятельность и начат учебный процесс с 1 сентября </w:t>
      </w:r>
      <w:r w:rsidRPr="006F4305">
        <w:rPr>
          <w:rFonts w:ascii="Times New Roman" w:eastAsia="Calibri" w:hAnsi="Times New Roman" w:cs="Times New Roman"/>
          <w:bCs/>
          <w:sz w:val="28"/>
          <w:szCs w:val="28"/>
          <w:lang w:eastAsia="ru-RU"/>
        </w:rPr>
        <w:br/>
      </w:r>
      <w:r w:rsidRPr="006F4305">
        <w:rPr>
          <w:rFonts w:ascii="Times New Roman" w:eastAsia="Calibri" w:hAnsi="Times New Roman" w:cs="Times New Roman"/>
          <w:bCs/>
          <w:sz w:val="28"/>
          <w:szCs w:val="28"/>
          <w:lang w:eastAsia="ru-RU"/>
        </w:rPr>
        <w:lastRenderedPageBreak/>
        <w:t xml:space="preserve">2021 года в школах в с. Акбулатюрт на 120 уч. мест, в с. Кемсиюрт на </w:t>
      </w:r>
      <w:r w:rsidRPr="006F4305">
        <w:rPr>
          <w:rFonts w:ascii="Times New Roman" w:eastAsia="Calibri" w:hAnsi="Times New Roman" w:cs="Times New Roman"/>
          <w:bCs/>
          <w:sz w:val="28"/>
          <w:szCs w:val="28"/>
          <w:lang w:eastAsia="ru-RU"/>
        </w:rPr>
        <w:br/>
        <w:t>120 уч. мест, в с. Кандаураул на 300 уч. мест и в с.Эндирей, блок-пристройка к МКОУ «Эндирейская СОШ № 2» на 300 уч. мест Хасавюртовского района);</w:t>
      </w:r>
    </w:p>
    <w:p w14:paraId="22073C66"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- 4 школы на 1 606 уч. мест введены в 2021 году (получено разрешение на ввод в эксплуатацию (школа на 304 уч. места в с. Оружба Магарамкентского района, школа на 400 уч. мест в с. Луткун Ахтынского района, школа на </w:t>
      </w:r>
      <w:r w:rsidRPr="006F4305">
        <w:rPr>
          <w:rFonts w:ascii="Times New Roman" w:eastAsia="Calibri" w:hAnsi="Times New Roman" w:cs="Times New Roman"/>
          <w:bCs/>
          <w:sz w:val="28"/>
          <w:szCs w:val="28"/>
          <w:lang w:eastAsia="ru-RU"/>
        </w:rPr>
        <w:br/>
        <w:t>400 уч. мест в с. Новокостек и на 502 уч. мест в с. Эндирей Хасавюртовского района).</w:t>
      </w:r>
    </w:p>
    <w:p w14:paraId="0AA4D665"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по 12 школам на 7 104 ученических мест, строительство которых было запланировано завершить в 2021 году, в связи с удорожанием строительных материалов, </w:t>
      </w:r>
      <w:r w:rsidRPr="006F4305">
        <w:rPr>
          <w:rFonts w:ascii="Times New Roman" w:eastAsia="Times New Roman" w:hAnsi="Times New Roman" w:cs="Times New Roman"/>
          <w:sz w:val="28"/>
          <w:szCs w:val="28"/>
          <w:lang w:eastAsia="ru-RU"/>
        </w:rPr>
        <w:t xml:space="preserve">наличием дефицита рабочей силы и техники, низкими темпами проведения строительных работ, несоблюдением графика строительства и низким качеством строительного контроля, </w:t>
      </w:r>
      <w:r w:rsidRPr="006F4305">
        <w:rPr>
          <w:rFonts w:ascii="Times New Roman" w:eastAsia="Calibri" w:hAnsi="Times New Roman" w:cs="Times New Roman"/>
          <w:bCs/>
          <w:sz w:val="28"/>
          <w:szCs w:val="28"/>
          <w:lang w:eastAsia="ru-RU"/>
        </w:rPr>
        <w:t>плановый срок ввода в эксплуатацию, по согласованию с Министерством просвещения Российской Федерации, перенесен на 2022 год.</w:t>
      </w:r>
    </w:p>
    <w:p w14:paraId="70C1A326"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По 13 школам на 6 624 ученических мест срок ввода в эксплуатацию предусмотрен на 2022 год с началом строительства в 2021 году. В целях строительства данных школ в 2021 году заключены 13 контрактов на проектирование и строительство на общую сумму 5 381,2 млн рублей. Однако, за исключением школы на 804 ученических мест в городском округе «город Дербент», планируемое строительство 12 школ в 2021 году не начато.</w:t>
      </w:r>
      <w:r w:rsidRPr="006F4305">
        <w:rPr>
          <w:rFonts w:ascii="Times New Roman" w:eastAsia="Calibri" w:hAnsi="Times New Roman" w:cs="Times New Roman"/>
          <w:b/>
          <w:bCs/>
          <w:iCs/>
          <w:sz w:val="28"/>
          <w:szCs w:val="28"/>
          <w:lang w:eastAsia="ru-RU"/>
        </w:rPr>
        <w:t xml:space="preserve"> </w:t>
      </w:r>
      <w:r w:rsidRPr="006F4305">
        <w:rPr>
          <w:rFonts w:ascii="Times New Roman" w:eastAsia="Calibri" w:hAnsi="Times New Roman" w:cs="Times New Roman"/>
          <w:b/>
          <w:bCs/>
          <w:iCs/>
          <w:sz w:val="28"/>
          <w:szCs w:val="28"/>
          <w:lang w:eastAsia="ru-RU"/>
        </w:rPr>
        <w:br/>
      </w:r>
      <w:r w:rsidRPr="006F4305">
        <w:rPr>
          <w:rFonts w:ascii="Times New Roman" w:eastAsia="Calibri" w:hAnsi="Times New Roman" w:cs="Times New Roman"/>
          <w:bCs/>
          <w:sz w:val="28"/>
          <w:szCs w:val="28"/>
          <w:lang w:eastAsia="ru-RU"/>
        </w:rPr>
        <w:t>По состоянию на 1 января 2022 года предусмотренное авансирование в соответствии с заключенными контрактами не произведено.</w:t>
      </w:r>
    </w:p>
    <w:p w14:paraId="4F9CED6D"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В 2021 году обеспечено достижение единственного целевого показателя регионального проекта «Доля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(план – 12 %, факт – 20,8 %).</w:t>
      </w:r>
    </w:p>
    <w:p w14:paraId="524D5BEB" w14:textId="77777777" w:rsidR="006F4305" w:rsidRPr="006F4305" w:rsidRDefault="006F4305" w:rsidP="006F4305">
      <w:pPr>
        <w:spacing w:after="0" w:line="240" w:lineRule="auto"/>
        <w:ind w:firstLine="709"/>
        <w:jc w:val="both"/>
        <w:rPr>
          <w:rFonts w:ascii="Times New Roman" w:eastAsia="Times New Roman" w:hAnsi="Times New Roman" w:cs="Times New Roman"/>
          <w:b/>
          <w:bCs/>
          <w:i/>
          <w:sz w:val="28"/>
          <w:szCs w:val="24"/>
          <w:lang w:eastAsia="ru-RU"/>
        </w:rPr>
      </w:pPr>
      <w:r w:rsidRPr="00FB55DE">
        <w:rPr>
          <w:rFonts w:ascii="Times New Roman" w:eastAsia="Times New Roman" w:hAnsi="Times New Roman" w:cs="Times New Roman"/>
          <w:b/>
          <w:bCs/>
          <w:iCs/>
          <w:color w:val="002060"/>
          <w:sz w:val="28"/>
          <w:szCs w:val="24"/>
          <w:lang w:eastAsia="ru-RU"/>
        </w:rPr>
        <w:t xml:space="preserve">2) Региональный проект </w:t>
      </w:r>
      <w:r w:rsidRPr="00FB55DE">
        <w:rPr>
          <w:rFonts w:ascii="Times New Roman" w:eastAsia="Calibri" w:hAnsi="Times New Roman" w:cs="Times New Roman"/>
          <w:b/>
          <w:bCs/>
          <w:iCs/>
          <w:color w:val="002060"/>
          <w:sz w:val="28"/>
          <w:szCs w:val="28"/>
          <w:lang w:eastAsia="ru-RU"/>
        </w:rPr>
        <w:t>«Успех каждого ребенка» –</w:t>
      </w:r>
      <w:r w:rsidRPr="00FB55DE">
        <w:rPr>
          <w:rFonts w:ascii="Times New Roman" w:eastAsia="Times New Roman" w:hAnsi="Times New Roman" w:cs="Times New Roman"/>
          <w:b/>
          <w:bCs/>
          <w:iCs/>
          <w:color w:val="002060"/>
          <w:sz w:val="28"/>
          <w:szCs w:val="24"/>
          <w:lang w:eastAsia="ru-RU"/>
        </w:rPr>
        <w:t xml:space="preserve"> 526,6 млн рублей</w:t>
      </w:r>
      <w:r w:rsidRPr="00FB55DE">
        <w:rPr>
          <w:rFonts w:ascii="Times New Roman" w:eastAsia="Times New Roman" w:hAnsi="Times New Roman" w:cs="Times New Roman"/>
          <w:b/>
          <w:iCs/>
          <w:color w:val="002060"/>
          <w:sz w:val="28"/>
          <w:szCs w:val="24"/>
          <w:lang w:eastAsia="ru-RU"/>
        </w:rPr>
        <w:t>,</w:t>
      </w:r>
      <w:r w:rsidRPr="006F4305">
        <w:rPr>
          <w:rFonts w:ascii="Times New Roman" w:eastAsia="Times New Roman" w:hAnsi="Times New Roman" w:cs="Times New Roman"/>
          <w:sz w:val="28"/>
          <w:szCs w:val="24"/>
          <w:lang w:eastAsia="ru-RU"/>
        </w:rPr>
        <w:t xml:space="preserve"> или 100 % от утвержденных назначений. </w:t>
      </w:r>
      <w:r w:rsidRPr="006F4305">
        <w:rPr>
          <w:rFonts w:ascii="Times New Roman" w:eastAsia="Calibri" w:hAnsi="Times New Roman" w:cs="Times New Roman"/>
          <w:sz w:val="28"/>
          <w:szCs w:val="28"/>
          <w:lang w:eastAsia="ru-RU"/>
        </w:rPr>
        <w:t xml:space="preserve">Средства, выделенные по </w:t>
      </w:r>
      <w:r w:rsidRPr="006F4305">
        <w:rPr>
          <w:rFonts w:ascii="Times New Roman" w:eastAsia="Times New Roman" w:hAnsi="Times New Roman" w:cs="Times New Roman"/>
          <w:sz w:val="28"/>
          <w:szCs w:val="24"/>
          <w:lang w:eastAsia="ru-RU"/>
        </w:rPr>
        <w:t>региональному проекту, направлены на:</w:t>
      </w:r>
    </w:p>
    <w:p w14:paraId="7CCC20BB"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bCs/>
          <w:noProof/>
          <w:sz w:val="28"/>
          <w:szCs w:val="28"/>
          <w:lang w:eastAsia="ru-RU"/>
        </w:rPr>
      </w:pPr>
      <w:r w:rsidRPr="006F4305">
        <w:rPr>
          <w:rFonts w:ascii="Times New Roman" w:eastAsia="Calibri" w:hAnsi="Times New Roman" w:cs="Times New Roman"/>
          <w:sz w:val="28"/>
          <w:szCs w:val="24"/>
          <w:lang w:eastAsia="ru-RU"/>
        </w:rPr>
        <w:t xml:space="preserve">- </w:t>
      </w:r>
      <w:r w:rsidRPr="006F4305">
        <w:rPr>
          <w:rFonts w:ascii="Times New Roman" w:eastAsia="Times New Roman" w:hAnsi="Times New Roman" w:cs="Times New Roman"/>
          <w:sz w:val="28"/>
          <w:szCs w:val="24"/>
          <w:lang w:eastAsia="ru-RU"/>
        </w:rPr>
        <w:t>создание 76 687 новых мест дополнительного образования для детей в 607 образовательных организациях для реализации дополнительных общеразвивающих программ 6 направленностей – 447,2 млн рублей. Освоено 282</w:t>
      </w:r>
      <w:r w:rsidRPr="006F4305">
        <w:rPr>
          <w:rFonts w:ascii="Times New Roman" w:eastAsia="Times New Roman" w:hAnsi="Times New Roman" w:cs="Times New Roman"/>
          <w:noProof/>
          <w:sz w:val="28"/>
          <w:szCs w:val="28"/>
          <w:lang w:eastAsia="ru-RU"/>
        </w:rPr>
        <w:t>,4 млн рублей, или 63,2 % от объема финансирования.</w:t>
      </w:r>
      <w:r w:rsidRPr="006F4305">
        <w:rPr>
          <w:rFonts w:ascii="Times New Roman" w:eastAsia="Times New Roman" w:hAnsi="Times New Roman" w:cs="Times New Roman"/>
          <w:bCs/>
          <w:noProof/>
          <w:sz w:val="28"/>
          <w:szCs w:val="28"/>
          <w:lang w:eastAsia="ru-RU"/>
        </w:rPr>
        <w:t xml:space="preserve"> Неиспользованный (неосвоенный) остаток составил 164,8 млн рублей, или 36,8 % от объема финасирования. </w:t>
      </w:r>
      <w:r w:rsidRPr="006F4305">
        <w:rPr>
          <w:rFonts w:ascii="Times New Roman" w:eastAsia="Calibri" w:hAnsi="Times New Roman" w:cs="Times New Roman"/>
          <w:sz w:val="28"/>
          <w:szCs w:val="28"/>
        </w:rPr>
        <w:t>В системе «Навигатор дополнительного образования детей ДОД РД», количество детей, охваченных дополнительным образованием, составляет 393 667 человек, или 61,2 % от общего количества детей (643 771 человек);</w:t>
      </w:r>
      <w:r w:rsidRPr="006F4305">
        <w:rPr>
          <w:rFonts w:ascii="Times New Roman" w:eastAsia="Times New Roman" w:hAnsi="Times New Roman" w:cs="Times New Roman"/>
          <w:bCs/>
          <w:noProof/>
          <w:sz w:val="28"/>
          <w:szCs w:val="28"/>
          <w:lang w:eastAsia="ru-RU"/>
        </w:rPr>
        <w:t xml:space="preserve"> </w:t>
      </w:r>
    </w:p>
    <w:p w14:paraId="3E10A862" w14:textId="77777777" w:rsidR="006F4305" w:rsidRPr="006F4305" w:rsidRDefault="006F4305" w:rsidP="006F4305">
      <w:pPr>
        <w:spacing w:after="0" w:line="240" w:lineRule="auto"/>
        <w:ind w:firstLine="709"/>
        <w:jc w:val="both"/>
        <w:rPr>
          <w:rFonts w:ascii="Times New Roman" w:eastAsia="Times New Roman" w:hAnsi="Times New Roman" w:cs="Times New Roman"/>
          <w:bCs/>
          <w:iCs/>
          <w:sz w:val="28"/>
          <w:szCs w:val="28"/>
          <w:lang w:eastAsia="ru-RU"/>
        </w:rPr>
      </w:pPr>
      <w:r w:rsidRPr="006F4305">
        <w:rPr>
          <w:rFonts w:ascii="Times New Roman" w:eastAsia="Times New Roman" w:hAnsi="Times New Roman" w:cs="Times New Roman"/>
          <w:sz w:val="28"/>
          <w:szCs w:val="24"/>
          <w:lang w:eastAsia="ru-RU"/>
        </w:rPr>
        <w:t xml:space="preserve">- создание в 80 общеобразовательных организациях, расположенных в сельской местности и малых городах, условий для занятий физической культурой и спортом (ремонт 15 спортзалов и оснащение 65 школ открытыми плоскостными спортивными сооружениями, включая 5 мини-футбольных </w:t>
      </w:r>
      <w:r w:rsidRPr="006F4305">
        <w:rPr>
          <w:rFonts w:ascii="Times New Roman" w:eastAsia="Times New Roman" w:hAnsi="Times New Roman" w:cs="Times New Roman"/>
          <w:sz w:val="28"/>
          <w:szCs w:val="24"/>
          <w:lang w:eastAsia="ru-RU"/>
        </w:rPr>
        <w:lastRenderedPageBreak/>
        <w:t xml:space="preserve">полей) – 79,3 млн рублей. </w:t>
      </w:r>
      <w:r w:rsidRPr="006F4305">
        <w:rPr>
          <w:rFonts w:ascii="Times New Roman" w:eastAsia="Times New Roman" w:hAnsi="Times New Roman" w:cs="Times New Roman"/>
          <w:bCs/>
          <w:iCs/>
          <w:sz w:val="28"/>
          <w:szCs w:val="28"/>
          <w:lang w:eastAsia="ru-RU"/>
        </w:rPr>
        <w:t>Освоено 75,95 млн рублей, или 95,7 % от годовых назначений (79,3 млн рублей). Неиспользованный (неосвоенный) остаток составил 3,4 млн рублей, или 4,2 % от объема годовых назначений.</w:t>
      </w:r>
    </w:p>
    <w:p w14:paraId="20189A96"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rPr>
      </w:pPr>
      <w:r w:rsidRPr="006F4305">
        <w:rPr>
          <w:rFonts w:ascii="Times New Roman" w:eastAsia="Calibri" w:hAnsi="Times New Roman" w:cs="Times New Roman"/>
          <w:sz w:val="28"/>
          <w:szCs w:val="28"/>
        </w:rPr>
        <w:t xml:space="preserve">В 60 образовательных организациях завершена установка открытых плоскостных спортивных сооружений (воркаут- площадок). </w:t>
      </w:r>
    </w:p>
    <w:p w14:paraId="6AEF1DF1"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rPr>
      </w:pPr>
      <w:r w:rsidRPr="006F4305">
        <w:rPr>
          <w:rFonts w:ascii="Times New Roman" w:eastAsia="Calibri" w:hAnsi="Times New Roman" w:cs="Times New Roman"/>
          <w:sz w:val="28"/>
          <w:szCs w:val="28"/>
        </w:rPr>
        <w:t xml:space="preserve">В 5 муниципальных образованиях (МО «Тарумовский район», </w:t>
      </w:r>
      <w:r w:rsidRPr="006F4305">
        <w:rPr>
          <w:rFonts w:ascii="Times New Roman" w:eastAsia="Calibri" w:hAnsi="Times New Roman" w:cs="Times New Roman"/>
          <w:sz w:val="28"/>
          <w:szCs w:val="28"/>
        </w:rPr>
        <w:br/>
        <w:t>МО «Хивский район», МО «Хасавюртовский район», МО «Каякентский район», МО «Магарамкентский район») установлены мини-футбольные поля. Завершены ремонтные работы в 15 спортивных залах.</w:t>
      </w:r>
    </w:p>
    <w:p w14:paraId="725CA241"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rPr>
        <w:t xml:space="preserve">По состоянию на 1 января 2022 года по региональному проекту фактически освоено 506,1 млн рублей, или 96,1 % от годовых назначений (526,6 млн рублей). </w:t>
      </w:r>
      <w:r w:rsidRPr="006F4305">
        <w:rPr>
          <w:rFonts w:ascii="Times New Roman" w:eastAsia="Times New Roman" w:hAnsi="Times New Roman" w:cs="Times New Roman"/>
          <w:sz w:val="28"/>
          <w:szCs w:val="24"/>
          <w:lang w:eastAsia="ru-RU"/>
        </w:rPr>
        <w:t>По итогам года остаток неиспользованных (неосвоенных) средств составил 20,5 млн рублей, или 2,8</w:t>
      </w:r>
      <w:r w:rsidRPr="006F4305">
        <w:rPr>
          <w:rFonts w:ascii="Times New Roman" w:eastAsia="Calibri" w:hAnsi="Times New Roman" w:cs="Times New Roman"/>
          <w:sz w:val="28"/>
          <w:szCs w:val="28"/>
          <w:lang w:eastAsia="ru-RU"/>
        </w:rPr>
        <w:t xml:space="preserve"> % от объема финансирования, который сложился в связи с несвоевременным исполнением обязательств по контрактам. </w:t>
      </w:r>
    </w:p>
    <w:p w14:paraId="66C9939E"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8"/>
          <w:lang w:eastAsia="ru-RU"/>
        </w:rPr>
        <w:t>По итогам реализации регионального проекта в 2021 году запланированные 4 целевых показателя выполнены.</w:t>
      </w:r>
    </w:p>
    <w:p w14:paraId="5E3105EA"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shd w:val="clear" w:color="auto" w:fill="FFFFFF"/>
        </w:rPr>
      </w:pPr>
      <w:r w:rsidRPr="00FB55DE">
        <w:rPr>
          <w:rFonts w:ascii="Times New Roman" w:eastAsia="Times New Roman" w:hAnsi="Times New Roman" w:cs="Times New Roman"/>
          <w:b/>
          <w:bCs/>
          <w:iCs/>
          <w:color w:val="002060"/>
          <w:sz w:val="28"/>
          <w:szCs w:val="28"/>
          <w:lang w:eastAsia="ru-RU"/>
        </w:rPr>
        <w:t xml:space="preserve">3) Региональный проект </w:t>
      </w:r>
      <w:r w:rsidRPr="00FB55DE">
        <w:rPr>
          <w:rFonts w:ascii="Times New Roman" w:eastAsia="Calibri" w:hAnsi="Times New Roman" w:cs="Times New Roman"/>
          <w:b/>
          <w:bCs/>
          <w:iCs/>
          <w:color w:val="002060"/>
          <w:sz w:val="28"/>
          <w:szCs w:val="28"/>
          <w:lang w:eastAsia="ru-RU"/>
        </w:rPr>
        <w:t xml:space="preserve">«Цифровая образовательная среда» – </w:t>
      </w:r>
      <w:r w:rsidRPr="00FB55DE">
        <w:rPr>
          <w:rFonts w:ascii="Times New Roman" w:eastAsia="Calibri" w:hAnsi="Times New Roman" w:cs="Times New Roman"/>
          <w:b/>
          <w:bCs/>
          <w:iCs/>
          <w:color w:val="002060"/>
          <w:sz w:val="28"/>
          <w:szCs w:val="28"/>
          <w:lang w:eastAsia="ru-RU"/>
        </w:rPr>
        <w:br/>
      </w:r>
      <w:r w:rsidRPr="00FB55DE">
        <w:rPr>
          <w:rFonts w:ascii="Times New Roman" w:eastAsia="Times New Roman" w:hAnsi="Times New Roman" w:cs="Times New Roman"/>
          <w:b/>
          <w:bCs/>
          <w:iCs/>
          <w:color w:val="002060"/>
          <w:sz w:val="28"/>
          <w:szCs w:val="28"/>
          <w:lang w:eastAsia="ru-RU"/>
        </w:rPr>
        <w:t>11,7 млн рублей</w:t>
      </w:r>
      <w:r w:rsidRPr="006F4305">
        <w:rPr>
          <w:rFonts w:ascii="Times New Roman" w:eastAsia="Times New Roman" w:hAnsi="Times New Roman" w:cs="Times New Roman"/>
          <w:b/>
          <w:bCs/>
          <w:iCs/>
          <w:sz w:val="28"/>
          <w:szCs w:val="28"/>
          <w:lang w:eastAsia="ru-RU"/>
        </w:rPr>
        <w:t>,</w:t>
      </w:r>
      <w:r w:rsidRPr="006F4305">
        <w:rPr>
          <w:rFonts w:ascii="Times New Roman" w:eastAsia="Times New Roman" w:hAnsi="Times New Roman" w:cs="Times New Roman"/>
          <w:sz w:val="28"/>
          <w:szCs w:val="28"/>
          <w:lang w:eastAsia="ru-RU"/>
        </w:rPr>
        <w:t xml:space="preserve"> или 100 % от годовых назначений. </w:t>
      </w: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на создание регионального </w:t>
      </w:r>
      <w:r w:rsidRPr="006F4305">
        <w:rPr>
          <w:rFonts w:ascii="Times New Roman" w:eastAsia="Times New Roman" w:hAnsi="Times New Roman" w:cs="Times New Roman"/>
          <w:sz w:val="28"/>
          <w:szCs w:val="28"/>
          <w:lang w:eastAsia="ru-RU"/>
        </w:rPr>
        <w:t xml:space="preserve">Центра цифрового образования «IT клуб» в г. Буйнакске на базе МБОУ «Гимназия города Буйнакска имени Анатолия Хуторянского» (открыт </w:t>
      </w:r>
      <w:r w:rsidRPr="006F4305">
        <w:rPr>
          <w:rFonts w:ascii="Times New Roman" w:eastAsia="Calibri" w:hAnsi="Times New Roman" w:cs="Times New Roman"/>
          <w:sz w:val="28"/>
          <w:szCs w:val="28"/>
        </w:rPr>
        <w:t xml:space="preserve">6 </w:t>
      </w:r>
      <w:r w:rsidRPr="006F4305">
        <w:rPr>
          <w:rFonts w:ascii="Times New Roman" w:eastAsia="Calibri" w:hAnsi="Times New Roman" w:cs="Times New Roman"/>
          <w:sz w:val="28"/>
          <w:szCs w:val="28"/>
          <w:shd w:val="clear" w:color="auto" w:fill="FFFFFF"/>
        </w:rPr>
        <w:t xml:space="preserve">сентября 2021 года). </w:t>
      </w:r>
    </w:p>
    <w:p w14:paraId="19BCC2F8"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По состоянию на 1 января 2022 года по региональному проекту фактически освоено 11,7 млн рублей, или 100 % от объема финансирования.  </w:t>
      </w:r>
    </w:p>
    <w:p w14:paraId="79905937"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Из 4 целевых показателей регионального проекта, по показателю </w:t>
      </w:r>
      <w:r w:rsidRPr="006F4305">
        <w:rPr>
          <w:rFonts w:ascii="Times New Roman" w:eastAsia="Times New Roman" w:hAnsi="Times New Roman" w:cs="Times New Roman"/>
          <w:sz w:val="28"/>
          <w:szCs w:val="28"/>
          <w:lang w:eastAsia="ru-RU"/>
        </w:rPr>
        <w:br/>
        <w:t>«Доля общеобразовательных организаций, оснащенных в целях внедрения цифровой образовательной среды», базовое значение (31.12.2020г.) и прогнозное значение показателя указаны в размере 7,05 %, или 100 % от планового значения на 2021 год. По остальным трем показателям в 2021 году плановые значения на 2021 год не предусматривались.</w:t>
      </w:r>
    </w:p>
    <w:p w14:paraId="31BB8ADE"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FB55DE">
        <w:rPr>
          <w:rFonts w:ascii="Times New Roman" w:eastAsia="Times New Roman" w:hAnsi="Times New Roman" w:cs="Times New Roman"/>
          <w:b/>
          <w:iCs/>
          <w:color w:val="002060"/>
          <w:sz w:val="28"/>
          <w:szCs w:val="28"/>
          <w:lang w:eastAsia="ru-RU"/>
        </w:rPr>
        <w:t>4)</w:t>
      </w:r>
      <w:r w:rsidRPr="00FB55DE">
        <w:rPr>
          <w:rFonts w:ascii="Times New Roman" w:eastAsia="Times New Roman" w:hAnsi="Times New Roman" w:cs="Times New Roman"/>
          <w:iCs/>
          <w:color w:val="002060"/>
          <w:sz w:val="28"/>
          <w:szCs w:val="28"/>
          <w:lang w:eastAsia="ru-RU"/>
        </w:rPr>
        <w:t xml:space="preserve"> </w:t>
      </w:r>
      <w:r w:rsidRPr="00FB55DE">
        <w:rPr>
          <w:rFonts w:ascii="Times New Roman" w:eastAsia="Times New Roman" w:hAnsi="Times New Roman" w:cs="Times New Roman"/>
          <w:b/>
          <w:bCs/>
          <w:iCs/>
          <w:color w:val="002060"/>
          <w:sz w:val="28"/>
          <w:szCs w:val="28"/>
          <w:lang w:eastAsia="ru-RU"/>
        </w:rPr>
        <w:t xml:space="preserve">Региональный проект </w:t>
      </w:r>
      <w:r w:rsidRPr="00FB55DE">
        <w:rPr>
          <w:rFonts w:ascii="Times New Roman" w:eastAsia="Calibri" w:hAnsi="Times New Roman" w:cs="Times New Roman"/>
          <w:b/>
          <w:bCs/>
          <w:iCs/>
          <w:color w:val="002060"/>
          <w:sz w:val="28"/>
          <w:szCs w:val="28"/>
          <w:lang w:eastAsia="ru-RU"/>
        </w:rPr>
        <w:t xml:space="preserve">«Молодые профессионалы – 89,8 </w:t>
      </w:r>
      <w:r w:rsidRPr="00FB55DE">
        <w:rPr>
          <w:rFonts w:ascii="Times New Roman" w:eastAsia="Times New Roman" w:hAnsi="Times New Roman" w:cs="Times New Roman"/>
          <w:b/>
          <w:bCs/>
          <w:iCs/>
          <w:color w:val="002060"/>
          <w:sz w:val="28"/>
          <w:szCs w:val="28"/>
          <w:lang w:eastAsia="ru-RU"/>
        </w:rPr>
        <w:t>млн рублей,</w:t>
      </w:r>
      <w:r w:rsidRPr="006F4305">
        <w:rPr>
          <w:rFonts w:ascii="Times New Roman" w:eastAsia="Times New Roman" w:hAnsi="Times New Roman" w:cs="Times New Roman"/>
          <w:b/>
          <w:iCs/>
          <w:sz w:val="28"/>
          <w:szCs w:val="28"/>
          <w:lang w:eastAsia="ru-RU"/>
        </w:rPr>
        <w:t xml:space="preserve"> </w:t>
      </w:r>
      <w:r w:rsidRPr="006F4305">
        <w:rPr>
          <w:rFonts w:ascii="Times New Roman" w:eastAsia="Times New Roman" w:hAnsi="Times New Roman" w:cs="Times New Roman"/>
          <w:sz w:val="28"/>
          <w:szCs w:val="28"/>
          <w:lang w:eastAsia="ru-RU"/>
        </w:rPr>
        <w:t xml:space="preserve">или 100 % от годовых назначений. </w:t>
      </w:r>
    </w:p>
    <w:p w14:paraId="02CB321B"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на оснащение 8 мастерских современной материально - технической базой. </w:t>
      </w:r>
    </w:p>
    <w:p w14:paraId="484DE5EA"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rPr>
      </w:pPr>
      <w:r w:rsidRPr="006F4305">
        <w:rPr>
          <w:rFonts w:ascii="Times New Roman" w:eastAsia="Calibri" w:hAnsi="Times New Roman" w:cs="Times New Roman"/>
          <w:sz w:val="28"/>
          <w:szCs w:val="28"/>
        </w:rPr>
        <w:t>В 2021 году открыты мастерские, том числе в:</w:t>
      </w:r>
    </w:p>
    <w:p w14:paraId="6F7A0D03" w14:textId="77777777" w:rsidR="006F4305" w:rsidRPr="006F4305" w:rsidRDefault="006F4305" w:rsidP="006F4305">
      <w:pPr>
        <w:tabs>
          <w:tab w:val="left" w:pos="851"/>
          <w:tab w:val="left" w:pos="1134"/>
        </w:tabs>
        <w:spacing w:after="0" w:line="240" w:lineRule="auto"/>
        <w:ind w:firstLine="709"/>
        <w:contextualSpacing/>
        <w:jc w:val="both"/>
        <w:rPr>
          <w:rFonts w:ascii="Times New Roman" w:eastAsia="Calibri" w:hAnsi="Times New Roman" w:cs="Times New Roman"/>
          <w:sz w:val="28"/>
          <w:szCs w:val="28"/>
        </w:rPr>
      </w:pPr>
      <w:r w:rsidRPr="006F4305">
        <w:rPr>
          <w:rFonts w:ascii="Times New Roman" w:eastAsia="Calibri" w:hAnsi="Times New Roman" w:cs="Times New Roman"/>
          <w:sz w:val="28"/>
          <w:szCs w:val="28"/>
        </w:rPr>
        <w:t>- ГБПОУ РД «Автомобильно-дорожный колледж – 4 мастерских по компетенции «Обслуживание транспорта и логистика»;</w:t>
      </w:r>
    </w:p>
    <w:p w14:paraId="3852161D" w14:textId="77777777" w:rsidR="006F4305" w:rsidRPr="006F4305" w:rsidRDefault="006F4305" w:rsidP="006F4305">
      <w:pPr>
        <w:tabs>
          <w:tab w:val="left" w:pos="851"/>
          <w:tab w:val="left" w:pos="1134"/>
        </w:tabs>
        <w:spacing w:after="0" w:line="240" w:lineRule="auto"/>
        <w:ind w:firstLine="709"/>
        <w:contextualSpacing/>
        <w:jc w:val="both"/>
        <w:rPr>
          <w:rFonts w:ascii="Times New Roman" w:eastAsia="Calibri" w:hAnsi="Times New Roman" w:cs="Times New Roman"/>
          <w:sz w:val="28"/>
          <w:szCs w:val="28"/>
        </w:rPr>
      </w:pPr>
      <w:r w:rsidRPr="006F4305">
        <w:rPr>
          <w:rFonts w:ascii="Times New Roman" w:eastAsia="Calibri" w:hAnsi="Times New Roman" w:cs="Times New Roman"/>
          <w:sz w:val="28"/>
          <w:szCs w:val="28"/>
        </w:rPr>
        <w:t xml:space="preserve">- ГБПОУ РД «Колледже машиностроения и сервиса </w:t>
      </w:r>
      <w:r w:rsidRPr="006F4305">
        <w:rPr>
          <w:rFonts w:ascii="Times New Roman" w:eastAsia="Calibri" w:hAnsi="Times New Roman" w:cs="Times New Roman"/>
          <w:sz w:val="28"/>
          <w:szCs w:val="28"/>
        </w:rPr>
        <w:br/>
        <w:t xml:space="preserve">им. С. Орджоникидзе» – 4 мастерских по компетенции «Инженерный дизайн </w:t>
      </w:r>
      <w:r w:rsidRPr="006F4305">
        <w:rPr>
          <w:rFonts w:ascii="Times New Roman" w:eastAsia="Calibri" w:hAnsi="Times New Roman" w:cs="Times New Roman"/>
          <w:sz w:val="28"/>
          <w:szCs w:val="28"/>
          <w:lang w:val="en-US"/>
        </w:rPr>
        <w:t>CAD</w:t>
      </w:r>
      <w:r w:rsidRPr="006F4305">
        <w:rPr>
          <w:rFonts w:ascii="Times New Roman" w:eastAsia="Calibri" w:hAnsi="Times New Roman" w:cs="Times New Roman"/>
          <w:sz w:val="28"/>
          <w:szCs w:val="28"/>
        </w:rPr>
        <w:t xml:space="preserve">», «Аддитивные технологии», «Токарные работы», «Фрезерные работы».  </w:t>
      </w:r>
    </w:p>
    <w:p w14:paraId="40273146"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По состоянию на 1 января 2022 года фактически освоено 89,8 млн рублей, или 100 % от объема финансирования.  </w:t>
      </w:r>
    </w:p>
    <w:p w14:paraId="3A9A22FF"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lastRenderedPageBreak/>
        <w:t>По итогам реализации регионального проекта в 2021 году запланированные 3 целевых показателя выполнены в полном объеме.</w:t>
      </w:r>
    </w:p>
    <w:p w14:paraId="463D5EF0"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FB55DE">
        <w:rPr>
          <w:rFonts w:ascii="Times New Roman" w:eastAsia="Times New Roman" w:hAnsi="Times New Roman" w:cs="Times New Roman"/>
          <w:b/>
          <w:iCs/>
          <w:color w:val="002060"/>
          <w:sz w:val="28"/>
          <w:szCs w:val="28"/>
          <w:lang w:eastAsia="ru-RU"/>
        </w:rPr>
        <w:t>5)</w:t>
      </w:r>
      <w:r w:rsidRPr="00FB55DE">
        <w:rPr>
          <w:rFonts w:ascii="Times New Roman" w:eastAsia="Times New Roman" w:hAnsi="Times New Roman" w:cs="Times New Roman"/>
          <w:iCs/>
          <w:color w:val="002060"/>
          <w:sz w:val="28"/>
          <w:szCs w:val="28"/>
          <w:lang w:eastAsia="ru-RU"/>
        </w:rPr>
        <w:t xml:space="preserve"> </w:t>
      </w:r>
      <w:r w:rsidRPr="00FB55DE">
        <w:rPr>
          <w:rFonts w:ascii="Times New Roman" w:eastAsia="Times New Roman" w:hAnsi="Times New Roman" w:cs="Times New Roman"/>
          <w:b/>
          <w:bCs/>
          <w:iCs/>
          <w:color w:val="002060"/>
          <w:sz w:val="28"/>
          <w:szCs w:val="28"/>
          <w:lang w:eastAsia="ru-RU"/>
        </w:rPr>
        <w:t xml:space="preserve">Региональный проект </w:t>
      </w:r>
      <w:r w:rsidRPr="00FB55DE">
        <w:rPr>
          <w:rFonts w:ascii="Times New Roman" w:eastAsia="Calibri" w:hAnsi="Times New Roman" w:cs="Times New Roman"/>
          <w:b/>
          <w:bCs/>
          <w:iCs/>
          <w:color w:val="002060"/>
          <w:sz w:val="28"/>
          <w:szCs w:val="28"/>
          <w:lang w:eastAsia="ru-RU"/>
        </w:rPr>
        <w:t>«Социальная активность» –</w:t>
      </w:r>
      <w:r w:rsidRPr="00FB55DE">
        <w:rPr>
          <w:rFonts w:ascii="Times New Roman" w:eastAsia="Times New Roman" w:hAnsi="Times New Roman" w:cs="Times New Roman"/>
          <w:b/>
          <w:bCs/>
          <w:iCs/>
          <w:color w:val="002060"/>
          <w:sz w:val="28"/>
          <w:szCs w:val="28"/>
          <w:lang w:eastAsia="ru-RU"/>
        </w:rPr>
        <w:t xml:space="preserve"> 6,09 млн рублей,</w:t>
      </w:r>
      <w:r w:rsidRPr="00FB55DE">
        <w:rPr>
          <w:rFonts w:ascii="Times New Roman" w:eastAsia="Times New Roman" w:hAnsi="Times New Roman" w:cs="Times New Roman"/>
          <w:color w:val="002060"/>
          <w:sz w:val="28"/>
          <w:szCs w:val="28"/>
          <w:lang w:eastAsia="ru-RU"/>
        </w:rPr>
        <w:t xml:space="preserve"> </w:t>
      </w:r>
      <w:r w:rsidRPr="006F4305">
        <w:rPr>
          <w:rFonts w:ascii="Times New Roman" w:eastAsia="Times New Roman" w:hAnsi="Times New Roman" w:cs="Times New Roman"/>
          <w:sz w:val="28"/>
          <w:szCs w:val="28"/>
          <w:lang w:eastAsia="ru-RU"/>
        </w:rPr>
        <w:t xml:space="preserve">или 100 % от годовых назначений. </w:t>
      </w: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увеличение общей численности граждан в Республики Дагестан, вовлеченных центрами поддержки добровольчества  (волонтерства) до 60,8 тыс. человек, в том числе за счет участия </w:t>
      </w:r>
      <w:r w:rsidRPr="006F4305">
        <w:rPr>
          <w:rFonts w:ascii="Times New Roman" w:eastAsia="Times New Roman" w:hAnsi="Times New Roman" w:cs="Times New Roman"/>
          <w:sz w:val="28"/>
          <w:szCs w:val="28"/>
          <w:shd w:val="clear" w:color="auto" w:fill="FFFFFF"/>
          <w:lang w:eastAsia="ru-RU"/>
        </w:rPr>
        <w:t>в шести практиках поддержки добровольчества (Всероссийский конкурс «Регион  добрых дел», проекты «Школа добрых дел «Наставник», «Лига выдающихся джентльменов»,   волонтерские корпусы «Феникс», «Волонтеры инклюзии», «Общественные инспекторы охраны культурного наследия»).</w:t>
      </w:r>
    </w:p>
    <w:p w14:paraId="3B6FEFE9"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По состоянию на 1 января 2022 года фактически освоено 6,09 млн рублей, или 100 % от объема финансирования.</w:t>
      </w:r>
    </w:p>
    <w:p w14:paraId="50538580"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
          <w:sz w:val="28"/>
          <w:szCs w:val="28"/>
          <w:lang w:eastAsia="ru-RU"/>
        </w:rPr>
      </w:pPr>
      <w:r w:rsidRPr="006F4305">
        <w:rPr>
          <w:rFonts w:ascii="Times New Roman" w:eastAsia="Times New Roman" w:hAnsi="Times New Roman" w:cs="Times New Roman"/>
          <w:sz w:val="28"/>
          <w:szCs w:val="28"/>
          <w:lang w:eastAsia="ru-RU"/>
        </w:rPr>
        <w:t>По целевому показателю «Общая численность граждан Российской Федерации, вовлеченных центрами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фактическое значение составило 71,0 тыс. человек, или 116,8 % от плана на 2021 год (60,8 человек).</w:t>
      </w:r>
    </w:p>
    <w:p w14:paraId="2F3560C2"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b/>
          <w:sz w:val="28"/>
          <w:szCs w:val="28"/>
          <w:lang w:eastAsia="ru-RU"/>
        </w:rPr>
      </w:pPr>
    </w:p>
    <w:p w14:paraId="2DCDC37A" w14:textId="77777777" w:rsidR="006F4305" w:rsidRPr="00FB55DE" w:rsidRDefault="006F4305" w:rsidP="006F4305">
      <w:pPr>
        <w:widowControl w:val="0"/>
        <w:spacing w:after="0" w:line="240" w:lineRule="auto"/>
        <w:ind w:firstLine="709"/>
        <w:jc w:val="both"/>
        <w:rPr>
          <w:rFonts w:ascii="Times New Roman" w:eastAsia="Times New Roman" w:hAnsi="Times New Roman" w:cs="Times New Roman"/>
          <w:b/>
          <w:color w:val="002060"/>
          <w:sz w:val="28"/>
          <w:szCs w:val="24"/>
          <w:lang w:eastAsia="ru-RU"/>
        </w:rPr>
      </w:pPr>
      <w:r w:rsidRPr="00FB55DE">
        <w:rPr>
          <w:rFonts w:ascii="Times New Roman" w:eastAsia="Times New Roman" w:hAnsi="Times New Roman" w:cs="Times New Roman"/>
          <w:b/>
          <w:color w:val="002060"/>
          <w:sz w:val="28"/>
          <w:szCs w:val="28"/>
          <w:lang w:eastAsia="ru-RU"/>
        </w:rPr>
        <w:t>6.5.4. Н</w:t>
      </w:r>
      <w:r w:rsidRPr="00FB55DE">
        <w:rPr>
          <w:rFonts w:ascii="Times New Roman" w:eastAsia="Times New Roman" w:hAnsi="Times New Roman" w:cs="Times New Roman"/>
          <w:b/>
          <w:color w:val="002060"/>
          <w:sz w:val="28"/>
          <w:szCs w:val="24"/>
          <w:lang w:eastAsia="ru-RU"/>
        </w:rPr>
        <w:t>ациональный проект «</w:t>
      </w:r>
      <w:r w:rsidRPr="00FB55DE">
        <w:rPr>
          <w:rFonts w:ascii="Times New Roman" w:eastAsia="Calibri" w:hAnsi="Times New Roman" w:cs="Times New Roman"/>
          <w:b/>
          <w:color w:val="002060"/>
          <w:sz w:val="28"/>
          <w:szCs w:val="28"/>
          <w:lang w:eastAsia="ru-RU"/>
        </w:rPr>
        <w:t>Жилье и городская среда»</w:t>
      </w:r>
      <w:r w:rsidRPr="00FB55DE">
        <w:rPr>
          <w:rFonts w:ascii="Times New Roman" w:eastAsia="Times New Roman" w:hAnsi="Times New Roman" w:cs="Times New Roman"/>
          <w:b/>
          <w:color w:val="002060"/>
          <w:sz w:val="28"/>
          <w:szCs w:val="24"/>
          <w:lang w:eastAsia="ru-RU"/>
        </w:rPr>
        <w:t>.</w:t>
      </w:r>
    </w:p>
    <w:p w14:paraId="49D0E05C"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В 2021 году на реализацию национального проекта «</w:t>
      </w:r>
      <w:r w:rsidRPr="006F4305">
        <w:rPr>
          <w:rFonts w:ascii="Times New Roman" w:eastAsia="Calibri" w:hAnsi="Times New Roman" w:cs="Times New Roman"/>
          <w:sz w:val="28"/>
          <w:szCs w:val="28"/>
          <w:lang w:eastAsia="ru-RU"/>
        </w:rPr>
        <w:t>Жилье и городская среда»</w:t>
      </w:r>
      <w:r w:rsidRPr="006F4305">
        <w:rPr>
          <w:rFonts w:ascii="Times New Roman" w:eastAsia="Calibri" w:hAnsi="Times New Roman" w:cs="Times New Roman"/>
          <w:b/>
          <w:sz w:val="28"/>
          <w:szCs w:val="28"/>
          <w:lang w:eastAsia="ru-RU"/>
        </w:rPr>
        <w:t xml:space="preserve"> </w:t>
      </w:r>
      <w:r w:rsidRPr="006F4305">
        <w:rPr>
          <w:rFonts w:ascii="Times New Roman" w:eastAsia="Calibri" w:hAnsi="Times New Roman" w:cs="Times New Roman"/>
          <w:sz w:val="28"/>
          <w:szCs w:val="28"/>
          <w:lang w:eastAsia="ru-RU"/>
        </w:rPr>
        <w:t>профинансированы средства в сумме 1 800,9</w:t>
      </w:r>
      <w:r w:rsidRPr="006F4305">
        <w:rPr>
          <w:rFonts w:ascii="Times New Roman" w:eastAsia="Times New Roman" w:hAnsi="Times New Roman" w:cs="Times New Roman"/>
          <w:bCs/>
          <w:color w:val="FF0000"/>
          <w:sz w:val="28"/>
          <w:szCs w:val="24"/>
          <w:lang w:eastAsia="ru-RU"/>
        </w:rPr>
        <w:t xml:space="preserve"> </w:t>
      </w:r>
      <w:r w:rsidRPr="006F4305">
        <w:rPr>
          <w:rFonts w:ascii="Times New Roman" w:eastAsia="Times New Roman" w:hAnsi="Times New Roman" w:cs="Times New Roman"/>
          <w:bCs/>
          <w:sz w:val="28"/>
          <w:szCs w:val="24"/>
          <w:lang w:eastAsia="ru-RU"/>
        </w:rPr>
        <w:t>млн рублей</w:t>
      </w:r>
      <w:r w:rsidRPr="006F4305">
        <w:rPr>
          <w:rFonts w:ascii="Times New Roman" w:eastAsia="Times New Roman" w:hAnsi="Times New Roman" w:cs="Times New Roman"/>
          <w:sz w:val="28"/>
          <w:szCs w:val="24"/>
          <w:lang w:eastAsia="ru-RU"/>
        </w:rPr>
        <w:t>, или 99,2 % от годовых на</w:t>
      </w:r>
      <w:r w:rsidRPr="006F4305">
        <w:rPr>
          <w:rFonts w:ascii="Times New Roman" w:eastAsia="Calibri" w:hAnsi="Times New Roman" w:cs="Times New Roman"/>
          <w:sz w:val="28"/>
          <w:szCs w:val="28"/>
          <w:lang w:eastAsia="ru-RU"/>
        </w:rPr>
        <w:t xml:space="preserve">значений. </w:t>
      </w:r>
    </w:p>
    <w:p w14:paraId="6D3BF65F"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На 1 января 2022 года освоение бюджетных средств составило </w:t>
      </w:r>
      <w:r w:rsidRPr="006F4305">
        <w:rPr>
          <w:rFonts w:ascii="Times New Roman" w:eastAsia="Calibri" w:hAnsi="Times New Roman" w:cs="Times New Roman"/>
          <w:sz w:val="28"/>
          <w:szCs w:val="28"/>
          <w:lang w:eastAsia="ru-RU"/>
        </w:rPr>
        <w:br/>
        <w:t>1 781,0 млн рублей, или 98,1 % от годовых назначений (1 815,4</w:t>
      </w:r>
      <w:r w:rsidRPr="006F4305">
        <w:rPr>
          <w:rFonts w:ascii="Times New Roman" w:eastAsia="Times New Roman" w:hAnsi="Times New Roman" w:cs="Times New Roman"/>
          <w:sz w:val="28"/>
          <w:szCs w:val="24"/>
          <w:lang w:eastAsia="ru-RU"/>
        </w:rPr>
        <w:t xml:space="preserve"> </w:t>
      </w:r>
      <w:r w:rsidRPr="006F4305">
        <w:rPr>
          <w:rFonts w:ascii="Times New Roman" w:eastAsia="Calibri" w:hAnsi="Times New Roman" w:cs="Times New Roman"/>
          <w:sz w:val="28"/>
          <w:szCs w:val="28"/>
          <w:lang w:eastAsia="ru-RU"/>
        </w:rPr>
        <w:t>млн рублей). Неиспользованный (неосвоенный) остаток составил 34,4 млн рублей, или 2 % от объема годовых назначений.</w:t>
      </w:r>
    </w:p>
    <w:p w14:paraId="30678942"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Следует отметить, что в 2021 году из 4 региональных проектов национального проекта финансирование было предусмотрено на реализацию 3 региональных проектов. Финансирование регионального проекта «Жилье» не предусмотрено.</w:t>
      </w:r>
    </w:p>
    <w:p w14:paraId="0F096E70"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В рамках национального проекта бюджетные средства направлены на реализацию мероприятий 3 региональных проектов, в том числе:</w:t>
      </w:r>
    </w:p>
    <w:p w14:paraId="77DE80C5" w14:textId="77777777" w:rsidR="006F4305" w:rsidRPr="006F4305" w:rsidRDefault="006F4305" w:rsidP="006F4305">
      <w:pPr>
        <w:spacing w:after="0" w:line="240" w:lineRule="auto"/>
        <w:ind w:firstLine="709"/>
        <w:jc w:val="both"/>
        <w:rPr>
          <w:rFonts w:ascii="Times New Roman" w:eastAsia="Calibri" w:hAnsi="Times New Roman" w:cs="Times New Roman"/>
          <w:iCs/>
          <w:sz w:val="28"/>
          <w:szCs w:val="28"/>
          <w:lang w:eastAsia="ru-RU"/>
        </w:rPr>
      </w:pPr>
      <w:r w:rsidRPr="00FB55DE">
        <w:rPr>
          <w:rFonts w:ascii="Times New Roman" w:eastAsia="Calibri" w:hAnsi="Times New Roman" w:cs="Times New Roman"/>
          <w:b/>
          <w:bCs/>
          <w:iCs/>
          <w:color w:val="002060"/>
          <w:sz w:val="28"/>
          <w:szCs w:val="28"/>
          <w:lang w:eastAsia="ru-RU"/>
        </w:rPr>
        <w:t>1) Региональный проект «Комфортная городская среда в Республике Дагестан» – 1 003,5 млн рублей,</w:t>
      </w:r>
      <w:r w:rsidRPr="00FB55DE">
        <w:rPr>
          <w:rFonts w:ascii="Times New Roman" w:eastAsia="Calibri" w:hAnsi="Times New Roman" w:cs="Times New Roman"/>
          <w:color w:val="002060"/>
          <w:sz w:val="28"/>
          <w:szCs w:val="28"/>
          <w:lang w:eastAsia="ru-RU"/>
        </w:rPr>
        <w:t xml:space="preserve"> </w:t>
      </w:r>
      <w:r w:rsidRPr="006F4305">
        <w:rPr>
          <w:rFonts w:ascii="Times New Roman" w:eastAsia="Calibri" w:hAnsi="Times New Roman" w:cs="Times New Roman"/>
          <w:sz w:val="28"/>
          <w:szCs w:val="28"/>
          <w:lang w:eastAsia="ru-RU"/>
        </w:rPr>
        <w:t>или 100</w:t>
      </w:r>
      <w:r w:rsidRPr="006F4305">
        <w:rPr>
          <w:rFonts w:ascii="Times New Roman" w:eastAsia="Calibri" w:hAnsi="Times New Roman" w:cs="Times New Roman"/>
          <w:iCs/>
          <w:sz w:val="28"/>
          <w:szCs w:val="28"/>
          <w:lang w:eastAsia="ru-RU"/>
        </w:rPr>
        <w:t xml:space="preserve"> % от годовых назначений.</w:t>
      </w:r>
    </w:p>
    <w:p w14:paraId="2DFF0DB6"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на </w:t>
      </w:r>
      <w:r w:rsidRPr="006F4305">
        <w:rPr>
          <w:rFonts w:ascii="Times New Roman" w:eastAsia="Times New Roman" w:hAnsi="Times New Roman" w:cs="Times New Roman"/>
          <w:sz w:val="28"/>
          <w:szCs w:val="28"/>
          <w:lang w:eastAsia="ru-RU"/>
        </w:rPr>
        <w:t>благоустройство 223</w:t>
      </w:r>
      <w:r w:rsidRPr="006F4305">
        <w:rPr>
          <w:rFonts w:ascii="Times New Roman" w:eastAsia="Calibri" w:hAnsi="Times New Roman" w:cs="Times New Roman"/>
          <w:sz w:val="28"/>
          <w:szCs w:val="28"/>
          <w:lang w:eastAsia="ru-RU"/>
        </w:rPr>
        <w:t xml:space="preserve"> территорий, в том числе: 142 общественных и </w:t>
      </w:r>
      <w:r w:rsidRPr="006F4305">
        <w:rPr>
          <w:rFonts w:ascii="Times New Roman" w:eastAsia="Calibri" w:hAnsi="Times New Roman" w:cs="Times New Roman"/>
          <w:sz w:val="28"/>
          <w:szCs w:val="28"/>
          <w:lang w:eastAsia="ru-RU"/>
        </w:rPr>
        <w:br/>
        <w:t xml:space="preserve">81 дворовых территорий. </w:t>
      </w:r>
    </w:p>
    <w:p w14:paraId="2CBDDA9B"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По состоянию на 1 января 2022 года освоено 1 003,5 млн рублей, или </w:t>
      </w:r>
      <w:r w:rsidRPr="006F4305">
        <w:rPr>
          <w:rFonts w:ascii="Times New Roman" w:eastAsia="Calibri" w:hAnsi="Times New Roman" w:cs="Times New Roman"/>
          <w:sz w:val="28"/>
          <w:szCs w:val="28"/>
          <w:lang w:eastAsia="ru-RU"/>
        </w:rPr>
        <w:br/>
        <w:t xml:space="preserve">100 % от объема финансирования. </w:t>
      </w:r>
    </w:p>
    <w:p w14:paraId="0A783DD6" w14:textId="77777777" w:rsidR="006F4305" w:rsidRPr="006F4305" w:rsidRDefault="006F4305" w:rsidP="006F4305">
      <w:pPr>
        <w:spacing w:after="0" w:line="240" w:lineRule="auto"/>
        <w:ind w:firstLine="709"/>
        <w:contextualSpacing/>
        <w:jc w:val="both"/>
        <w:rPr>
          <w:rFonts w:ascii="Times New Roman" w:eastAsia="Arial" w:hAnsi="Times New Roman" w:cs="Times New Roman"/>
          <w:sz w:val="28"/>
          <w:szCs w:val="28"/>
          <w:lang w:eastAsia="ru-RU"/>
        </w:rPr>
      </w:pPr>
      <w:r w:rsidRPr="006F4305">
        <w:rPr>
          <w:rFonts w:ascii="Times New Roman" w:eastAsia="Arial" w:hAnsi="Times New Roman" w:cs="Times New Roman"/>
          <w:sz w:val="28"/>
          <w:szCs w:val="28"/>
          <w:lang w:eastAsia="ru-RU"/>
        </w:rPr>
        <w:t xml:space="preserve">Всего с начала реализации регионального проекта в Республике Дагестан благоустроены 499 общественных территорий, а также реализованы </w:t>
      </w:r>
      <w:r w:rsidRPr="006F4305">
        <w:rPr>
          <w:rFonts w:ascii="Times New Roman" w:eastAsia="Arial" w:hAnsi="Times New Roman" w:cs="Times New Roman"/>
          <w:sz w:val="28"/>
          <w:szCs w:val="28"/>
          <w:lang w:eastAsia="ru-RU"/>
        </w:rPr>
        <w:lastRenderedPageBreak/>
        <w:t xml:space="preserve">3 проекта победителей Всероссийского конкурса лучших проектов создания комфортной городской среды в малых городах и исторических поселения.   </w:t>
      </w:r>
    </w:p>
    <w:p w14:paraId="41E8DFD5" w14:textId="77777777" w:rsidR="006F4305" w:rsidRPr="006F4305" w:rsidRDefault="006F4305" w:rsidP="006F4305">
      <w:pPr>
        <w:spacing w:after="0" w:line="240" w:lineRule="auto"/>
        <w:ind w:firstLine="709"/>
        <w:contextualSpacing/>
        <w:jc w:val="both"/>
        <w:rPr>
          <w:rFonts w:ascii="Times New Roman" w:eastAsia="Arial" w:hAnsi="Times New Roman" w:cs="Times New Roman"/>
          <w:sz w:val="28"/>
          <w:szCs w:val="28"/>
          <w:lang w:eastAsia="ru-RU"/>
        </w:rPr>
      </w:pPr>
      <w:r w:rsidRPr="006F4305">
        <w:rPr>
          <w:rFonts w:ascii="Times New Roman" w:eastAsia="Times New Roman" w:hAnsi="Times New Roman" w:cs="Times New Roman"/>
          <w:sz w:val="28"/>
          <w:szCs w:val="28"/>
          <w:lang w:eastAsia="zh-CN"/>
        </w:rPr>
        <w:t>Следует отметить, что Министерством строительства Республики Дагестан не обеспечено исполнение требований Д</w:t>
      </w:r>
      <w:r w:rsidRPr="006F4305">
        <w:rPr>
          <w:rFonts w:ascii="Times New Roman" w:eastAsia="Arial" w:hAnsi="Times New Roman" w:cs="Times New Roman"/>
          <w:sz w:val="28"/>
          <w:szCs w:val="28"/>
          <w:lang w:eastAsia="ru-RU"/>
        </w:rPr>
        <w:t>ополнительного соглашения</w:t>
      </w:r>
      <w:r w:rsidRPr="006F4305">
        <w:rPr>
          <w:rFonts w:ascii="Times New Roman" w:eastAsia="Arial" w:hAnsi="Times New Roman" w:cs="Times New Roman"/>
          <w:sz w:val="28"/>
          <w:szCs w:val="28"/>
          <w:vertAlign w:val="superscript"/>
          <w:lang w:eastAsia="ru-RU"/>
        </w:rPr>
        <w:footnoteReference w:id="2"/>
      </w:r>
      <w:r w:rsidRPr="006F4305">
        <w:rPr>
          <w:rFonts w:ascii="Times New Roman" w:eastAsia="Arial" w:hAnsi="Times New Roman" w:cs="Times New Roman"/>
          <w:sz w:val="28"/>
          <w:szCs w:val="28"/>
          <w:lang w:eastAsia="ru-RU"/>
        </w:rPr>
        <w:t xml:space="preserve"> к Соглашению о предоставлении субсидий из федерального бюджета бюджету субъекта Российской Федераций от 20 декабря 2020 года </w:t>
      </w:r>
      <w:r w:rsidRPr="006F4305">
        <w:rPr>
          <w:rFonts w:ascii="Times New Roman" w:eastAsia="Arial" w:hAnsi="Times New Roman" w:cs="Times New Roman"/>
          <w:sz w:val="28"/>
          <w:szCs w:val="28"/>
          <w:lang w:eastAsia="ru-RU"/>
        </w:rPr>
        <w:br/>
        <w:t xml:space="preserve">№ 069-09-2021-008, заключенному между Министерством строительства и жилищно-коммунального хозяйства Российской Федерации и Правительством Республики Дагестан в части освоения средств федерального и республиканского бюджетов муниципальными образованиями в срок до </w:t>
      </w:r>
      <w:r w:rsidRPr="006F4305">
        <w:rPr>
          <w:rFonts w:ascii="Times New Roman" w:eastAsia="Arial" w:hAnsi="Times New Roman" w:cs="Times New Roman"/>
          <w:sz w:val="28"/>
          <w:szCs w:val="28"/>
          <w:lang w:eastAsia="ru-RU"/>
        </w:rPr>
        <w:br/>
        <w:t>1 декабря 2021 года.</w:t>
      </w:r>
    </w:p>
    <w:p w14:paraId="1DDFC4D9"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По итогам реализации регионального проекта в 2021 году плановые значения 8 целевых показателей выполнены в полном объеме.</w:t>
      </w:r>
    </w:p>
    <w:p w14:paraId="2C8F83D6"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FB55DE">
        <w:rPr>
          <w:rFonts w:ascii="Times New Roman" w:eastAsia="Calibri" w:hAnsi="Times New Roman" w:cs="Times New Roman"/>
          <w:b/>
          <w:bCs/>
          <w:iCs/>
          <w:color w:val="002060"/>
          <w:sz w:val="28"/>
          <w:szCs w:val="28"/>
          <w:lang w:eastAsia="ru-RU"/>
        </w:rPr>
        <w:t>2) Региональный проект «Обеспечение устойчивого сокращения непригодного для проживания жилищного фонда» – 72,4 млн рублей,</w:t>
      </w:r>
      <w:r w:rsidRPr="00FB55DE">
        <w:rPr>
          <w:rFonts w:ascii="Times New Roman" w:eastAsia="Calibri" w:hAnsi="Times New Roman" w:cs="Times New Roman"/>
          <w:color w:val="002060"/>
          <w:sz w:val="28"/>
          <w:szCs w:val="28"/>
          <w:lang w:eastAsia="ru-RU"/>
        </w:rPr>
        <w:t xml:space="preserve"> </w:t>
      </w:r>
      <w:r w:rsidRPr="006F4305">
        <w:rPr>
          <w:rFonts w:ascii="Times New Roman" w:eastAsia="Calibri" w:hAnsi="Times New Roman" w:cs="Times New Roman"/>
          <w:sz w:val="28"/>
          <w:szCs w:val="28"/>
          <w:lang w:eastAsia="ru-RU"/>
        </w:rPr>
        <w:t xml:space="preserve">или 83,3 % от годовых назначений (86,95 млн рублей). </w:t>
      </w:r>
    </w:p>
    <w:p w14:paraId="18C17BC4"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Финансирование осуществлено в соответствии с республиканской адресной программой «Переселение граждан из аварийного жилищного фонда в Республике Дагестан в 2019-2024 годах» (постановление Правительства Республики Дагестан в редакции от 07 июля 2021 № 172).  </w:t>
      </w:r>
    </w:p>
    <w:p w14:paraId="51B5CB92"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Согласно Соглашению, заключенному Главой Республики Дагестан Меликовым С.А. с Фондом содействия реформированию жилищно-коммунального хозяйства от 3 марта 2021 года, принято решение о досрочном завершении в 2021 году программы переселения граждан из аварийного жилищного фонда, признанного таковым до 31 декабря 2021 года.</w:t>
      </w:r>
    </w:p>
    <w:p w14:paraId="464F70D0" w14:textId="77777777" w:rsidR="006F4305" w:rsidRPr="006F4305" w:rsidRDefault="006F4305" w:rsidP="006F4305">
      <w:pPr>
        <w:spacing w:after="0" w:line="240" w:lineRule="auto"/>
        <w:ind w:firstLine="709"/>
        <w:jc w:val="both"/>
        <w:rPr>
          <w:rFonts w:ascii="Times New Roman" w:eastAsia="Arial Unicode MS" w:hAnsi="Times New Roman" w:cs="Times New Roman"/>
          <w:sz w:val="28"/>
          <w:szCs w:val="28"/>
        </w:rPr>
      </w:pPr>
      <w:bookmarkStart w:id="42" w:name="_Hlk90990336"/>
      <w:bookmarkStart w:id="43" w:name="_Hlk90990369"/>
      <w:bookmarkStart w:id="44" w:name="_Hlk90990650"/>
      <w:r w:rsidRPr="006F4305">
        <w:rPr>
          <w:rFonts w:ascii="Times New Roman" w:eastAsia="Arial Unicode MS" w:hAnsi="Times New Roman" w:cs="Times New Roman"/>
          <w:sz w:val="28"/>
          <w:szCs w:val="28"/>
        </w:rPr>
        <w:t>Планировалось расселение 72 семей (227 человек) из аварийного жилищного фонда общей площадью 2,75 тыс. кв. метров</w:t>
      </w:r>
      <w:bookmarkEnd w:id="42"/>
      <w:r w:rsidRPr="006F4305">
        <w:rPr>
          <w:rFonts w:ascii="Times New Roman" w:eastAsia="Arial Unicode MS" w:hAnsi="Times New Roman" w:cs="Times New Roman"/>
          <w:sz w:val="28"/>
          <w:szCs w:val="28"/>
        </w:rPr>
        <w:t>.</w:t>
      </w:r>
    </w:p>
    <w:p w14:paraId="70A7AE0E" w14:textId="77777777" w:rsidR="006F4305" w:rsidRPr="006F4305" w:rsidRDefault="006F4305" w:rsidP="006F4305">
      <w:pPr>
        <w:widowControl w:val="0"/>
        <w:pBdr>
          <w:bottom w:val="single" w:sz="4" w:space="0" w:color="FFFFFF"/>
        </w:pBdr>
        <w:tabs>
          <w:tab w:val="left" w:pos="851"/>
          <w:tab w:val="left" w:pos="7938"/>
          <w:tab w:val="left" w:pos="9540"/>
        </w:tabs>
        <w:spacing w:after="0" w:line="240" w:lineRule="auto"/>
        <w:ind w:firstLine="709"/>
        <w:jc w:val="both"/>
        <w:rPr>
          <w:rFonts w:ascii="Times New Roman" w:eastAsia="Calibri" w:hAnsi="Times New Roman" w:cs="Times New Roman"/>
          <w:bCs/>
          <w:sz w:val="28"/>
          <w:szCs w:val="28"/>
        </w:rPr>
      </w:pPr>
      <w:r w:rsidRPr="006F4305">
        <w:rPr>
          <w:rFonts w:ascii="Times New Roman" w:eastAsia="Times New Roman" w:hAnsi="Times New Roman" w:cs="Times New Roman"/>
          <w:sz w:val="28"/>
          <w:szCs w:val="28"/>
          <w:lang w:eastAsia="ru-RU"/>
        </w:rPr>
        <w:t xml:space="preserve">Средства, выделенные по региональному проекту, направлены на расселение </w:t>
      </w:r>
      <w:r w:rsidRPr="006F4305">
        <w:rPr>
          <w:rFonts w:ascii="Times New Roman" w:eastAsia="Calibri" w:hAnsi="Times New Roman" w:cs="Times New Roman"/>
          <w:bCs/>
          <w:sz w:val="28"/>
          <w:szCs w:val="28"/>
        </w:rPr>
        <w:t xml:space="preserve">56 семей (172 чел.). </w:t>
      </w:r>
    </w:p>
    <w:p w14:paraId="6BCD4EC3" w14:textId="77777777" w:rsidR="006F4305" w:rsidRPr="006F4305" w:rsidRDefault="006F4305" w:rsidP="006F4305">
      <w:pPr>
        <w:spacing w:after="0" w:line="240" w:lineRule="auto"/>
        <w:ind w:right="-1"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8"/>
          <w:lang w:eastAsia="ru-RU"/>
        </w:rPr>
        <w:t>По состоянию на 1 января 2022 года кассовое исполнение составляет 52,63 млн рублей или 60,5 % от годовых назначений. О</w:t>
      </w:r>
      <w:r w:rsidRPr="006F4305">
        <w:rPr>
          <w:rFonts w:ascii="Times New Roman" w:eastAsia="Calibri" w:hAnsi="Times New Roman" w:cs="Times New Roman"/>
          <w:sz w:val="28"/>
          <w:szCs w:val="28"/>
          <w:lang w:eastAsia="ru-RU"/>
        </w:rPr>
        <w:t>статок неиспользованных средств составил 34,3 млн рублей, или 39,5 % от объема годовых назначений (86,9 млн рублей).</w:t>
      </w:r>
    </w:p>
    <w:p w14:paraId="3E537C76" w14:textId="77777777" w:rsidR="006F4305" w:rsidRPr="006F4305" w:rsidRDefault="006F4305" w:rsidP="006F4305">
      <w:pPr>
        <w:widowControl w:val="0"/>
        <w:pBdr>
          <w:bottom w:val="single" w:sz="4" w:space="0" w:color="FFFFFF"/>
        </w:pBdr>
        <w:tabs>
          <w:tab w:val="left" w:pos="851"/>
          <w:tab w:val="left" w:pos="7938"/>
          <w:tab w:val="left" w:pos="9540"/>
        </w:tabs>
        <w:spacing w:after="0" w:line="240" w:lineRule="auto"/>
        <w:ind w:firstLine="709"/>
        <w:jc w:val="both"/>
        <w:rPr>
          <w:rFonts w:ascii="Times New Roman" w:eastAsia="Calibri" w:hAnsi="Times New Roman" w:cs="Times New Roman"/>
          <w:bCs/>
          <w:sz w:val="28"/>
          <w:szCs w:val="28"/>
        </w:rPr>
      </w:pPr>
      <w:r w:rsidRPr="006F4305">
        <w:rPr>
          <w:rFonts w:ascii="Times New Roman" w:eastAsia="Calibri" w:hAnsi="Times New Roman" w:cs="Times New Roman"/>
          <w:bCs/>
          <w:sz w:val="28"/>
          <w:szCs w:val="28"/>
        </w:rPr>
        <w:t>Из 41 (не расселенных) семей, предусмотренных этапами 2020-2021 годов, 2021-2022 годов, осталось заключить соглашения с 5 семьями (17 чел.) на выкуп жилых помещений на территории г. Махачкалы, в том числе: в связи с судебным процессом – с 4 семьями, с передачей права собственности на жилье на правах наследования – с 1 семьей.</w:t>
      </w:r>
    </w:p>
    <w:p w14:paraId="23DA8AD1" w14:textId="77777777" w:rsidR="006F4305" w:rsidRPr="006F4305" w:rsidRDefault="006F4305" w:rsidP="006F4305">
      <w:pPr>
        <w:widowControl w:val="0"/>
        <w:pBdr>
          <w:bottom w:val="single" w:sz="4" w:space="0" w:color="FFFFFF"/>
        </w:pBdr>
        <w:tabs>
          <w:tab w:val="left" w:pos="851"/>
          <w:tab w:val="left" w:pos="7938"/>
          <w:tab w:val="left" w:pos="9540"/>
        </w:tabs>
        <w:spacing w:after="0" w:line="240" w:lineRule="auto"/>
        <w:ind w:firstLine="709"/>
        <w:jc w:val="both"/>
        <w:rPr>
          <w:rFonts w:ascii="Times New Roman" w:eastAsia="Calibri" w:hAnsi="Times New Roman" w:cs="Times New Roman"/>
          <w:bCs/>
          <w:sz w:val="28"/>
          <w:szCs w:val="28"/>
        </w:rPr>
      </w:pPr>
      <w:r w:rsidRPr="006F4305">
        <w:rPr>
          <w:rFonts w:ascii="Times New Roman" w:eastAsia="Calibri" w:hAnsi="Times New Roman" w:cs="Times New Roman"/>
          <w:bCs/>
          <w:sz w:val="28"/>
          <w:szCs w:val="28"/>
        </w:rPr>
        <w:t xml:space="preserve">Следует отметить, что на 1 января 2022 года средства Фонда содействию реформирования жилищно-коммунального хозяйства Российской Федерации в соответствии с запросом на финансирование регионального проекта по заключенным контрактам (этап 2020-2021 годов, этап 2021-2022 годов и этап </w:t>
      </w:r>
      <w:r w:rsidRPr="006F4305">
        <w:rPr>
          <w:rFonts w:ascii="Times New Roman" w:eastAsia="Calibri" w:hAnsi="Times New Roman" w:cs="Times New Roman"/>
          <w:bCs/>
          <w:sz w:val="28"/>
          <w:szCs w:val="28"/>
        </w:rPr>
        <w:lastRenderedPageBreak/>
        <w:t>2022-2023 годов) поступили 29 декабря 2021 года и не доведены в полном объеме.</w:t>
      </w:r>
    </w:p>
    <w:bookmarkEnd w:id="43"/>
    <w:bookmarkEnd w:id="44"/>
    <w:p w14:paraId="120C4680"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По итогам реализации регионального проекта в 2021 году плановые значения 2 целевых показателей выполнены в полном объеме.</w:t>
      </w:r>
    </w:p>
    <w:p w14:paraId="7BF9566B"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rPr>
      </w:pPr>
      <w:r w:rsidRPr="00FB55DE">
        <w:rPr>
          <w:rFonts w:ascii="Times New Roman" w:eastAsia="Calibri" w:hAnsi="Times New Roman" w:cs="Times New Roman"/>
          <w:b/>
          <w:bCs/>
          <w:iCs/>
          <w:color w:val="002060"/>
          <w:sz w:val="28"/>
          <w:szCs w:val="28"/>
          <w:lang w:eastAsia="ru-RU"/>
        </w:rPr>
        <w:t>3) Региональный проект «Чистая вода» – 725,03 млн рублей</w:t>
      </w:r>
      <w:r w:rsidRPr="006F4305">
        <w:rPr>
          <w:rFonts w:ascii="Times New Roman" w:eastAsia="Calibri" w:hAnsi="Times New Roman" w:cs="Times New Roman"/>
          <w:bCs/>
          <w:sz w:val="28"/>
          <w:szCs w:val="28"/>
          <w:lang w:eastAsia="ru-RU"/>
        </w:rPr>
        <w:t>,</w:t>
      </w:r>
      <w:r w:rsidRPr="006F4305">
        <w:rPr>
          <w:rFonts w:ascii="Times New Roman" w:eastAsia="Calibri" w:hAnsi="Times New Roman" w:cs="Times New Roman"/>
          <w:b/>
          <w:bCs/>
          <w:i/>
          <w:sz w:val="28"/>
          <w:szCs w:val="28"/>
          <w:lang w:eastAsia="ru-RU"/>
        </w:rPr>
        <w:t xml:space="preserve"> </w:t>
      </w:r>
      <w:r w:rsidRPr="006F4305">
        <w:rPr>
          <w:rFonts w:ascii="Times New Roman" w:eastAsia="Calibri" w:hAnsi="Times New Roman" w:cs="Times New Roman"/>
          <w:sz w:val="28"/>
          <w:szCs w:val="28"/>
          <w:lang w:eastAsia="ru-RU"/>
        </w:rPr>
        <w:t>и</w:t>
      </w:r>
      <w:r w:rsidRPr="006F4305">
        <w:rPr>
          <w:rFonts w:ascii="Times New Roman" w:eastAsia="Times New Roman" w:hAnsi="Times New Roman" w:cs="Times New Roman"/>
          <w:sz w:val="28"/>
          <w:szCs w:val="24"/>
          <w:lang w:eastAsia="ru-RU"/>
        </w:rPr>
        <w:t xml:space="preserve">ли </w:t>
      </w:r>
      <w:r w:rsidRPr="006F4305">
        <w:rPr>
          <w:rFonts w:ascii="Times New Roman" w:eastAsia="Times New Roman" w:hAnsi="Times New Roman" w:cs="Times New Roman"/>
          <w:sz w:val="28"/>
          <w:szCs w:val="24"/>
          <w:lang w:eastAsia="ru-RU"/>
        </w:rPr>
        <w:br/>
        <w:t xml:space="preserve">100 % от годовых назначений. </w:t>
      </w:r>
      <w:r w:rsidRPr="006F4305">
        <w:rPr>
          <w:rFonts w:ascii="Times New Roman" w:eastAsia="Calibri" w:hAnsi="Times New Roman" w:cs="Times New Roman"/>
          <w:sz w:val="28"/>
          <w:szCs w:val="28"/>
          <w:lang w:eastAsia="ru-RU"/>
        </w:rPr>
        <w:t xml:space="preserve">Средства, профинансированные по региональному проекту, направлены на </w:t>
      </w:r>
      <w:r w:rsidRPr="006F4305">
        <w:rPr>
          <w:rFonts w:ascii="Times New Roman" w:eastAsia="Calibri" w:hAnsi="Times New Roman" w:cs="Times New Roman"/>
          <w:sz w:val="28"/>
          <w:szCs w:val="28"/>
        </w:rPr>
        <w:t xml:space="preserve">строительство водопроводных очистных сооружений и реконструкцию систем водоснабжения.   </w:t>
      </w:r>
    </w:p>
    <w:p w14:paraId="2775305F"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bCs/>
          <w:iCs/>
          <w:sz w:val="28"/>
          <w:szCs w:val="28"/>
          <w:lang w:eastAsia="zh-CN"/>
        </w:rPr>
        <w:t>В 2021 году было предусмотрено построить 6 объектов водоснабжения, с вводом в эксплуатацию 5 объектов в 2021 году и 1 объекта в 2022 году (переходящий). Однако, низкие темпы кассового освоения на протяжении 2021 года значительно увеличили риски своевременного освоения бюджетных средств, предусмотренных на реализацию регионального проекта.</w:t>
      </w:r>
      <w:r w:rsidRPr="006F4305">
        <w:rPr>
          <w:rFonts w:ascii="Times New Roman" w:eastAsia="Times New Roman" w:hAnsi="Times New Roman" w:cs="Times New Roman"/>
          <w:bCs/>
          <w:iCs/>
          <w:sz w:val="28"/>
          <w:szCs w:val="28"/>
          <w:lang w:eastAsia="zh-CN"/>
        </w:rPr>
        <w:br/>
        <w:t xml:space="preserve">В результате, Министерством строительства и жилищно-коммунального хозяйства Российской Федерации заключено дополнительное заключение с Правительством Республики Дагестан об уменьшении бюджетных ассигнований, в соответствии с которым общий объем финансирования на 2021 год уменьшен на 170,5 млн рублей. Соответственно уменьшены целевые показатели регионального проекта и сроки ввода 4 объектов в эксплуатацию перенесены на 2022 год. </w:t>
      </w:r>
      <w:r w:rsidRPr="006F4305">
        <w:rPr>
          <w:rFonts w:ascii="Times New Roman" w:eastAsia="Times New Roman" w:hAnsi="Times New Roman" w:cs="Times New Roman"/>
          <w:sz w:val="28"/>
          <w:szCs w:val="28"/>
          <w:lang w:eastAsia="ru-RU"/>
        </w:rPr>
        <w:t>Техническая готовность объектов составляет 95 процентов.</w:t>
      </w:r>
    </w:p>
    <w:p w14:paraId="55CD7CC2"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На 1 января 2022 года фактически освоено 724,9 млн рублей, или 99,8 % от объема финансирования. Остаток неиспользованных средств составил </w:t>
      </w:r>
      <w:r w:rsidRPr="006F4305">
        <w:rPr>
          <w:rFonts w:ascii="Times New Roman" w:eastAsia="Calibri" w:hAnsi="Times New Roman" w:cs="Times New Roman"/>
          <w:sz w:val="28"/>
          <w:szCs w:val="28"/>
          <w:lang w:eastAsia="ru-RU"/>
        </w:rPr>
        <w:br/>
        <w:t xml:space="preserve">0,12 млн рублей, или 0,02 % от объема годовых назначений (725,03 млн рублей). </w:t>
      </w:r>
    </w:p>
    <w:p w14:paraId="47380CEC" w14:textId="5E96AE6E"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pacing w:val="-4"/>
          <w:sz w:val="28"/>
          <w:szCs w:val="28"/>
          <w:lang w:eastAsia="ru-RU"/>
        </w:rPr>
      </w:pPr>
      <w:r w:rsidRPr="006F4305">
        <w:rPr>
          <w:rFonts w:ascii="Times New Roman" w:eastAsia="Calibri" w:hAnsi="Times New Roman" w:cs="Times New Roman"/>
          <w:iCs/>
          <w:sz w:val="28"/>
          <w:szCs w:val="28"/>
          <w:lang w:eastAsia="ru-RU"/>
        </w:rPr>
        <w:t>По региональному проекту в 202</w:t>
      </w:r>
      <w:r w:rsidR="00E240D8">
        <w:rPr>
          <w:rFonts w:ascii="Times New Roman" w:eastAsia="Calibri" w:hAnsi="Times New Roman" w:cs="Times New Roman"/>
          <w:iCs/>
          <w:sz w:val="28"/>
          <w:szCs w:val="28"/>
          <w:lang w:eastAsia="ru-RU"/>
        </w:rPr>
        <w:t>1</w:t>
      </w:r>
      <w:r w:rsidRPr="006F4305">
        <w:rPr>
          <w:rFonts w:ascii="Times New Roman" w:eastAsia="Calibri" w:hAnsi="Times New Roman" w:cs="Times New Roman"/>
          <w:iCs/>
          <w:sz w:val="28"/>
          <w:szCs w:val="28"/>
          <w:lang w:eastAsia="ru-RU"/>
        </w:rPr>
        <w:t xml:space="preserve"> году было </w:t>
      </w:r>
      <w:r w:rsidRPr="006F4305">
        <w:rPr>
          <w:rFonts w:ascii="Times New Roman" w:eastAsia="Calibri" w:hAnsi="Times New Roman" w:cs="Times New Roman"/>
          <w:sz w:val="28"/>
          <w:szCs w:val="28"/>
          <w:lang w:eastAsia="ru-RU"/>
        </w:rPr>
        <w:t xml:space="preserve">предусмотрено достижение 3 целевых показателей, из которых выполнены 2 целевых показателя. </w:t>
      </w:r>
      <w:r w:rsidRPr="006F4305">
        <w:rPr>
          <w:rFonts w:ascii="Times New Roman" w:eastAsia="Calibri" w:hAnsi="Times New Roman" w:cs="Times New Roman"/>
          <w:sz w:val="28"/>
          <w:szCs w:val="28"/>
          <w:lang w:eastAsia="ru-RU"/>
        </w:rPr>
        <w:br/>
      </w:r>
      <w:r w:rsidRPr="006F4305">
        <w:rPr>
          <w:rFonts w:ascii="Times New Roman" w:eastAsia="Calibri" w:hAnsi="Times New Roman" w:cs="Times New Roman"/>
          <w:spacing w:val="-4"/>
          <w:sz w:val="28"/>
          <w:szCs w:val="28"/>
          <w:lang w:eastAsia="ru-RU"/>
        </w:rPr>
        <w:t>Не обеспечено выполнение планового значения целевого показателя «</w:t>
      </w:r>
      <w:r w:rsidRPr="006F4305">
        <w:rPr>
          <w:rFonts w:ascii="Times New Roman" w:eastAsia="Times New Roman" w:hAnsi="Times New Roman" w:cs="Times New Roman"/>
          <w:spacing w:val="-4"/>
          <w:sz w:val="28"/>
          <w:szCs w:val="28"/>
          <w:lang w:eastAsia="ru-RU"/>
        </w:rPr>
        <w:t>Построены и реконструированы крупные объекты питьевого водоснабжения, предусмотренные региональной программой</w:t>
      </w:r>
      <w:r w:rsidRPr="006F4305">
        <w:rPr>
          <w:rFonts w:ascii="Times New Roman" w:eastAsia="Calibri" w:hAnsi="Times New Roman" w:cs="Times New Roman"/>
          <w:sz w:val="28"/>
          <w:szCs w:val="28"/>
          <w:lang w:eastAsia="ru-RU"/>
        </w:rPr>
        <w:t xml:space="preserve">», </w:t>
      </w:r>
      <w:r w:rsidRPr="006F4305">
        <w:rPr>
          <w:rFonts w:ascii="Times New Roman" w:eastAsia="Times New Roman" w:hAnsi="Times New Roman" w:cs="Times New Roman"/>
          <w:spacing w:val="-4"/>
          <w:sz w:val="28"/>
          <w:szCs w:val="28"/>
          <w:lang w:eastAsia="ru-RU"/>
        </w:rPr>
        <w:t xml:space="preserve">в связи с переносом ввода в эксплуатацию 4 объектов водоснабжения с 2021 год на 2022 год (план – 10 объектов, </w:t>
      </w:r>
      <w:r w:rsidRPr="006F4305">
        <w:rPr>
          <w:rFonts w:ascii="Times New Roman" w:eastAsia="Calibri" w:hAnsi="Times New Roman" w:cs="Times New Roman"/>
          <w:sz w:val="28"/>
          <w:szCs w:val="28"/>
          <w:lang w:eastAsia="ru-RU"/>
        </w:rPr>
        <w:t>факт 6 объектов (за период с 2020 года по 2021 год).</w:t>
      </w:r>
    </w:p>
    <w:p w14:paraId="4C548988"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
          <w:sz w:val="28"/>
          <w:szCs w:val="28"/>
          <w:lang w:eastAsia="ru-RU"/>
        </w:rPr>
      </w:pPr>
    </w:p>
    <w:p w14:paraId="622D1167" w14:textId="77777777" w:rsidR="006F4305" w:rsidRPr="00FB55DE" w:rsidRDefault="006F4305" w:rsidP="006F4305">
      <w:pPr>
        <w:widowControl w:val="0"/>
        <w:spacing w:after="0" w:line="240" w:lineRule="auto"/>
        <w:ind w:firstLine="709"/>
        <w:jc w:val="both"/>
        <w:rPr>
          <w:rFonts w:ascii="Times New Roman" w:eastAsia="Times New Roman" w:hAnsi="Times New Roman" w:cs="Times New Roman"/>
          <w:b/>
          <w:color w:val="002060"/>
          <w:sz w:val="28"/>
          <w:szCs w:val="24"/>
          <w:lang w:eastAsia="ru-RU"/>
        </w:rPr>
      </w:pPr>
      <w:r w:rsidRPr="00FB55DE">
        <w:rPr>
          <w:rFonts w:ascii="Times New Roman" w:eastAsia="Times New Roman" w:hAnsi="Times New Roman" w:cs="Times New Roman"/>
          <w:b/>
          <w:color w:val="002060"/>
          <w:sz w:val="28"/>
          <w:szCs w:val="28"/>
          <w:lang w:eastAsia="ru-RU"/>
        </w:rPr>
        <w:t>6.5.5. Н</w:t>
      </w:r>
      <w:r w:rsidRPr="00FB55DE">
        <w:rPr>
          <w:rFonts w:ascii="Times New Roman" w:eastAsia="Times New Roman" w:hAnsi="Times New Roman" w:cs="Times New Roman"/>
          <w:b/>
          <w:color w:val="002060"/>
          <w:sz w:val="28"/>
          <w:szCs w:val="24"/>
          <w:lang w:eastAsia="ru-RU"/>
        </w:rPr>
        <w:t>ациональный проект «Экология</w:t>
      </w:r>
      <w:r w:rsidRPr="00FB55DE">
        <w:rPr>
          <w:rFonts w:ascii="Times New Roman" w:eastAsia="Calibri" w:hAnsi="Times New Roman" w:cs="Times New Roman"/>
          <w:b/>
          <w:color w:val="002060"/>
          <w:sz w:val="28"/>
          <w:szCs w:val="28"/>
          <w:lang w:eastAsia="ru-RU"/>
        </w:rPr>
        <w:t>»</w:t>
      </w:r>
      <w:r w:rsidRPr="00FB55DE">
        <w:rPr>
          <w:rFonts w:ascii="Times New Roman" w:eastAsia="Times New Roman" w:hAnsi="Times New Roman" w:cs="Times New Roman"/>
          <w:b/>
          <w:color w:val="002060"/>
          <w:sz w:val="28"/>
          <w:szCs w:val="24"/>
          <w:lang w:eastAsia="ru-RU"/>
        </w:rPr>
        <w:t xml:space="preserve">. </w:t>
      </w:r>
    </w:p>
    <w:p w14:paraId="760184F1"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 xml:space="preserve">В 2021 году на реализацию национального проекта </w:t>
      </w:r>
      <w:r w:rsidRPr="006F4305">
        <w:rPr>
          <w:rFonts w:ascii="Times New Roman" w:eastAsia="Calibri" w:hAnsi="Times New Roman" w:cs="Times New Roman"/>
          <w:sz w:val="28"/>
          <w:szCs w:val="28"/>
          <w:lang w:eastAsia="ru-RU"/>
        </w:rPr>
        <w:t>«Экология»</w:t>
      </w:r>
      <w:r w:rsidRPr="006F4305">
        <w:rPr>
          <w:rFonts w:ascii="Times New Roman" w:eastAsia="Times New Roman" w:hAnsi="Times New Roman" w:cs="Times New Roman"/>
          <w:sz w:val="28"/>
          <w:szCs w:val="24"/>
          <w:lang w:eastAsia="ru-RU"/>
        </w:rPr>
        <w:t xml:space="preserve"> профинансированы средства в сумме 35,5 млн рублей, или 100 % от годовых на</w:t>
      </w:r>
      <w:r w:rsidRPr="006F4305">
        <w:rPr>
          <w:rFonts w:ascii="Times New Roman" w:eastAsia="Calibri" w:hAnsi="Times New Roman" w:cs="Times New Roman"/>
          <w:sz w:val="28"/>
          <w:szCs w:val="28"/>
          <w:lang w:eastAsia="ru-RU"/>
        </w:rPr>
        <w:t xml:space="preserve">значений (за счет федерального бюджета - 31,3 млн рублей, республиканского бюджета Республики Дагестан – 0,5 млн рублей, </w:t>
      </w:r>
      <w:r w:rsidRPr="006F4305">
        <w:rPr>
          <w:rFonts w:ascii="Times New Roman" w:eastAsia="Calibri" w:hAnsi="Times New Roman" w:cs="Times New Roman"/>
          <w:color w:val="FF0000"/>
          <w:sz w:val="28"/>
          <w:szCs w:val="28"/>
          <w:lang w:eastAsia="ru-RU"/>
        </w:rPr>
        <w:br/>
      </w:r>
      <w:r w:rsidRPr="006F4305">
        <w:rPr>
          <w:rFonts w:ascii="Times New Roman" w:eastAsia="Calibri" w:hAnsi="Times New Roman" w:cs="Times New Roman"/>
          <w:sz w:val="28"/>
          <w:szCs w:val="28"/>
          <w:lang w:eastAsia="ru-RU"/>
        </w:rPr>
        <w:t xml:space="preserve">ГБУ «Республиканские леса» – 3,7 млн рублей). </w:t>
      </w:r>
    </w:p>
    <w:p w14:paraId="3355FA4D"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На 1 января 2022 года освоено 35,5 млн рублей, или 100 % от годовых назначений.  </w:t>
      </w:r>
    </w:p>
    <w:p w14:paraId="0470336B" w14:textId="77777777" w:rsidR="006F4305" w:rsidRPr="006F4305" w:rsidRDefault="006F4305" w:rsidP="006F4305">
      <w:pPr>
        <w:widowControl w:val="0"/>
        <w:spacing w:after="0" w:line="252"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В 2021 году из 2 реализуемых в 2021 году региональных проектов национального проекта «Экология» финансирование было предусмотрено по региональному проекту «Сохранение лесов».</w:t>
      </w:r>
    </w:p>
    <w:p w14:paraId="5F71425F" w14:textId="77777777" w:rsidR="006F4305" w:rsidRPr="006F4305" w:rsidRDefault="006F4305" w:rsidP="006F4305">
      <w:pPr>
        <w:widowControl w:val="0"/>
        <w:spacing w:after="0" w:line="252" w:lineRule="auto"/>
        <w:ind w:firstLine="709"/>
        <w:jc w:val="both"/>
        <w:rPr>
          <w:rFonts w:ascii="Times New Roman" w:eastAsia="Calibri" w:hAnsi="Times New Roman" w:cs="Times New Roman"/>
          <w:sz w:val="28"/>
          <w:szCs w:val="28"/>
          <w:lang w:eastAsia="ru-RU"/>
        </w:rPr>
      </w:pPr>
      <w:r w:rsidRPr="00FB55DE">
        <w:rPr>
          <w:rFonts w:ascii="Times New Roman" w:eastAsia="Calibri" w:hAnsi="Times New Roman" w:cs="Times New Roman"/>
          <w:b/>
          <w:bCs/>
          <w:iCs/>
          <w:color w:val="002060"/>
          <w:sz w:val="28"/>
          <w:szCs w:val="28"/>
          <w:lang w:eastAsia="ru-RU"/>
        </w:rPr>
        <w:lastRenderedPageBreak/>
        <w:t>1) Региональный проект «Сохранение лесов» – 35,52 млн рублей,</w:t>
      </w:r>
      <w:r w:rsidRPr="00FB55DE">
        <w:rPr>
          <w:rFonts w:ascii="Times New Roman" w:eastAsia="Calibri" w:hAnsi="Times New Roman" w:cs="Times New Roman"/>
          <w:iCs/>
          <w:color w:val="002060"/>
          <w:sz w:val="28"/>
          <w:szCs w:val="28"/>
          <w:lang w:eastAsia="ru-RU"/>
        </w:rPr>
        <w:t xml:space="preserve"> </w:t>
      </w:r>
      <w:r w:rsidRPr="006F4305">
        <w:rPr>
          <w:rFonts w:ascii="Times New Roman" w:eastAsia="Calibri" w:hAnsi="Times New Roman" w:cs="Times New Roman"/>
          <w:sz w:val="28"/>
          <w:szCs w:val="28"/>
          <w:lang w:eastAsia="ru-RU"/>
        </w:rPr>
        <w:t xml:space="preserve">или </w:t>
      </w:r>
      <w:r w:rsidRPr="006F4305">
        <w:rPr>
          <w:rFonts w:ascii="Times New Roman" w:eastAsia="Calibri" w:hAnsi="Times New Roman" w:cs="Times New Roman"/>
          <w:sz w:val="28"/>
          <w:szCs w:val="28"/>
          <w:lang w:eastAsia="ru-RU"/>
        </w:rPr>
        <w:br/>
      </w:r>
      <w:r w:rsidRPr="006F4305">
        <w:rPr>
          <w:rFonts w:ascii="Times New Roman" w:eastAsia="Calibri" w:hAnsi="Times New Roman" w:cs="Times New Roman"/>
          <w:iCs/>
          <w:sz w:val="28"/>
          <w:szCs w:val="28"/>
          <w:lang w:eastAsia="ru-RU"/>
        </w:rPr>
        <w:t xml:space="preserve">100 % от запланированного объема. </w:t>
      </w:r>
    </w:p>
    <w:p w14:paraId="170C20B0" w14:textId="77777777" w:rsidR="006F4305" w:rsidRPr="006F4305" w:rsidRDefault="006F4305" w:rsidP="006F4305">
      <w:pPr>
        <w:widowControl w:val="0"/>
        <w:spacing w:after="0" w:line="252"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p>
    <w:p w14:paraId="474EC22D" w14:textId="77777777" w:rsidR="006F4305" w:rsidRPr="006F4305" w:rsidRDefault="006F4305" w:rsidP="006F4305">
      <w:pPr>
        <w:spacing w:line="252" w:lineRule="auto"/>
        <w:ind w:firstLine="709"/>
        <w:contextualSpacing/>
        <w:jc w:val="both"/>
        <w:rPr>
          <w:rFonts w:ascii="Times New Roman" w:eastAsia="Times New Roman" w:hAnsi="Times New Roman" w:cs="Times New Roman"/>
          <w:bCs/>
          <w:sz w:val="28"/>
          <w:szCs w:val="28"/>
        </w:rPr>
      </w:pPr>
      <w:r w:rsidRPr="006F4305">
        <w:rPr>
          <w:rFonts w:ascii="Times New Roman" w:eastAsia="Calibri" w:hAnsi="Times New Roman" w:cs="Times New Roman"/>
          <w:i/>
          <w:sz w:val="28"/>
          <w:szCs w:val="28"/>
          <w:lang w:eastAsia="ru-RU"/>
        </w:rPr>
        <w:t xml:space="preserve">- </w:t>
      </w:r>
      <w:r w:rsidRPr="006F4305">
        <w:rPr>
          <w:rFonts w:ascii="Times New Roman" w:eastAsia="Calibri" w:hAnsi="Times New Roman" w:cs="Times New Roman"/>
          <w:sz w:val="28"/>
          <w:szCs w:val="28"/>
          <w:lang w:eastAsia="ru-RU"/>
        </w:rPr>
        <w:t xml:space="preserve">лесовосстановительные работы - </w:t>
      </w:r>
      <w:r w:rsidRPr="006F4305">
        <w:rPr>
          <w:rFonts w:ascii="Times New Roman" w:eastAsia="Times New Roman" w:hAnsi="Times New Roman" w:cs="Times New Roman"/>
          <w:bCs/>
          <w:sz w:val="28"/>
          <w:szCs w:val="28"/>
        </w:rPr>
        <w:t xml:space="preserve">11,28 млн рублей (в том числе за счет внебюджетных источников 2,7 млн рублей); </w:t>
      </w:r>
    </w:p>
    <w:p w14:paraId="337C01B4" w14:textId="77777777" w:rsidR="006F4305" w:rsidRPr="006F4305" w:rsidRDefault="006F4305" w:rsidP="006F4305">
      <w:pPr>
        <w:spacing w:line="252" w:lineRule="auto"/>
        <w:ind w:firstLine="709"/>
        <w:contextualSpacing/>
        <w:jc w:val="both"/>
        <w:rPr>
          <w:rFonts w:ascii="Times New Roman" w:eastAsia="Times New Roman" w:hAnsi="Times New Roman" w:cs="Times New Roman"/>
          <w:bCs/>
          <w:sz w:val="28"/>
          <w:szCs w:val="28"/>
        </w:rPr>
      </w:pPr>
      <w:r w:rsidRPr="006F4305">
        <w:rPr>
          <w:rFonts w:ascii="Times New Roman" w:eastAsia="Times New Roman" w:hAnsi="Times New Roman" w:cs="Times New Roman"/>
          <w:bCs/>
          <w:sz w:val="28"/>
          <w:szCs w:val="28"/>
        </w:rPr>
        <w:t xml:space="preserve">- </w:t>
      </w:r>
      <w:r w:rsidRPr="006F4305">
        <w:rPr>
          <w:rFonts w:ascii="Times New Roman" w:eastAsia="Calibri" w:hAnsi="Times New Roman" w:cs="Times New Roman"/>
          <w:sz w:val="28"/>
          <w:szCs w:val="28"/>
          <w:lang w:eastAsia="ru-RU"/>
        </w:rPr>
        <w:t>работы по лесоразведению – 0,38 млн рублей, п</w:t>
      </w:r>
      <w:r w:rsidRPr="006F4305">
        <w:rPr>
          <w:rFonts w:ascii="Times New Roman" w:eastAsia="Times New Roman" w:hAnsi="Times New Roman" w:cs="Times New Roman"/>
          <w:bCs/>
          <w:sz w:val="28"/>
          <w:szCs w:val="28"/>
        </w:rPr>
        <w:t xml:space="preserve">роведено лесоразведение на 50 гектарах; </w:t>
      </w:r>
    </w:p>
    <w:p w14:paraId="375A2990" w14:textId="77777777" w:rsidR="006F4305" w:rsidRPr="006F4305" w:rsidRDefault="006F4305" w:rsidP="006F4305">
      <w:pPr>
        <w:spacing w:line="252"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Calibri" w:hAnsi="Times New Roman" w:cs="Times New Roman"/>
          <w:sz w:val="28"/>
          <w:szCs w:val="28"/>
          <w:lang w:eastAsia="ru-RU"/>
        </w:rPr>
        <w:t xml:space="preserve">- заготовку 5,5 тонн </w:t>
      </w:r>
      <w:r w:rsidRPr="006F4305">
        <w:rPr>
          <w:rFonts w:ascii="Times New Roman" w:eastAsia="Times New Roman" w:hAnsi="Times New Roman" w:cs="Times New Roman"/>
          <w:bCs/>
          <w:sz w:val="28"/>
          <w:szCs w:val="28"/>
          <w:lang w:eastAsia="ru-RU"/>
        </w:rPr>
        <w:t xml:space="preserve">семян </w:t>
      </w:r>
      <w:r w:rsidRPr="006F4305">
        <w:rPr>
          <w:rFonts w:ascii="Times New Roman" w:eastAsia="Calibri" w:hAnsi="Times New Roman" w:cs="Times New Roman"/>
          <w:sz w:val="28"/>
          <w:szCs w:val="28"/>
          <w:lang w:eastAsia="ru-RU"/>
        </w:rPr>
        <w:t xml:space="preserve">лесных растений - 1,05 млн рублей (в том числе </w:t>
      </w:r>
      <w:r w:rsidRPr="006F4305">
        <w:rPr>
          <w:rFonts w:ascii="Times New Roman" w:eastAsia="Calibri" w:hAnsi="Times New Roman" w:cs="Times New Roman"/>
          <w:bCs/>
          <w:sz w:val="28"/>
          <w:szCs w:val="28"/>
          <w:lang w:eastAsia="ru-RU"/>
        </w:rPr>
        <w:t xml:space="preserve">за счет внебюджетных источников - 1,0 млн рублей), </w:t>
      </w:r>
    </w:p>
    <w:p w14:paraId="18F9449E" w14:textId="77777777" w:rsidR="006F4305" w:rsidRPr="006F4305" w:rsidRDefault="006F4305" w:rsidP="006F4305">
      <w:pPr>
        <w:spacing w:after="0" w:line="252" w:lineRule="auto"/>
        <w:ind w:firstLine="709"/>
        <w:contextualSpacing/>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bCs/>
          <w:sz w:val="28"/>
          <w:szCs w:val="28"/>
          <w:lang w:eastAsia="ru-RU"/>
        </w:rPr>
        <w:t xml:space="preserve">- </w:t>
      </w:r>
      <w:r w:rsidRPr="006F4305">
        <w:rPr>
          <w:rFonts w:ascii="Times New Roman" w:eastAsia="Calibri" w:hAnsi="Times New Roman" w:cs="Times New Roman"/>
          <w:sz w:val="28"/>
          <w:szCs w:val="28"/>
          <w:lang w:eastAsia="ru-RU"/>
        </w:rPr>
        <w:t>оснащение учреждений лесопожарной техникой и оборудованием – 12,08 млн рублей. Осуществлена поставка техники и оборудования (автоцистерн (3 ед.), автомобилей ГАЗ 231073 (3 ед.), УАЗ Пикап (2 ед), прицепа, вездехода, квадрокоптеров (2 ед.), раций (14 шт.), ранцевых огнетушителей (120 шт.));</w:t>
      </w:r>
    </w:p>
    <w:p w14:paraId="2DCA29EE" w14:textId="77777777" w:rsidR="006F4305" w:rsidRPr="006F4305" w:rsidRDefault="006F4305" w:rsidP="006F4305">
      <w:pPr>
        <w:widowControl w:val="0"/>
        <w:spacing w:after="0" w:line="252"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оснащение учреждений, выполняющих мероприятия по воспроизводству лесов, специализированной техникой и оборудованием – </w:t>
      </w:r>
      <w:r w:rsidRPr="006F4305">
        <w:rPr>
          <w:rFonts w:ascii="Times New Roman" w:eastAsia="Calibri" w:hAnsi="Times New Roman" w:cs="Times New Roman"/>
          <w:sz w:val="28"/>
          <w:szCs w:val="28"/>
          <w:lang w:eastAsia="ru-RU"/>
        </w:rPr>
        <w:br/>
        <w:t xml:space="preserve">8,4 млн рублей. Осуществлена поставка техники (минитрактор Беларусь- 32Н (2 ед.), трактор Беларусь – 1021 (3 ед.), плуги (3 ед.)). </w:t>
      </w:r>
    </w:p>
    <w:p w14:paraId="3FB762B5" w14:textId="77777777" w:rsidR="006F4305" w:rsidRPr="006F4305" w:rsidRDefault="006F4305" w:rsidP="006F4305">
      <w:pPr>
        <w:widowControl w:val="0"/>
        <w:spacing w:after="0" w:line="252"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На 1 января 2022 года освоение бюджетных средств составило 35,5 млн рублей, или 100 % от годовых назначений.  </w:t>
      </w:r>
    </w:p>
    <w:p w14:paraId="79528C06" w14:textId="77777777" w:rsidR="006F4305" w:rsidRPr="006F4305" w:rsidRDefault="006F4305" w:rsidP="006F4305">
      <w:pPr>
        <w:widowControl w:val="0"/>
        <w:spacing w:after="0" w:line="252"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Целевой показатель реализации регионального проекта «Отношение площади лесовосстановления и лесоразведения к площади вырубленных и погибших лесных насаждений» выполнен в полном объеме (100 %).</w:t>
      </w:r>
    </w:p>
    <w:p w14:paraId="6ED2ACF3" w14:textId="77777777" w:rsidR="006F4305" w:rsidRPr="006F4305" w:rsidRDefault="006F4305" w:rsidP="006F4305">
      <w:pPr>
        <w:widowControl w:val="0"/>
        <w:spacing w:after="0" w:line="252"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В 2021 году</w:t>
      </w:r>
      <w:r w:rsidRPr="006F4305">
        <w:t xml:space="preserve"> </w:t>
      </w:r>
      <w:r w:rsidRPr="006F4305">
        <w:rPr>
          <w:rFonts w:ascii="Times New Roman" w:eastAsia="Calibri" w:hAnsi="Times New Roman" w:cs="Times New Roman"/>
          <w:bCs/>
          <w:sz w:val="28"/>
          <w:szCs w:val="28"/>
          <w:lang w:eastAsia="ru-RU"/>
        </w:rPr>
        <w:t xml:space="preserve">с целью достижения целевых показателей вне национального проекта «Экология» были профинансированы бюджетные средства в сумме 87,85 </w:t>
      </w:r>
      <w:r w:rsidRPr="006F4305">
        <w:rPr>
          <w:rFonts w:ascii="Times New Roman" w:eastAsia="Calibri" w:hAnsi="Times New Roman" w:cs="Times New Roman"/>
          <w:bCs/>
          <w:iCs/>
          <w:sz w:val="28"/>
          <w:szCs w:val="28"/>
          <w:lang w:eastAsia="ru-RU"/>
        </w:rPr>
        <w:t xml:space="preserve">млн рублей </w:t>
      </w:r>
      <w:r w:rsidRPr="006F4305">
        <w:rPr>
          <w:rFonts w:ascii="Times New Roman" w:eastAsia="Calibri" w:hAnsi="Times New Roman" w:cs="Times New Roman"/>
          <w:bCs/>
          <w:sz w:val="28"/>
          <w:szCs w:val="28"/>
          <w:lang w:eastAsia="ru-RU"/>
        </w:rPr>
        <w:t xml:space="preserve">(за счет республиканского бюджета Республики Дагестан) на реализацию мероприятий по следующим </w:t>
      </w:r>
      <w:r w:rsidRPr="006F4305">
        <w:rPr>
          <w:rFonts w:ascii="Times New Roman" w:eastAsia="Calibri" w:hAnsi="Times New Roman" w:cs="Times New Roman"/>
          <w:bCs/>
          <w:sz w:val="28"/>
          <w:szCs w:val="28"/>
          <w:lang w:eastAsia="ru-RU"/>
        </w:rPr>
        <w:br/>
        <w:t xml:space="preserve"> региональным проектам:</w:t>
      </w:r>
    </w:p>
    <w:p w14:paraId="2341E056" w14:textId="77777777" w:rsidR="006F4305" w:rsidRPr="00FB55DE" w:rsidRDefault="006F4305" w:rsidP="006F4305">
      <w:pPr>
        <w:widowControl w:val="0"/>
        <w:spacing w:after="0" w:line="252" w:lineRule="auto"/>
        <w:ind w:firstLine="709"/>
        <w:jc w:val="both"/>
        <w:rPr>
          <w:rFonts w:ascii="Times New Roman" w:eastAsia="Calibri" w:hAnsi="Times New Roman" w:cs="Times New Roman"/>
          <w:b/>
          <w:bCs/>
          <w:iCs/>
          <w:color w:val="002060"/>
          <w:sz w:val="28"/>
          <w:szCs w:val="28"/>
          <w:lang w:eastAsia="ru-RU"/>
        </w:rPr>
      </w:pPr>
      <w:r w:rsidRPr="00FB55DE">
        <w:rPr>
          <w:rFonts w:ascii="Times New Roman" w:eastAsia="Calibri" w:hAnsi="Times New Roman" w:cs="Times New Roman"/>
          <w:b/>
          <w:bCs/>
          <w:iCs/>
          <w:color w:val="002060"/>
          <w:sz w:val="28"/>
          <w:szCs w:val="28"/>
          <w:lang w:eastAsia="ru-RU"/>
        </w:rPr>
        <w:t>2) Региональный проект «Комплексная система обращения с твердыми коммунальными отходами» – 40,0 млн рублей</w:t>
      </w:r>
      <w:r w:rsidRPr="00FB55DE">
        <w:rPr>
          <w:rFonts w:ascii="Times New Roman" w:eastAsia="Calibri" w:hAnsi="Times New Roman" w:cs="Times New Roman"/>
          <w:bCs/>
          <w:iCs/>
          <w:color w:val="002060"/>
          <w:sz w:val="28"/>
          <w:szCs w:val="28"/>
          <w:lang w:eastAsia="ru-RU"/>
        </w:rPr>
        <w:t xml:space="preserve">. </w:t>
      </w:r>
    </w:p>
    <w:p w14:paraId="31481909" w14:textId="77777777" w:rsidR="006F4305" w:rsidRPr="006F4305" w:rsidRDefault="006F4305" w:rsidP="006F4305">
      <w:pPr>
        <w:spacing w:after="0" w:line="252"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Средства, направлены на разработку проектно-сметной документации на строительство 5 мусоросортировочных комплексов в Республике Дагестан,  </w:t>
      </w:r>
    </w:p>
    <w:p w14:paraId="35F54749" w14:textId="77777777" w:rsidR="006F4305" w:rsidRPr="006F4305" w:rsidRDefault="006F4305" w:rsidP="006F4305">
      <w:pPr>
        <w:spacing w:after="0" w:line="252" w:lineRule="auto"/>
        <w:ind w:firstLine="737"/>
        <w:jc w:val="both"/>
        <w:rPr>
          <w:rFonts w:ascii="Times New Roman" w:eastAsia="Times New Roman" w:hAnsi="Times New Roman" w:cs="Times New Roman"/>
          <w:sz w:val="28"/>
          <w:szCs w:val="28"/>
        </w:rPr>
      </w:pPr>
      <w:r w:rsidRPr="006F4305">
        <w:rPr>
          <w:rFonts w:ascii="Times New Roman" w:eastAsia="Calibri" w:hAnsi="Times New Roman" w:cs="Times New Roman"/>
          <w:sz w:val="28"/>
          <w:szCs w:val="28"/>
        </w:rPr>
        <w:t>По состоянию на 1 января 2022 года проектно-сметная документация направлена в ГАУ РД «Государственная экспертиза» для получения положительного заключения государственной экспертизы.</w:t>
      </w:r>
    </w:p>
    <w:p w14:paraId="1DBC8D45" w14:textId="77777777" w:rsidR="006F4305" w:rsidRPr="006F4305" w:rsidRDefault="006F4305" w:rsidP="006F4305">
      <w:pPr>
        <w:spacing w:after="0" w:line="252"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На 1 января 2022 года освоение выделенных средств составило </w:t>
      </w:r>
      <w:r w:rsidRPr="006F4305">
        <w:rPr>
          <w:rFonts w:ascii="Times New Roman" w:eastAsia="Calibri" w:hAnsi="Times New Roman" w:cs="Times New Roman"/>
          <w:bCs/>
          <w:sz w:val="28"/>
          <w:szCs w:val="28"/>
          <w:lang w:eastAsia="ru-RU"/>
        </w:rPr>
        <w:br/>
        <w:t>4,4 млн рублей, или 11 % от объема финансирования.</w:t>
      </w:r>
    </w:p>
    <w:p w14:paraId="65844A0F" w14:textId="77777777" w:rsidR="006F4305" w:rsidRPr="006F4305" w:rsidRDefault="006F4305" w:rsidP="006F4305">
      <w:pPr>
        <w:spacing w:after="0" w:line="252"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По итогам реализации регионального проекта в 2021 году плановые значения 2 целевых показателей выполнены в полном объеме.</w:t>
      </w:r>
    </w:p>
    <w:p w14:paraId="1F1A11EB" w14:textId="77777777" w:rsidR="006F4305" w:rsidRPr="00FB55DE" w:rsidRDefault="006F4305" w:rsidP="006F4305">
      <w:pPr>
        <w:widowControl w:val="0"/>
        <w:spacing w:after="0" w:line="240" w:lineRule="auto"/>
        <w:ind w:firstLine="709"/>
        <w:jc w:val="both"/>
        <w:rPr>
          <w:rFonts w:ascii="Times New Roman" w:eastAsia="Times New Roman" w:hAnsi="Times New Roman" w:cs="Times New Roman"/>
          <w:b/>
          <w:bCs/>
          <w:iCs/>
          <w:color w:val="002060"/>
          <w:sz w:val="28"/>
          <w:szCs w:val="28"/>
          <w:lang w:eastAsia="ru-RU"/>
        </w:rPr>
      </w:pPr>
      <w:r w:rsidRPr="00FB55DE">
        <w:rPr>
          <w:rFonts w:ascii="Times New Roman" w:eastAsia="Times New Roman" w:hAnsi="Times New Roman" w:cs="Times New Roman"/>
          <w:b/>
          <w:bCs/>
          <w:iCs/>
          <w:color w:val="002060"/>
          <w:sz w:val="28"/>
          <w:szCs w:val="28"/>
          <w:lang w:eastAsia="ru-RU"/>
        </w:rPr>
        <w:t>3) Региональный проект «Чистая страна» – 47,85 млн рублей.</w:t>
      </w:r>
      <w:r w:rsidRPr="00FB55DE">
        <w:rPr>
          <w:rFonts w:ascii="Times New Roman" w:eastAsia="Calibri" w:hAnsi="Times New Roman" w:cs="Times New Roman"/>
          <w:bCs/>
          <w:iCs/>
          <w:color w:val="002060"/>
          <w:sz w:val="28"/>
          <w:szCs w:val="28"/>
          <w:lang w:eastAsia="ru-RU"/>
        </w:rPr>
        <w:t xml:space="preserve"> </w:t>
      </w:r>
    </w:p>
    <w:p w14:paraId="462E3080"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Средства, направлены на разработку проектно-сметной документации на рекультивацию несанкционированных свалок в городах: Буйнакск, </w:t>
      </w:r>
      <w:r w:rsidRPr="006F4305">
        <w:rPr>
          <w:rFonts w:ascii="Times New Roman" w:eastAsia="Calibri" w:hAnsi="Times New Roman" w:cs="Times New Roman"/>
          <w:bCs/>
          <w:sz w:val="28"/>
          <w:szCs w:val="28"/>
          <w:lang w:eastAsia="ru-RU"/>
        </w:rPr>
        <w:lastRenderedPageBreak/>
        <w:t xml:space="preserve">Каспийск, Южно-Сухокумск, Хасавюрт. В целях подготовки проектно-сметной документации заключены контракты на общую сумму 33,84 млн рублей. Экономия по результатам торгов составила 14,0 млн рублей. </w:t>
      </w:r>
    </w:p>
    <w:p w14:paraId="750766F4"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По состоянию на 1 января 2022 года на проведение работ перечислен аванс в сумме 10,2 млн рублей.</w:t>
      </w:r>
    </w:p>
    <w:p w14:paraId="38059148" w14:textId="77777777" w:rsidR="006F4305" w:rsidRPr="006F4305" w:rsidRDefault="006F4305" w:rsidP="006F4305">
      <w:pPr>
        <w:widowControl w:val="0"/>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Достижение целевых показателей в 2021 году по региональному проекту не предусматривалось.</w:t>
      </w:r>
    </w:p>
    <w:p w14:paraId="48A34DB3"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
          <w:sz w:val="28"/>
          <w:szCs w:val="28"/>
          <w:lang w:eastAsia="ru-RU"/>
        </w:rPr>
      </w:pPr>
    </w:p>
    <w:p w14:paraId="3BE89E00"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
          <w:color w:val="002060"/>
          <w:sz w:val="28"/>
          <w:szCs w:val="24"/>
          <w:lang w:eastAsia="ru-RU"/>
        </w:rPr>
      </w:pPr>
      <w:r w:rsidRPr="006F4305">
        <w:rPr>
          <w:rFonts w:ascii="Times New Roman" w:eastAsia="Times New Roman" w:hAnsi="Times New Roman" w:cs="Times New Roman"/>
          <w:b/>
          <w:color w:val="002060"/>
          <w:sz w:val="28"/>
          <w:szCs w:val="28"/>
          <w:lang w:eastAsia="ru-RU"/>
        </w:rPr>
        <w:t>6.5.6. Н</w:t>
      </w:r>
      <w:r w:rsidRPr="006F4305">
        <w:rPr>
          <w:rFonts w:ascii="Times New Roman" w:eastAsia="Times New Roman" w:hAnsi="Times New Roman" w:cs="Times New Roman"/>
          <w:b/>
          <w:color w:val="002060"/>
          <w:sz w:val="28"/>
          <w:szCs w:val="24"/>
          <w:lang w:eastAsia="ru-RU"/>
        </w:rPr>
        <w:t xml:space="preserve">ациональный проект «Безопасные и качественные автомобильные дороги». </w:t>
      </w:r>
    </w:p>
    <w:p w14:paraId="660234E6"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 xml:space="preserve">В 2021 году на реализацию национального проекта «Безопасные и качественные автомобильные дороги» профинансированы расходы в сумме 2 682,0 млн рублей, </w:t>
      </w:r>
      <w:r w:rsidRPr="006F4305">
        <w:rPr>
          <w:rFonts w:ascii="Times New Roman" w:eastAsia="Calibri" w:hAnsi="Times New Roman" w:cs="Times New Roman"/>
          <w:sz w:val="28"/>
          <w:szCs w:val="28"/>
          <w:lang w:eastAsia="ru-RU"/>
        </w:rPr>
        <w:t>или 99,8 % от годовых назначений</w:t>
      </w:r>
      <w:r w:rsidRPr="006F4305">
        <w:rPr>
          <w:rFonts w:ascii="Times New Roman" w:eastAsia="Times New Roman" w:hAnsi="Times New Roman" w:cs="Times New Roman"/>
          <w:sz w:val="28"/>
          <w:szCs w:val="24"/>
          <w:lang w:eastAsia="ru-RU"/>
        </w:rPr>
        <w:t xml:space="preserve"> (</w:t>
      </w:r>
      <w:r w:rsidRPr="006F4305">
        <w:rPr>
          <w:rFonts w:ascii="Times New Roman" w:eastAsia="Arial" w:hAnsi="Times New Roman" w:cs="Times New Roman"/>
          <w:bCs/>
          <w:sz w:val="28"/>
          <w:szCs w:val="28"/>
          <w:lang w:eastAsia="ru-RU"/>
        </w:rPr>
        <w:t xml:space="preserve">2 687,0 млн рублей). </w:t>
      </w:r>
      <w:r w:rsidRPr="006F4305">
        <w:rPr>
          <w:rFonts w:ascii="Times New Roman" w:eastAsia="Arial" w:hAnsi="Times New Roman" w:cs="Times New Roman"/>
          <w:bCs/>
          <w:color w:val="FF0000"/>
          <w:sz w:val="28"/>
          <w:szCs w:val="28"/>
          <w:lang w:eastAsia="ru-RU"/>
        </w:rPr>
        <w:t xml:space="preserve"> </w:t>
      </w:r>
    </w:p>
    <w:p w14:paraId="7DB43FA8" w14:textId="750667F8" w:rsidR="006F4305" w:rsidRPr="006F4305" w:rsidRDefault="006F4305" w:rsidP="006F4305">
      <w:pPr>
        <w:spacing w:after="0" w:line="240" w:lineRule="auto"/>
        <w:ind w:firstLine="709"/>
        <w:jc w:val="both"/>
        <w:rPr>
          <w:rFonts w:ascii="Times New Roman" w:eastAsia="Arial" w:hAnsi="Times New Roman" w:cs="Times New Roman"/>
          <w:bCs/>
          <w:sz w:val="28"/>
          <w:szCs w:val="28"/>
          <w:lang w:eastAsia="ru-RU"/>
        </w:rPr>
      </w:pPr>
      <w:r w:rsidRPr="006F4305">
        <w:rPr>
          <w:rFonts w:ascii="Times New Roman" w:eastAsia="Calibri" w:hAnsi="Times New Roman" w:cs="Times New Roman"/>
          <w:sz w:val="28"/>
          <w:szCs w:val="28"/>
          <w:lang w:eastAsia="ru-RU"/>
        </w:rPr>
        <w:t xml:space="preserve">На 1 января 2022 года освоение выделенных средств составило </w:t>
      </w:r>
      <w:r w:rsidRPr="006F4305">
        <w:rPr>
          <w:rFonts w:ascii="Times New Roman" w:eastAsia="Calibri" w:hAnsi="Times New Roman" w:cs="Times New Roman"/>
          <w:sz w:val="28"/>
          <w:szCs w:val="28"/>
          <w:lang w:eastAsia="ru-RU"/>
        </w:rPr>
        <w:br/>
        <w:t xml:space="preserve">2 539,4 млн рублей, или 94,7 % от объема финансирования (2 682,0 млн рублей). </w:t>
      </w:r>
      <w:r w:rsidRPr="006F4305">
        <w:rPr>
          <w:rFonts w:ascii="Times New Roman" w:eastAsia="Arial" w:hAnsi="Times New Roman" w:cs="Times New Roman"/>
          <w:bCs/>
          <w:sz w:val="28"/>
          <w:szCs w:val="28"/>
          <w:lang w:eastAsia="ru-RU"/>
        </w:rPr>
        <w:t>Неиспользованный (неосвоенный) остаток составил 14</w:t>
      </w:r>
      <w:r w:rsidR="00E240D8">
        <w:rPr>
          <w:rFonts w:ascii="Times New Roman" w:eastAsia="Arial" w:hAnsi="Times New Roman" w:cs="Times New Roman"/>
          <w:bCs/>
          <w:sz w:val="28"/>
          <w:szCs w:val="28"/>
          <w:lang w:eastAsia="ru-RU"/>
        </w:rPr>
        <w:t>7,5</w:t>
      </w:r>
      <w:r w:rsidRPr="006F4305">
        <w:rPr>
          <w:rFonts w:ascii="Times New Roman" w:eastAsia="Arial" w:hAnsi="Times New Roman" w:cs="Times New Roman"/>
          <w:bCs/>
          <w:sz w:val="28"/>
          <w:szCs w:val="28"/>
          <w:lang w:eastAsia="ru-RU"/>
        </w:rPr>
        <w:t xml:space="preserve"> млн рублей, или 5,</w:t>
      </w:r>
      <w:r w:rsidR="00E240D8">
        <w:rPr>
          <w:rFonts w:ascii="Times New Roman" w:eastAsia="Arial" w:hAnsi="Times New Roman" w:cs="Times New Roman"/>
          <w:bCs/>
          <w:sz w:val="28"/>
          <w:szCs w:val="28"/>
          <w:lang w:eastAsia="ru-RU"/>
        </w:rPr>
        <w:t>5</w:t>
      </w:r>
      <w:r w:rsidRPr="006F4305">
        <w:rPr>
          <w:rFonts w:ascii="Times New Roman" w:eastAsia="Arial" w:hAnsi="Times New Roman" w:cs="Times New Roman"/>
          <w:bCs/>
          <w:sz w:val="28"/>
          <w:szCs w:val="28"/>
          <w:lang w:eastAsia="ru-RU"/>
        </w:rPr>
        <w:t xml:space="preserve"> % от объема годовых назначений (2 687,0 млн рублей).  </w:t>
      </w:r>
    </w:p>
    <w:p w14:paraId="06FB03A6"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В 2021 году финансирование было предусмотрено по 2 региональным проектам из 3 реализуемых в рамках национального проекта «Безопасные и качественные автомобильные дороги». Финансирование регионального проекта «Безопасность дорожного движения» не предусмотрено.</w:t>
      </w:r>
    </w:p>
    <w:p w14:paraId="66C7B545"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В рамках национального проекта бюджетные средства направлены на реализацию мероприятий 2 региональных проектов, в том числе:</w:t>
      </w:r>
    </w:p>
    <w:p w14:paraId="1681FA3A"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B975E1">
        <w:rPr>
          <w:rFonts w:ascii="Times New Roman" w:eastAsia="Calibri" w:hAnsi="Times New Roman" w:cs="Times New Roman"/>
          <w:b/>
          <w:bCs/>
          <w:iCs/>
          <w:color w:val="002060"/>
          <w:sz w:val="28"/>
          <w:szCs w:val="28"/>
          <w:lang w:eastAsia="ru-RU"/>
        </w:rPr>
        <w:t>1) Региональный проект «Дорожная сеть» – 2 469,2 млн рублей</w:t>
      </w:r>
      <w:r w:rsidRPr="00B975E1">
        <w:rPr>
          <w:rFonts w:ascii="Times New Roman" w:eastAsia="Calibri" w:hAnsi="Times New Roman" w:cs="Times New Roman"/>
          <w:iCs/>
          <w:color w:val="002060"/>
          <w:sz w:val="28"/>
          <w:szCs w:val="28"/>
          <w:lang w:eastAsia="ru-RU"/>
        </w:rPr>
        <w:t>,</w:t>
      </w:r>
      <w:r w:rsidRPr="00B975E1">
        <w:rPr>
          <w:rFonts w:ascii="Times New Roman" w:eastAsia="Calibri" w:hAnsi="Times New Roman" w:cs="Times New Roman"/>
          <w:color w:val="002060"/>
          <w:sz w:val="28"/>
          <w:szCs w:val="28"/>
          <w:lang w:eastAsia="ru-RU"/>
        </w:rPr>
        <w:t xml:space="preserve"> </w:t>
      </w:r>
      <w:r w:rsidRPr="006F4305">
        <w:rPr>
          <w:rFonts w:ascii="Times New Roman" w:eastAsia="Calibri" w:hAnsi="Times New Roman" w:cs="Times New Roman"/>
          <w:sz w:val="28"/>
          <w:szCs w:val="28"/>
          <w:lang w:eastAsia="ru-RU"/>
        </w:rPr>
        <w:t>или 1</w:t>
      </w:r>
      <w:r w:rsidRPr="006F4305">
        <w:rPr>
          <w:rFonts w:ascii="Times New Roman" w:eastAsia="Calibri" w:hAnsi="Times New Roman" w:cs="Times New Roman"/>
          <w:iCs/>
          <w:sz w:val="28"/>
          <w:szCs w:val="28"/>
          <w:lang w:eastAsia="ru-RU"/>
        </w:rPr>
        <w:t>00 % от годовых</w:t>
      </w:r>
      <w:r w:rsidRPr="006F4305">
        <w:rPr>
          <w:rFonts w:ascii="Times New Roman" w:eastAsia="Calibri" w:hAnsi="Times New Roman" w:cs="Times New Roman"/>
          <w:sz w:val="28"/>
          <w:szCs w:val="28"/>
          <w:lang w:eastAsia="ru-RU"/>
        </w:rPr>
        <w:t xml:space="preserve"> назначений</w:t>
      </w:r>
      <w:r w:rsidRPr="006F4305">
        <w:rPr>
          <w:rFonts w:ascii="Times New Roman" w:eastAsia="Times New Roman" w:hAnsi="Times New Roman" w:cs="Times New Roman"/>
          <w:sz w:val="28"/>
          <w:szCs w:val="24"/>
          <w:lang w:eastAsia="ru-RU"/>
        </w:rPr>
        <w:t>.</w:t>
      </w:r>
    </w:p>
    <w:p w14:paraId="1369349A" w14:textId="77777777" w:rsidR="006F4305" w:rsidRPr="006F4305" w:rsidRDefault="006F4305" w:rsidP="006F4305">
      <w:pPr>
        <w:spacing w:after="4" w:line="240" w:lineRule="auto"/>
        <w:ind w:firstLine="709"/>
        <w:jc w:val="both"/>
        <w:rPr>
          <w:rFonts w:ascii="Times New Roman" w:eastAsia="Arial Unicode MS" w:hAnsi="Times New Roman" w:cs="Times New Roman"/>
          <w:bCs/>
          <w:sz w:val="28"/>
          <w:lang w:eastAsia="ru-RU"/>
        </w:rPr>
      </w:pPr>
      <w:r w:rsidRPr="006F4305">
        <w:rPr>
          <w:rFonts w:ascii="Times New Roman" w:eastAsia="Arial" w:hAnsi="Times New Roman" w:cs="Times New Roman"/>
          <w:bCs/>
          <w:sz w:val="28"/>
          <w:szCs w:val="28"/>
          <w:lang w:eastAsia="ru-RU"/>
        </w:rPr>
        <w:t>Следует отметить, что р</w:t>
      </w:r>
      <w:r w:rsidRPr="006F4305">
        <w:rPr>
          <w:rFonts w:ascii="Times New Roman" w:eastAsia="Arial Unicode MS" w:hAnsi="Times New Roman" w:cs="Times New Roman"/>
          <w:bCs/>
          <w:sz w:val="28"/>
          <w:lang w:eastAsia="ru-RU"/>
        </w:rPr>
        <w:t xml:space="preserve">аспоряжением Правительства Российской Федерации от 30.06.2021г. №1769-р Республике Дагестан были предусмотрены средства резервного фонда Правительства Российской Федерации в размере 400,0 млн рублей на финансовое обеспечение дорожной деятельности. </w:t>
      </w:r>
    </w:p>
    <w:p w14:paraId="4613ADE5" w14:textId="77777777" w:rsidR="006F4305" w:rsidRPr="006F4305" w:rsidRDefault="006F4305" w:rsidP="006F4305">
      <w:pPr>
        <w:spacing w:after="4" w:line="240" w:lineRule="auto"/>
        <w:ind w:firstLine="709"/>
        <w:jc w:val="both"/>
        <w:rPr>
          <w:rFonts w:ascii="Times New Roman" w:eastAsia="Arial Unicode MS" w:hAnsi="Times New Roman" w:cs="Times New Roman"/>
          <w:bCs/>
          <w:sz w:val="28"/>
          <w:lang w:eastAsia="ru-RU"/>
        </w:rPr>
      </w:pPr>
      <w:r w:rsidRPr="006F4305">
        <w:rPr>
          <w:rFonts w:ascii="Times New Roman" w:eastAsia="Arial Unicode MS" w:hAnsi="Times New Roman" w:cs="Times New Roman"/>
          <w:bCs/>
          <w:sz w:val="28"/>
          <w:lang w:eastAsia="ru-RU"/>
        </w:rPr>
        <w:t xml:space="preserve">Средства направлены в бюджет администрации г. Махачкалы на капитальный ремонт 26,7 км объектов улично-дорожной сети г. Махачкалы. </w:t>
      </w:r>
    </w:p>
    <w:p w14:paraId="59564B8D" w14:textId="77777777" w:rsidR="006F4305" w:rsidRPr="006F4305" w:rsidRDefault="006F4305" w:rsidP="006F4305">
      <w:pPr>
        <w:autoSpaceDE w:val="0"/>
        <w:autoSpaceDN w:val="0"/>
        <w:adjustRightInd w:val="0"/>
        <w:spacing w:after="0" w:line="240" w:lineRule="auto"/>
        <w:ind w:firstLine="709"/>
        <w:jc w:val="both"/>
        <w:rPr>
          <w:rFonts w:ascii="Times New Roman" w:eastAsia="Arial Unicode MS" w:hAnsi="Times New Roman" w:cs="Times New Roman"/>
          <w:bCs/>
          <w:sz w:val="28"/>
          <w:lang w:eastAsia="ru-RU"/>
        </w:rPr>
      </w:pPr>
      <w:r w:rsidRPr="006F4305">
        <w:rPr>
          <w:rFonts w:ascii="Times New Roman" w:eastAsia="Arial Unicode MS" w:hAnsi="Times New Roman" w:cs="Times New Roman"/>
          <w:bCs/>
          <w:sz w:val="28"/>
          <w:lang w:eastAsia="ru-RU"/>
        </w:rPr>
        <w:t>В ходе реализации регионального проекта были запланированы ремонт (содержание), капремонт, реконструкция, а также организация дорожного движения на 142 объектах, из них: 132 объекта улично-дорожной сети (УДС)</w:t>
      </w:r>
      <w:r w:rsidRPr="006F4305">
        <w:rPr>
          <w:rFonts w:ascii="Times New Roman" w:eastAsia="Arial Unicode MS" w:hAnsi="Times New Roman" w:cs="Times New Roman"/>
          <w:bCs/>
          <w:sz w:val="28"/>
          <w:lang w:eastAsia="ru-RU"/>
        </w:rPr>
        <w:br/>
        <w:t>г. Махачкалы (из них 93 объекта – ремонт, капремонт и организация дорожного движения, 3 автодороги регионального значения, входящих в состав Махачкалинской городской агломерации, 7 дорог регионального значения вне агломерации).</w:t>
      </w:r>
    </w:p>
    <w:p w14:paraId="5E9D38C9" w14:textId="77777777" w:rsidR="006F4305" w:rsidRPr="006F4305" w:rsidRDefault="006F4305" w:rsidP="006F4305">
      <w:pPr>
        <w:spacing w:after="4" w:line="240" w:lineRule="auto"/>
        <w:ind w:firstLine="709"/>
        <w:jc w:val="both"/>
        <w:rPr>
          <w:rFonts w:ascii="Times New Roman" w:eastAsia="Arial" w:hAnsi="Times New Roman" w:cs="Times New Roman"/>
          <w:bCs/>
          <w:sz w:val="28"/>
          <w:szCs w:val="28"/>
          <w:lang w:eastAsia="ru-RU"/>
        </w:rPr>
      </w:pPr>
      <w:r w:rsidRPr="006F4305">
        <w:rPr>
          <w:rFonts w:ascii="Times New Roman" w:eastAsia="Arial" w:hAnsi="Times New Roman" w:cs="Times New Roman"/>
          <w:bCs/>
          <w:sz w:val="28"/>
          <w:szCs w:val="28"/>
          <w:lang w:eastAsia="ru-RU"/>
        </w:rPr>
        <w:t xml:space="preserve">В соответствии с Соглашением № 108-17-2019-006 от 5 апреля 2019 года, заключенным между Федеральным дорожным агентством (Росавтодор) и Правительством Республики Дагестан, отчет о завершении работ по мероприятиям национального проекта «Безопасные и качественные автомобильные дороги», должен был быть представлен 2 декабря 2021 года. </w:t>
      </w:r>
    </w:p>
    <w:p w14:paraId="50986BAF" w14:textId="77777777" w:rsidR="006F4305" w:rsidRPr="006F4305" w:rsidRDefault="006F4305" w:rsidP="006F4305">
      <w:pPr>
        <w:spacing w:after="4" w:line="240" w:lineRule="auto"/>
        <w:ind w:firstLine="709"/>
        <w:jc w:val="both"/>
        <w:rPr>
          <w:rFonts w:ascii="Times New Roman" w:eastAsia="Arial" w:hAnsi="Times New Roman" w:cs="Times New Roman"/>
          <w:bCs/>
          <w:iCs/>
          <w:sz w:val="28"/>
          <w:szCs w:val="28"/>
          <w:lang w:eastAsia="ru-RU"/>
        </w:rPr>
      </w:pPr>
      <w:r w:rsidRPr="006F4305">
        <w:rPr>
          <w:rFonts w:ascii="Times New Roman" w:eastAsia="Arial" w:hAnsi="Times New Roman" w:cs="Times New Roman"/>
          <w:bCs/>
          <w:sz w:val="28"/>
          <w:szCs w:val="28"/>
          <w:lang w:eastAsia="ru-RU"/>
        </w:rPr>
        <w:lastRenderedPageBreak/>
        <w:t xml:space="preserve">Однако, </w:t>
      </w:r>
      <w:r w:rsidRPr="006F4305">
        <w:rPr>
          <w:rFonts w:ascii="Times New Roman" w:eastAsia="Arial" w:hAnsi="Times New Roman" w:cs="Times New Roman"/>
          <w:bCs/>
          <w:iCs/>
          <w:sz w:val="28"/>
          <w:szCs w:val="28"/>
          <w:lang w:eastAsia="ru-RU"/>
        </w:rPr>
        <w:t xml:space="preserve">мероприятия по ремонту улично-дорожного хозяйства Махачкалинской агломерации в установленные сроки не завершены.  </w:t>
      </w:r>
    </w:p>
    <w:p w14:paraId="0267EB4D" w14:textId="77777777" w:rsidR="006F4305" w:rsidRPr="006F4305" w:rsidRDefault="006F4305" w:rsidP="006F4305">
      <w:pPr>
        <w:spacing w:after="4" w:line="240" w:lineRule="auto"/>
        <w:ind w:firstLine="709"/>
        <w:jc w:val="both"/>
        <w:rPr>
          <w:rFonts w:ascii="Times New Roman" w:eastAsia="Times New Roman" w:hAnsi="Times New Roman" w:cs="Times New Roman"/>
          <w:color w:val="000000" w:themeColor="text1"/>
          <w:sz w:val="28"/>
          <w:szCs w:val="28"/>
          <w:lang w:eastAsia="ru-RU"/>
        </w:rPr>
      </w:pPr>
      <w:r w:rsidRPr="006F4305">
        <w:rPr>
          <w:rFonts w:ascii="Times New Roman" w:eastAsia="Times New Roman" w:hAnsi="Times New Roman" w:cs="Times New Roman"/>
          <w:sz w:val="28"/>
          <w:szCs w:val="28"/>
          <w:lang w:eastAsia="ru-RU"/>
        </w:rPr>
        <w:t>По 10 объектам регионального и межмуниципального значения заключены 10 контрактов на общую сумму 1 189,2 млн рублей. З</w:t>
      </w:r>
      <w:r w:rsidRPr="006F4305">
        <w:rPr>
          <w:rFonts w:ascii="Times New Roman" w:eastAsia="Arial Unicode MS" w:hAnsi="Times New Roman" w:cs="Times New Roman"/>
          <w:bCs/>
          <w:sz w:val="28"/>
          <w:lang w:eastAsia="ru-RU"/>
        </w:rPr>
        <w:t>авершены работы на дорожной сети, протяженностью 51 километр.</w:t>
      </w:r>
      <w:r w:rsidRPr="006F4305">
        <w:rPr>
          <w:rFonts w:ascii="Times New Roman" w:eastAsia="Times New Roman" w:hAnsi="Times New Roman" w:cs="Times New Roman"/>
          <w:color w:val="000000" w:themeColor="text1"/>
          <w:sz w:val="28"/>
          <w:szCs w:val="28"/>
          <w:lang w:eastAsia="ru-RU"/>
        </w:rPr>
        <w:t xml:space="preserve"> </w:t>
      </w:r>
    </w:p>
    <w:p w14:paraId="67BA8A77"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pacing w:val="-4"/>
          <w:sz w:val="28"/>
          <w:szCs w:val="28"/>
          <w:lang w:eastAsia="ru-RU"/>
        </w:rPr>
      </w:pPr>
      <w:r w:rsidRPr="006F4305">
        <w:rPr>
          <w:rFonts w:ascii="Times New Roman" w:eastAsia="Times New Roman" w:hAnsi="Times New Roman" w:cs="Times New Roman"/>
          <w:sz w:val="28"/>
          <w:szCs w:val="28"/>
          <w:lang w:eastAsia="ru-RU"/>
        </w:rPr>
        <w:t xml:space="preserve">По состоянию на 1 января 2022 года по региональному проекту фактически освоено 2 327,7 млн рублей, или 94,3 % от объема финансирования. По итогам года остаток неиспользованных средств составил 141,5 млн рублей, или 5,7 % от объема годовых назначений (2 469,2 млн рублей), в том числе: </w:t>
      </w:r>
    </w:p>
    <w:p w14:paraId="7A5ED87D" w14:textId="77777777" w:rsidR="006F4305" w:rsidRPr="006F4305" w:rsidRDefault="006F4305" w:rsidP="006F4305">
      <w:pPr>
        <w:spacing w:after="0" w:line="240" w:lineRule="auto"/>
        <w:ind w:firstLine="709"/>
        <w:jc w:val="both"/>
        <w:rPr>
          <w:rFonts w:ascii="Times New Roman" w:eastAsia="Times New Roman" w:hAnsi="Times New Roman" w:cs="Times New Roman"/>
          <w:spacing w:val="-6"/>
          <w:sz w:val="28"/>
          <w:szCs w:val="28"/>
          <w:lang w:eastAsia="ru-RU"/>
        </w:rPr>
      </w:pPr>
      <w:r w:rsidRPr="006F4305">
        <w:rPr>
          <w:rFonts w:ascii="Times New Roman" w:eastAsia="Times New Roman" w:hAnsi="Times New Roman" w:cs="Times New Roman"/>
          <w:i/>
          <w:spacing w:val="-6"/>
          <w:sz w:val="28"/>
          <w:szCs w:val="28"/>
          <w:lang w:eastAsia="ru-RU"/>
        </w:rPr>
        <w:t xml:space="preserve">- </w:t>
      </w:r>
      <w:r w:rsidRPr="006F4305">
        <w:rPr>
          <w:rFonts w:ascii="Times New Roman" w:eastAsia="Times New Roman" w:hAnsi="Times New Roman" w:cs="Times New Roman"/>
          <w:iCs/>
          <w:spacing w:val="-6"/>
          <w:sz w:val="28"/>
          <w:szCs w:val="28"/>
          <w:lang w:eastAsia="ru-RU"/>
        </w:rPr>
        <w:t>28,9 млн рублей</w:t>
      </w:r>
      <w:r w:rsidRPr="006F4305">
        <w:rPr>
          <w:rFonts w:ascii="Times New Roman" w:eastAsia="Times New Roman" w:hAnsi="Times New Roman" w:cs="Times New Roman"/>
          <w:spacing w:val="-6"/>
          <w:sz w:val="28"/>
          <w:szCs w:val="28"/>
          <w:lang w:eastAsia="ru-RU"/>
        </w:rPr>
        <w:t xml:space="preserve"> (в том числе средства федерального бюджета – </w:t>
      </w:r>
      <w:r w:rsidRPr="006F4305">
        <w:rPr>
          <w:rFonts w:ascii="Times New Roman" w:eastAsia="Times New Roman" w:hAnsi="Times New Roman" w:cs="Times New Roman"/>
          <w:spacing w:val="-6"/>
          <w:sz w:val="28"/>
          <w:szCs w:val="28"/>
          <w:lang w:eastAsia="ru-RU"/>
        </w:rPr>
        <w:br/>
        <w:t xml:space="preserve">22,3 млн рублей), предусмотренных на реконструкцию ул. Коркмасова </w:t>
      </w:r>
      <w:r w:rsidRPr="006F4305">
        <w:rPr>
          <w:rFonts w:ascii="Times New Roman" w:eastAsia="Times New Roman" w:hAnsi="Times New Roman" w:cs="Times New Roman"/>
          <w:spacing w:val="-6"/>
          <w:sz w:val="28"/>
          <w:szCs w:val="28"/>
          <w:lang w:eastAsia="ru-RU"/>
        </w:rPr>
        <w:br/>
        <w:t>г. Махачкалы. В виду поздних сроков заключения контракта на выполнение строительно-монтажных работ и получения экспертизы проектной документации. работы по реконструкции не завершены в установленные сроки. Завершение работ перенесено на 2022 год;</w:t>
      </w:r>
    </w:p>
    <w:p w14:paraId="23A41B6A" w14:textId="77777777" w:rsidR="006F4305" w:rsidRPr="006F4305" w:rsidRDefault="006F4305" w:rsidP="006F4305">
      <w:pPr>
        <w:spacing w:after="0" w:line="240" w:lineRule="auto"/>
        <w:ind w:firstLine="709"/>
        <w:jc w:val="both"/>
        <w:rPr>
          <w:rFonts w:ascii="Times New Roman" w:eastAsia="Times New Roman" w:hAnsi="Times New Roman" w:cs="Times New Roman"/>
          <w:spacing w:val="-6"/>
          <w:sz w:val="28"/>
          <w:szCs w:val="28"/>
          <w:lang w:eastAsia="ru-RU"/>
        </w:rPr>
      </w:pPr>
      <w:r w:rsidRPr="006F4305">
        <w:rPr>
          <w:rFonts w:ascii="Times New Roman" w:eastAsia="Times New Roman" w:hAnsi="Times New Roman" w:cs="Times New Roman"/>
          <w:i/>
          <w:spacing w:val="-6"/>
          <w:sz w:val="28"/>
          <w:szCs w:val="28"/>
          <w:lang w:eastAsia="ru-RU"/>
        </w:rPr>
        <w:t xml:space="preserve">- </w:t>
      </w:r>
      <w:r w:rsidRPr="006F4305">
        <w:rPr>
          <w:rFonts w:ascii="Times New Roman" w:eastAsia="Times New Roman" w:hAnsi="Times New Roman" w:cs="Times New Roman"/>
          <w:iCs/>
          <w:spacing w:val="-6"/>
          <w:sz w:val="28"/>
          <w:szCs w:val="28"/>
          <w:lang w:eastAsia="ru-RU"/>
        </w:rPr>
        <w:t>108,1 млн рублей</w:t>
      </w:r>
      <w:r w:rsidRPr="006F4305">
        <w:rPr>
          <w:rFonts w:ascii="Times New Roman" w:eastAsia="Times New Roman" w:hAnsi="Times New Roman" w:cs="Times New Roman"/>
          <w:i/>
          <w:spacing w:val="-6"/>
          <w:sz w:val="28"/>
          <w:szCs w:val="28"/>
          <w:lang w:eastAsia="ru-RU"/>
        </w:rPr>
        <w:t xml:space="preserve"> </w:t>
      </w:r>
      <w:r w:rsidRPr="006F4305">
        <w:rPr>
          <w:rFonts w:ascii="Times New Roman" w:eastAsia="Times New Roman" w:hAnsi="Times New Roman" w:cs="Times New Roman"/>
          <w:spacing w:val="-6"/>
          <w:sz w:val="28"/>
          <w:szCs w:val="28"/>
          <w:lang w:eastAsia="ru-RU"/>
        </w:rPr>
        <w:t xml:space="preserve">(средства республиканского бюджета Республики Дагестан), предусмотренные на реконструкцию а/д Гели-Талги, км 0 - км 4). </w:t>
      </w:r>
      <w:r w:rsidRPr="006F4305">
        <w:rPr>
          <w:rFonts w:ascii="Times New Roman" w:eastAsia="Times New Roman" w:hAnsi="Times New Roman" w:cs="Times New Roman"/>
          <w:spacing w:val="-6"/>
          <w:sz w:val="28"/>
          <w:szCs w:val="28"/>
          <w:lang w:eastAsia="ru-RU"/>
        </w:rPr>
        <w:br/>
        <w:t xml:space="preserve">В ходе проведения работ заказчиком (ГКУ «Дагестанавтодор») в связи с нарушением подрядчиком (ООО «Севкавдорстрой») сроков выполнения работ, контракт от 13 июля 2021 года расторгнут в одностороннем порядке 1 октября 2021 года. Подрядная организация внесена в реестр недобросовестных поставщиков. Новый контракт заключен 21 октября 2021 года с ООО «Нарт». Объект является переходящим на 2022 год; </w:t>
      </w:r>
    </w:p>
    <w:p w14:paraId="69BC697A" w14:textId="459D2F24" w:rsidR="006F4305" w:rsidRPr="006F4305" w:rsidRDefault="006F4305" w:rsidP="006F4305">
      <w:pPr>
        <w:spacing w:after="0" w:line="240" w:lineRule="auto"/>
        <w:ind w:firstLine="709"/>
        <w:jc w:val="both"/>
        <w:rPr>
          <w:rFonts w:ascii="Times New Roman" w:eastAsia="Times New Roman" w:hAnsi="Times New Roman" w:cs="Times New Roman"/>
          <w:spacing w:val="-6"/>
          <w:sz w:val="28"/>
          <w:szCs w:val="28"/>
          <w:lang w:eastAsia="ru-RU"/>
        </w:rPr>
      </w:pPr>
      <w:r w:rsidRPr="006F4305">
        <w:rPr>
          <w:rFonts w:ascii="Times New Roman" w:eastAsia="Times New Roman" w:hAnsi="Times New Roman" w:cs="Times New Roman"/>
          <w:i/>
          <w:spacing w:val="-6"/>
          <w:sz w:val="28"/>
          <w:szCs w:val="28"/>
          <w:lang w:eastAsia="ru-RU"/>
        </w:rPr>
        <w:t xml:space="preserve">- </w:t>
      </w:r>
      <w:r w:rsidRPr="006F4305">
        <w:rPr>
          <w:rFonts w:ascii="Times New Roman" w:eastAsia="Times New Roman" w:hAnsi="Times New Roman" w:cs="Times New Roman"/>
          <w:iCs/>
          <w:spacing w:val="-6"/>
          <w:sz w:val="28"/>
          <w:szCs w:val="28"/>
          <w:lang w:eastAsia="ru-RU"/>
        </w:rPr>
        <w:t>1,92 млн рублей</w:t>
      </w:r>
      <w:r w:rsidRPr="006F4305">
        <w:rPr>
          <w:rFonts w:ascii="Times New Roman" w:eastAsia="Times New Roman" w:hAnsi="Times New Roman" w:cs="Times New Roman"/>
          <w:spacing w:val="-6"/>
          <w:sz w:val="28"/>
          <w:szCs w:val="28"/>
          <w:lang w:eastAsia="ru-RU"/>
        </w:rPr>
        <w:t xml:space="preserve"> (средства регионального бюджета Республики Дагестан), образованные по результатам экономии в ходе проведения работ (ремонт автомобильной дороги Махачкала – Буйнакск – Леваши – В. Гуниб на участке км 57 – км 72, ремонт автомобильной дороги Дербент – Хучни – Хив на участке км 0 – км 16, ремонт автомобильной дороги Кизляр – Терекли-Мектеб – граница Ставр</w:t>
      </w:r>
      <w:r w:rsidR="0017357D">
        <w:rPr>
          <w:rFonts w:ascii="Times New Roman" w:eastAsia="Times New Roman" w:hAnsi="Times New Roman" w:cs="Times New Roman"/>
          <w:spacing w:val="-6"/>
          <w:sz w:val="28"/>
          <w:szCs w:val="28"/>
          <w:lang w:eastAsia="ru-RU"/>
        </w:rPr>
        <w:t>о</w:t>
      </w:r>
      <w:r w:rsidRPr="006F4305">
        <w:rPr>
          <w:rFonts w:ascii="Times New Roman" w:eastAsia="Times New Roman" w:hAnsi="Times New Roman" w:cs="Times New Roman"/>
          <w:spacing w:val="-6"/>
          <w:sz w:val="28"/>
          <w:szCs w:val="28"/>
          <w:lang w:eastAsia="ru-RU"/>
        </w:rPr>
        <w:t>польского края на участке км 30 – км 40, реконструкция автомобильной дороги Махачкала-Буйнакск-Леваши-В. Гуниб на участке км 0 - км 3);</w:t>
      </w:r>
    </w:p>
    <w:p w14:paraId="7C276175" w14:textId="77777777" w:rsidR="006F4305" w:rsidRPr="006F4305" w:rsidRDefault="006F4305" w:rsidP="006F4305">
      <w:pPr>
        <w:spacing w:after="0" w:line="240" w:lineRule="auto"/>
        <w:ind w:firstLine="709"/>
        <w:jc w:val="both"/>
        <w:rPr>
          <w:rFonts w:ascii="Times New Roman" w:eastAsia="Times New Roman" w:hAnsi="Times New Roman" w:cs="Times New Roman"/>
          <w:spacing w:val="-6"/>
          <w:sz w:val="28"/>
          <w:szCs w:val="28"/>
          <w:lang w:eastAsia="ru-RU"/>
        </w:rPr>
      </w:pPr>
      <w:r w:rsidRPr="006F4305">
        <w:rPr>
          <w:rFonts w:ascii="Times New Roman" w:eastAsia="Times New Roman" w:hAnsi="Times New Roman" w:cs="Times New Roman"/>
          <w:spacing w:val="-6"/>
          <w:sz w:val="28"/>
          <w:szCs w:val="28"/>
          <w:lang w:eastAsia="ru-RU"/>
        </w:rPr>
        <w:t>-</w:t>
      </w:r>
      <w:r w:rsidRPr="006F4305">
        <w:rPr>
          <w:rFonts w:ascii="Times New Roman" w:eastAsia="Times New Roman" w:hAnsi="Times New Roman" w:cs="Times New Roman"/>
          <w:i/>
          <w:spacing w:val="-6"/>
          <w:sz w:val="28"/>
          <w:szCs w:val="28"/>
          <w:lang w:eastAsia="ru-RU"/>
        </w:rPr>
        <w:t xml:space="preserve"> </w:t>
      </w:r>
      <w:r w:rsidRPr="006F4305">
        <w:rPr>
          <w:rFonts w:ascii="Times New Roman" w:eastAsia="Times New Roman" w:hAnsi="Times New Roman" w:cs="Times New Roman"/>
          <w:iCs/>
          <w:spacing w:val="-6"/>
          <w:sz w:val="28"/>
          <w:szCs w:val="28"/>
          <w:lang w:eastAsia="ru-RU"/>
        </w:rPr>
        <w:t>2,6 млн рублей</w:t>
      </w:r>
      <w:r w:rsidRPr="006F4305">
        <w:rPr>
          <w:rFonts w:ascii="Times New Roman" w:eastAsia="Times New Roman" w:hAnsi="Times New Roman" w:cs="Times New Roman"/>
          <w:i/>
          <w:spacing w:val="-6"/>
          <w:sz w:val="28"/>
          <w:szCs w:val="28"/>
          <w:lang w:eastAsia="ru-RU"/>
        </w:rPr>
        <w:t xml:space="preserve"> (</w:t>
      </w:r>
      <w:r w:rsidRPr="006F4305">
        <w:rPr>
          <w:rFonts w:ascii="Times New Roman" w:eastAsia="Times New Roman" w:hAnsi="Times New Roman" w:cs="Times New Roman"/>
          <w:spacing w:val="-6"/>
          <w:sz w:val="28"/>
          <w:szCs w:val="28"/>
          <w:lang w:eastAsia="ru-RU"/>
        </w:rPr>
        <w:t xml:space="preserve">средства регионального бюджета), предусмотренные на строительный контроль за ходом строительства автомобильной дороги «Обход </w:t>
      </w:r>
      <w:r w:rsidRPr="006F4305">
        <w:rPr>
          <w:rFonts w:ascii="Times New Roman" w:eastAsia="Times New Roman" w:hAnsi="Times New Roman" w:cs="Times New Roman"/>
          <w:spacing w:val="-6"/>
          <w:sz w:val="28"/>
          <w:szCs w:val="28"/>
          <w:lang w:eastAsia="ru-RU"/>
        </w:rPr>
        <w:br/>
        <w:t>с. Манаскент с подъездом к санаторию «Каспий» км 0 – км 3+900, которые в соответствии с заключенным контрактом запланировано освоить в 2022 году.</w:t>
      </w:r>
    </w:p>
    <w:p w14:paraId="0DD2B42D"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По итогам реализации регионального проекта в 2021 году плановые значения 3 целевых показателей выполнены в полном объеме.</w:t>
      </w:r>
    </w:p>
    <w:p w14:paraId="6756E0C3" w14:textId="77777777" w:rsidR="006F4305" w:rsidRPr="006F4305" w:rsidRDefault="006F4305" w:rsidP="006F4305">
      <w:pPr>
        <w:spacing w:after="0" w:line="240" w:lineRule="auto"/>
        <w:ind w:firstLine="709"/>
        <w:jc w:val="both"/>
        <w:rPr>
          <w:rFonts w:ascii="Times New Roman" w:eastAsia="Times New Roman" w:hAnsi="Times New Roman" w:cs="Times New Roman"/>
          <w:spacing w:val="-4"/>
          <w:sz w:val="28"/>
          <w:szCs w:val="28"/>
          <w:lang w:eastAsia="ru-RU"/>
        </w:rPr>
      </w:pPr>
      <w:r w:rsidRPr="006F4305">
        <w:rPr>
          <w:rFonts w:ascii="Times New Roman" w:eastAsia="Times New Roman" w:hAnsi="Times New Roman" w:cs="Times New Roman"/>
          <w:spacing w:val="-4"/>
          <w:sz w:val="28"/>
          <w:szCs w:val="28"/>
          <w:lang w:eastAsia="ru-RU"/>
        </w:rPr>
        <w:t>В связи с опережающим достижением показателя нормативного состояния дорог агломерации в 2021 году, срыв сроков завершения работ по реконструкции ул. Коркмасова г. Махачкалы не повлиял на достижение целевого показателя регионального проекта. «Доля дорожной сети городских агломераций, находящаяся в нормативном состоянии» (факт – 79 % или 100 % от планового значения).</w:t>
      </w:r>
    </w:p>
    <w:p w14:paraId="0AF97E72"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B975E1">
        <w:rPr>
          <w:rFonts w:ascii="Times New Roman" w:eastAsia="Calibri" w:hAnsi="Times New Roman" w:cs="Times New Roman"/>
          <w:b/>
          <w:bCs/>
          <w:iCs/>
          <w:color w:val="002060"/>
          <w:sz w:val="28"/>
          <w:szCs w:val="28"/>
          <w:lang w:eastAsia="ru-RU"/>
        </w:rPr>
        <w:t xml:space="preserve">2) Региональный проект «Общесистемные меры развития </w:t>
      </w:r>
      <w:r w:rsidRPr="00B975E1">
        <w:rPr>
          <w:rFonts w:ascii="Times New Roman" w:eastAsia="Calibri" w:hAnsi="Times New Roman" w:cs="Times New Roman"/>
          <w:b/>
          <w:bCs/>
          <w:iCs/>
          <w:color w:val="002060"/>
          <w:sz w:val="28"/>
          <w:szCs w:val="28"/>
          <w:lang w:eastAsia="ru-RU"/>
        </w:rPr>
        <w:lastRenderedPageBreak/>
        <w:t>дорожного хозяйства» – 212,8 млн рублей</w:t>
      </w:r>
      <w:r w:rsidRPr="006F4305">
        <w:rPr>
          <w:rFonts w:ascii="Times New Roman" w:eastAsia="Calibri" w:hAnsi="Times New Roman" w:cs="Times New Roman"/>
          <w:bCs/>
          <w:iCs/>
          <w:sz w:val="28"/>
          <w:szCs w:val="28"/>
          <w:lang w:eastAsia="ru-RU"/>
        </w:rPr>
        <w:t>,</w:t>
      </w:r>
      <w:r w:rsidRPr="006F4305">
        <w:rPr>
          <w:rFonts w:ascii="Times New Roman" w:eastAsia="Calibri" w:hAnsi="Times New Roman" w:cs="Times New Roman"/>
          <w:sz w:val="28"/>
          <w:szCs w:val="28"/>
          <w:lang w:eastAsia="ru-RU"/>
        </w:rPr>
        <w:t xml:space="preserve"> или 97,7 % от годовых назначений. Средства, профинансированные по региональному проекту, направлены на:</w:t>
      </w:r>
    </w:p>
    <w:p w14:paraId="20749A95"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 </w:t>
      </w:r>
      <w:r w:rsidRPr="006F4305">
        <w:rPr>
          <w:rFonts w:ascii="Times New Roman" w:eastAsia="Calibri" w:hAnsi="Times New Roman" w:cs="Times New Roman"/>
          <w:sz w:val="28"/>
          <w:szCs w:val="28"/>
          <w:lang w:eastAsia="ru-RU"/>
        </w:rPr>
        <w:t xml:space="preserve">установку </w:t>
      </w:r>
      <w:r w:rsidRPr="006F4305">
        <w:rPr>
          <w:rFonts w:ascii="Times New Roman" w:eastAsia="Times New Roman" w:hAnsi="Times New Roman" w:cs="Times New Roman"/>
          <w:sz w:val="28"/>
          <w:szCs w:val="28"/>
          <w:lang w:eastAsia="ru-RU"/>
        </w:rPr>
        <w:t xml:space="preserve">камер фото-видеофиксации на автомобильных дорогах </w:t>
      </w:r>
      <w:r w:rsidRPr="006F4305">
        <w:rPr>
          <w:rFonts w:ascii="Times New Roman" w:eastAsia="Times New Roman" w:hAnsi="Times New Roman" w:cs="Times New Roman"/>
          <w:sz w:val="28"/>
          <w:szCs w:val="28"/>
          <w:lang w:eastAsia="ru-RU"/>
        </w:rPr>
        <w:br/>
        <w:t xml:space="preserve">(15 шт.) – 32,2 млн рублей; </w:t>
      </w:r>
    </w:p>
    <w:p w14:paraId="345AFE53"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системы мониторинга транспортных потоков – 9,8 млн рублей;</w:t>
      </w:r>
    </w:p>
    <w:p w14:paraId="21DB98D6"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строительство автоматизированного пункта весогабаритного контроля – 64,1 млн рублей;</w:t>
      </w:r>
    </w:p>
    <w:p w14:paraId="008305B0"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внедрение интеллектуальной транспортной системы в Махачкалинской городской агломерации – 106,7 млн рублей из 320,3 млн рублей (ввод в эксплуатацию предусмотрен 1 ноября 2024 года).</w:t>
      </w:r>
    </w:p>
    <w:p w14:paraId="3D7DF067"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 xml:space="preserve">По состоянию на 1 января 2022 года освоено 211,7 млн рублей, или </w:t>
      </w:r>
      <w:r w:rsidRPr="006F4305">
        <w:rPr>
          <w:rFonts w:ascii="Times New Roman" w:eastAsia="Times New Roman" w:hAnsi="Times New Roman" w:cs="Times New Roman"/>
          <w:sz w:val="28"/>
          <w:szCs w:val="24"/>
          <w:lang w:eastAsia="ru-RU"/>
        </w:rPr>
        <w:br/>
        <w:t xml:space="preserve">97,2 % от объема годовых назначений. </w:t>
      </w:r>
      <w:r w:rsidRPr="006F4305">
        <w:rPr>
          <w:rFonts w:ascii="Times New Roman" w:eastAsia="Calibri" w:hAnsi="Times New Roman" w:cs="Times New Roman"/>
          <w:bCs/>
          <w:iCs/>
          <w:sz w:val="28"/>
          <w:szCs w:val="28"/>
          <w:lang w:eastAsia="ru-RU"/>
        </w:rPr>
        <w:t xml:space="preserve">Неиспользованный (неосвоенный) остаток составил 6,0 млн рублей (средства республиканского бюджета), или 2,8 % от объема годовых назначений, который образован за счет </w:t>
      </w:r>
      <w:r w:rsidRPr="006F4305">
        <w:rPr>
          <w:rFonts w:ascii="Times New Roman" w:eastAsia="Calibri" w:hAnsi="Times New Roman" w:cs="Times New Roman"/>
          <w:sz w:val="28"/>
          <w:szCs w:val="28"/>
          <w:lang w:eastAsia="ru-RU"/>
        </w:rPr>
        <w:t>экономии по результатам торгов – 4,9 млн рублей и по результатам выполненных работ по размещению пункта весогабаритного контроля – 1,1 млн рублей.</w:t>
      </w:r>
    </w:p>
    <w:p w14:paraId="237C737E"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bookmarkStart w:id="45" w:name="_Hlk72238779"/>
      <w:r w:rsidRPr="006F4305">
        <w:rPr>
          <w:rFonts w:ascii="Times New Roman" w:eastAsia="Times New Roman" w:hAnsi="Times New Roman" w:cs="Times New Roman"/>
          <w:sz w:val="28"/>
          <w:szCs w:val="28"/>
          <w:lang w:eastAsia="ru-RU"/>
        </w:rPr>
        <w:t>Запланированные на 2021 год 2 целевых показателя регионального проекта выполнены в полном объеме.</w:t>
      </w:r>
    </w:p>
    <w:bookmarkEnd w:id="45"/>
    <w:p w14:paraId="78676011"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p>
    <w:p w14:paraId="30DD6E54" w14:textId="77777777" w:rsidR="006F4305" w:rsidRPr="00B975E1"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b/>
          <w:color w:val="002060"/>
          <w:sz w:val="28"/>
          <w:szCs w:val="24"/>
          <w:lang w:eastAsia="ru-RU"/>
        </w:rPr>
      </w:pPr>
      <w:r w:rsidRPr="00B975E1">
        <w:rPr>
          <w:rFonts w:ascii="Times New Roman" w:eastAsia="Times New Roman" w:hAnsi="Times New Roman" w:cs="Times New Roman"/>
          <w:b/>
          <w:color w:val="002060"/>
          <w:sz w:val="28"/>
          <w:szCs w:val="28"/>
          <w:lang w:eastAsia="ru-RU"/>
        </w:rPr>
        <w:t>6.5.7. Н</w:t>
      </w:r>
      <w:r w:rsidRPr="00B975E1">
        <w:rPr>
          <w:rFonts w:ascii="Times New Roman" w:eastAsia="Times New Roman" w:hAnsi="Times New Roman" w:cs="Times New Roman"/>
          <w:b/>
          <w:color w:val="002060"/>
          <w:sz w:val="28"/>
          <w:szCs w:val="24"/>
          <w:lang w:eastAsia="ru-RU"/>
        </w:rPr>
        <w:t xml:space="preserve">ациональный проект </w:t>
      </w:r>
      <w:r w:rsidRPr="00B975E1">
        <w:rPr>
          <w:rFonts w:ascii="Times New Roman" w:eastAsia="Times New Roman" w:hAnsi="Times New Roman" w:cs="Times New Roman"/>
          <w:b/>
          <w:color w:val="002060"/>
          <w:sz w:val="28"/>
          <w:szCs w:val="28"/>
          <w:lang w:eastAsia="ru-RU"/>
        </w:rPr>
        <w:t>«Цифровая экономика».</w:t>
      </w:r>
    </w:p>
    <w:p w14:paraId="39DE53A0"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В 2021 году на реализацию национального проекта </w:t>
      </w:r>
      <w:r w:rsidRPr="006F4305">
        <w:rPr>
          <w:rFonts w:ascii="Times New Roman" w:eastAsia="Times New Roman" w:hAnsi="Times New Roman" w:cs="Times New Roman"/>
          <w:sz w:val="28"/>
          <w:szCs w:val="28"/>
          <w:lang w:eastAsia="ru-RU"/>
        </w:rPr>
        <w:t>«Цифровая экономика»</w:t>
      </w:r>
      <w:r w:rsidRPr="006F4305">
        <w:rPr>
          <w:rFonts w:ascii="Times New Roman" w:eastAsia="Times New Roman" w:hAnsi="Times New Roman" w:cs="Times New Roman"/>
          <w:b/>
          <w:sz w:val="28"/>
          <w:szCs w:val="24"/>
          <w:lang w:eastAsia="ru-RU"/>
        </w:rPr>
        <w:t xml:space="preserve"> </w:t>
      </w:r>
      <w:r w:rsidRPr="006F4305">
        <w:rPr>
          <w:rFonts w:ascii="Times New Roman" w:eastAsia="Times New Roman" w:hAnsi="Times New Roman" w:cs="Times New Roman"/>
          <w:sz w:val="28"/>
          <w:szCs w:val="24"/>
          <w:lang w:eastAsia="ru-RU"/>
        </w:rPr>
        <w:t>профинансированы средства в сумме 36,1</w:t>
      </w:r>
      <w:r w:rsidRPr="006F4305">
        <w:rPr>
          <w:rFonts w:ascii="Times New Roman" w:eastAsia="Times New Roman" w:hAnsi="Times New Roman" w:cs="Times New Roman"/>
          <w:color w:val="FF0000"/>
          <w:sz w:val="28"/>
          <w:szCs w:val="24"/>
          <w:lang w:eastAsia="ru-RU"/>
        </w:rPr>
        <w:t xml:space="preserve"> </w:t>
      </w:r>
      <w:r w:rsidRPr="006F4305">
        <w:rPr>
          <w:rFonts w:ascii="Times New Roman" w:eastAsia="Times New Roman" w:hAnsi="Times New Roman" w:cs="Times New Roman"/>
          <w:sz w:val="28"/>
          <w:szCs w:val="24"/>
          <w:lang w:eastAsia="ru-RU"/>
        </w:rPr>
        <w:t xml:space="preserve">млн рублей, или 100 % от годовых назначений (за счет федерального бюджета – 30,78 млн рублей и республиканского бюджета Республики Дагестан – 5,3 млн рублей). </w:t>
      </w:r>
    </w:p>
    <w:p w14:paraId="213AE310"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4"/>
          <w:lang w:eastAsia="ru-RU"/>
        </w:rPr>
        <w:t xml:space="preserve">По состоянию на 1 января 2022 года освоено 34,9 млн рублей, или </w:t>
      </w:r>
      <w:r w:rsidRPr="006F4305">
        <w:rPr>
          <w:rFonts w:ascii="Times New Roman" w:eastAsia="Times New Roman" w:hAnsi="Times New Roman" w:cs="Times New Roman"/>
          <w:sz w:val="28"/>
          <w:szCs w:val="24"/>
          <w:lang w:eastAsia="ru-RU"/>
        </w:rPr>
        <w:br/>
        <w:t xml:space="preserve">96,7 % от объема финансирования. </w:t>
      </w:r>
      <w:r w:rsidRPr="006F4305">
        <w:rPr>
          <w:rFonts w:ascii="Times New Roman" w:eastAsia="Calibri" w:hAnsi="Times New Roman" w:cs="Times New Roman"/>
          <w:sz w:val="28"/>
          <w:szCs w:val="28"/>
          <w:lang w:eastAsia="ru-RU"/>
        </w:rPr>
        <w:t>По итогам года неиспользованный (неосвоенный) остаток составил 1,2 млн рублей, или 3,3 % от объема финансирования</w:t>
      </w:r>
      <w:r w:rsidRPr="006F4305">
        <w:rPr>
          <w:rFonts w:ascii="Times New Roman" w:eastAsia="Times New Roman" w:hAnsi="Times New Roman" w:cs="Times New Roman"/>
          <w:sz w:val="28"/>
          <w:szCs w:val="28"/>
          <w:lang w:eastAsia="ru-RU"/>
        </w:rPr>
        <w:t xml:space="preserve"> в связи с образовавшейся экономией по результатам приемки работ по заключенным контрактам. </w:t>
      </w:r>
    </w:p>
    <w:p w14:paraId="6B25B0A8"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В 2021 году финансирование было предусмотрено по 2 региональным проектам из 5 реализуемых в рамках национального проекта «Цифровая экономика». Финансирование региональных проектов «Информационная безопасность», «Цифровое государственное управление», «Кадры для цифровой экономики» не предусмотрено. </w:t>
      </w:r>
    </w:p>
    <w:p w14:paraId="1FF700B0" w14:textId="77777777" w:rsidR="006F4305" w:rsidRPr="006F4305" w:rsidRDefault="006F4305" w:rsidP="006F4305">
      <w:pPr>
        <w:tabs>
          <w:tab w:val="left" w:pos="993"/>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В рамках национального проекта бюджетные средства направлены на реализацию мероприятий 2 региональных проектов, в том числе:</w:t>
      </w:r>
    </w:p>
    <w:p w14:paraId="61E229E4" w14:textId="77777777" w:rsidR="006F4305" w:rsidRPr="006F4305" w:rsidRDefault="006F4305" w:rsidP="006F4305">
      <w:pPr>
        <w:tabs>
          <w:tab w:val="left" w:pos="993"/>
        </w:tabs>
        <w:spacing w:after="0" w:line="240" w:lineRule="auto"/>
        <w:ind w:firstLine="709"/>
        <w:jc w:val="both"/>
        <w:rPr>
          <w:rFonts w:ascii="Times New Roman" w:eastAsia="Calibri" w:hAnsi="Times New Roman" w:cs="Times New Roman"/>
          <w:sz w:val="28"/>
          <w:szCs w:val="28"/>
          <w:lang w:eastAsia="ru-RU"/>
        </w:rPr>
      </w:pPr>
      <w:r w:rsidRPr="00B975E1">
        <w:rPr>
          <w:rFonts w:ascii="Times New Roman" w:eastAsia="Calibri" w:hAnsi="Times New Roman" w:cs="Times New Roman"/>
          <w:b/>
          <w:bCs/>
          <w:iCs/>
          <w:color w:val="002060"/>
          <w:sz w:val="28"/>
          <w:szCs w:val="28"/>
          <w:lang w:eastAsia="ru-RU"/>
        </w:rPr>
        <w:t>1) Региональный проект «</w:t>
      </w:r>
      <w:r w:rsidRPr="00B975E1">
        <w:rPr>
          <w:rFonts w:ascii="Times New Roman" w:eastAsia="Times New Roman" w:hAnsi="Times New Roman" w:cs="Times New Roman"/>
          <w:b/>
          <w:iCs/>
          <w:color w:val="002060"/>
          <w:sz w:val="28"/>
          <w:szCs w:val="28"/>
          <w:lang w:eastAsia="ru-RU"/>
        </w:rPr>
        <w:t>Информационная инфраструктура»</w:t>
      </w:r>
      <w:r w:rsidRPr="00B975E1">
        <w:rPr>
          <w:rFonts w:ascii="Times New Roman" w:eastAsia="Times New Roman" w:hAnsi="Times New Roman" w:cs="Times New Roman"/>
          <w:iCs/>
          <w:color w:val="002060"/>
          <w:sz w:val="28"/>
          <w:szCs w:val="28"/>
          <w:lang w:eastAsia="ru-RU"/>
        </w:rPr>
        <w:t xml:space="preserve"> </w:t>
      </w:r>
      <w:r w:rsidRPr="00B975E1">
        <w:rPr>
          <w:rFonts w:ascii="Times New Roman" w:eastAsia="Calibri" w:hAnsi="Times New Roman" w:cs="Times New Roman"/>
          <w:b/>
          <w:bCs/>
          <w:iCs/>
          <w:color w:val="002060"/>
          <w:sz w:val="28"/>
          <w:szCs w:val="28"/>
          <w:lang w:eastAsia="ru-RU"/>
        </w:rPr>
        <w:t xml:space="preserve">– </w:t>
      </w:r>
      <w:r w:rsidRPr="00B975E1">
        <w:rPr>
          <w:rFonts w:ascii="Times New Roman" w:eastAsia="Calibri" w:hAnsi="Times New Roman" w:cs="Times New Roman"/>
          <w:b/>
          <w:bCs/>
          <w:iCs/>
          <w:color w:val="002060"/>
          <w:sz w:val="28"/>
          <w:szCs w:val="28"/>
          <w:lang w:eastAsia="ru-RU"/>
        </w:rPr>
        <w:br/>
        <w:t>31,1 млн рублей</w:t>
      </w:r>
      <w:r w:rsidRPr="006F4305">
        <w:rPr>
          <w:rFonts w:ascii="Times New Roman" w:eastAsia="Calibri" w:hAnsi="Times New Roman" w:cs="Times New Roman"/>
          <w:b/>
          <w:iCs/>
          <w:sz w:val="28"/>
          <w:szCs w:val="28"/>
          <w:lang w:eastAsia="ru-RU"/>
        </w:rPr>
        <w:t>,</w:t>
      </w:r>
      <w:r w:rsidRPr="006F4305">
        <w:rPr>
          <w:rFonts w:ascii="Times New Roman" w:eastAsia="Calibri" w:hAnsi="Times New Roman" w:cs="Times New Roman"/>
          <w:sz w:val="28"/>
          <w:szCs w:val="28"/>
          <w:lang w:eastAsia="ru-RU"/>
        </w:rPr>
        <w:t xml:space="preserve"> или 1</w:t>
      </w:r>
      <w:r w:rsidRPr="006F4305">
        <w:rPr>
          <w:rFonts w:ascii="Times New Roman" w:eastAsia="Calibri" w:hAnsi="Times New Roman" w:cs="Times New Roman"/>
          <w:iCs/>
          <w:sz w:val="28"/>
          <w:szCs w:val="28"/>
          <w:lang w:eastAsia="ru-RU"/>
        </w:rPr>
        <w:t xml:space="preserve">00 % от </w:t>
      </w:r>
      <w:r w:rsidRPr="006F4305">
        <w:rPr>
          <w:rFonts w:ascii="Times New Roman" w:eastAsia="Calibri" w:hAnsi="Times New Roman" w:cs="Times New Roman"/>
          <w:sz w:val="28"/>
          <w:szCs w:val="28"/>
          <w:lang w:eastAsia="ru-RU"/>
        </w:rPr>
        <w:t xml:space="preserve">утвержденных назначений.  </w:t>
      </w:r>
    </w:p>
    <w:p w14:paraId="3C6DF462" w14:textId="77777777" w:rsidR="006F4305" w:rsidRPr="006F4305" w:rsidRDefault="006F4305" w:rsidP="006F4305">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Calibri" w:hAnsi="Times New Roman" w:cs="Times New Roman"/>
          <w:sz w:val="28"/>
          <w:szCs w:val="28"/>
          <w:lang w:eastAsia="ru-RU"/>
        </w:rPr>
        <w:t xml:space="preserve">Средства, профинансированные по региональному проекту, направлены на </w:t>
      </w:r>
      <w:r w:rsidRPr="006F4305">
        <w:rPr>
          <w:rFonts w:ascii="Times New Roman" w:eastAsia="Times New Roman" w:hAnsi="Times New Roman" w:cs="Times New Roman"/>
          <w:sz w:val="28"/>
          <w:szCs w:val="28"/>
          <w:lang w:eastAsia="ru-RU"/>
        </w:rPr>
        <w:t xml:space="preserve">создание телекоммуникационной инфраструктуры на судебных участках мировых судей Республики Дагестан, в том числе для подключения к ГАС «Правосудие» - 29,9 млн рублей. Подключен 131 участок мировых судей, размещенных на 55 объектах. </w:t>
      </w:r>
    </w:p>
    <w:p w14:paraId="6145244C" w14:textId="77777777" w:rsidR="006F4305" w:rsidRPr="006F4305"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lastRenderedPageBreak/>
        <w:t xml:space="preserve">По состоянию на 1 января 2022 года освоено 29,9 млн рублей, или </w:t>
      </w:r>
      <w:r w:rsidRPr="006F4305">
        <w:rPr>
          <w:rFonts w:ascii="Times New Roman" w:eastAsia="Times New Roman" w:hAnsi="Times New Roman" w:cs="Times New Roman"/>
          <w:sz w:val="28"/>
          <w:szCs w:val="28"/>
          <w:lang w:eastAsia="ru-RU"/>
        </w:rPr>
        <w:br/>
        <w:t xml:space="preserve">96,2 % от </w:t>
      </w:r>
      <w:r w:rsidRPr="006F4305">
        <w:rPr>
          <w:rFonts w:ascii="Times New Roman" w:eastAsia="Calibri" w:hAnsi="Times New Roman" w:cs="Times New Roman"/>
          <w:bCs/>
          <w:sz w:val="28"/>
          <w:szCs w:val="28"/>
        </w:rPr>
        <w:t xml:space="preserve">годовых назначений (31,1 млн рублей). </w:t>
      </w:r>
      <w:r w:rsidRPr="006F4305">
        <w:rPr>
          <w:rFonts w:ascii="Times New Roman" w:eastAsia="Times New Roman" w:hAnsi="Times New Roman" w:cs="Times New Roman"/>
          <w:sz w:val="28"/>
          <w:szCs w:val="28"/>
          <w:lang w:eastAsia="ru-RU"/>
        </w:rPr>
        <w:t xml:space="preserve">По итогам года неиспользованный (неосвоенный) остаток составил 1,2 млн рублей, или </w:t>
      </w:r>
      <w:r w:rsidRPr="006F4305">
        <w:rPr>
          <w:rFonts w:ascii="Times New Roman" w:eastAsia="Times New Roman" w:hAnsi="Times New Roman" w:cs="Times New Roman"/>
          <w:sz w:val="28"/>
          <w:szCs w:val="28"/>
          <w:lang w:eastAsia="ru-RU"/>
        </w:rPr>
        <w:br/>
        <w:t xml:space="preserve">3,8 % от объема финансирования в связи с образовавшейся экономией по результатам приемки работ по заключенным контрактам. </w:t>
      </w:r>
    </w:p>
    <w:p w14:paraId="348E6980"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rPr>
      </w:pPr>
      <w:r w:rsidRPr="006F4305">
        <w:rPr>
          <w:rFonts w:ascii="Times New Roman" w:eastAsia="Calibri" w:hAnsi="Times New Roman" w:cs="Times New Roman"/>
          <w:sz w:val="28"/>
          <w:szCs w:val="28"/>
        </w:rPr>
        <w:t xml:space="preserve">В рамках образовавшейся экономии в сумме 1,2 млн рублей по запросу Министерства юстиции Республики Дагестан заключен дополнительный договор на настройку автоматизированных рабочих мест на участках мировых судей для работы с ГАС «Правосудие» (0,6 млн рублей). </w:t>
      </w:r>
    </w:p>
    <w:p w14:paraId="567230EF"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rPr>
      </w:pPr>
      <w:r w:rsidRPr="006F4305">
        <w:rPr>
          <w:rFonts w:ascii="Times New Roman" w:eastAsia="Calibri" w:hAnsi="Times New Roman" w:cs="Times New Roman"/>
          <w:sz w:val="28"/>
          <w:szCs w:val="28"/>
        </w:rPr>
        <w:t xml:space="preserve">По состоянию на 1 января 2022 года работы по договору не оплачены.    </w:t>
      </w:r>
    </w:p>
    <w:p w14:paraId="75CC2E11" w14:textId="77777777" w:rsidR="006F4305" w:rsidRPr="006F4305"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Запланированные на 2021 год 2 целевых показателя регионального проекта выполнены в полном объеме.</w:t>
      </w:r>
    </w:p>
    <w:p w14:paraId="35103BEF" w14:textId="77777777" w:rsidR="006F4305" w:rsidRPr="006F4305"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sz w:val="28"/>
          <w:szCs w:val="28"/>
          <w:lang w:eastAsia="ru-RU"/>
        </w:rPr>
      </w:pPr>
      <w:r w:rsidRPr="00B975E1">
        <w:rPr>
          <w:rFonts w:ascii="Times New Roman" w:eastAsia="Times New Roman" w:hAnsi="Times New Roman" w:cs="Times New Roman"/>
          <w:b/>
          <w:bCs/>
          <w:iCs/>
          <w:color w:val="002060"/>
          <w:sz w:val="28"/>
          <w:szCs w:val="28"/>
          <w:lang w:eastAsia="ru-RU"/>
        </w:rPr>
        <w:t>2) Региональный проект «Цифровые технологии» – 5,0 млн рублей</w:t>
      </w:r>
      <w:r w:rsidRPr="00B975E1">
        <w:rPr>
          <w:rFonts w:ascii="Times New Roman" w:eastAsia="Times New Roman" w:hAnsi="Times New Roman" w:cs="Times New Roman"/>
          <w:b/>
          <w:iCs/>
          <w:color w:val="002060"/>
          <w:sz w:val="28"/>
          <w:szCs w:val="28"/>
          <w:lang w:eastAsia="ru-RU"/>
        </w:rPr>
        <w:t>,</w:t>
      </w:r>
      <w:r w:rsidRPr="00B975E1">
        <w:rPr>
          <w:rFonts w:ascii="Times New Roman" w:eastAsia="Times New Roman" w:hAnsi="Times New Roman" w:cs="Times New Roman"/>
          <w:color w:val="002060"/>
          <w:sz w:val="28"/>
          <w:szCs w:val="28"/>
          <w:lang w:eastAsia="ru-RU"/>
        </w:rPr>
        <w:t xml:space="preserve"> </w:t>
      </w:r>
      <w:r w:rsidRPr="006F4305">
        <w:rPr>
          <w:rFonts w:ascii="Times New Roman" w:eastAsia="Times New Roman" w:hAnsi="Times New Roman" w:cs="Times New Roman"/>
          <w:sz w:val="28"/>
          <w:szCs w:val="28"/>
          <w:lang w:eastAsia="ru-RU"/>
        </w:rPr>
        <w:t>или 1</w:t>
      </w:r>
      <w:r w:rsidRPr="006F4305">
        <w:rPr>
          <w:rFonts w:ascii="Times New Roman" w:eastAsia="Times New Roman" w:hAnsi="Times New Roman" w:cs="Times New Roman"/>
          <w:iCs/>
          <w:sz w:val="28"/>
          <w:szCs w:val="28"/>
          <w:lang w:eastAsia="ru-RU"/>
        </w:rPr>
        <w:t>00 % от годовых</w:t>
      </w:r>
      <w:r w:rsidRPr="006F4305">
        <w:rPr>
          <w:rFonts w:ascii="Times New Roman" w:eastAsia="Times New Roman" w:hAnsi="Times New Roman" w:cs="Times New Roman"/>
          <w:sz w:val="28"/>
          <w:szCs w:val="28"/>
          <w:lang w:eastAsia="ru-RU"/>
        </w:rPr>
        <w:t xml:space="preserve"> назначений.</w:t>
      </w:r>
    </w:p>
    <w:p w14:paraId="4AD8201B" w14:textId="77777777" w:rsidR="006F4305" w:rsidRPr="006F4305"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Средства, профинансированные по региональному проекту, направлены на выполнение работ по техническому сопровождению единой геоинформационной системы Республики Дагестан и расширению функциональных возможностей программного обеспечения – 4,99 млн рублей. Работы завершены. </w:t>
      </w:r>
    </w:p>
    <w:p w14:paraId="6054954E" w14:textId="77777777" w:rsidR="006F4305" w:rsidRPr="006F4305"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По состоянию на 1 января 2022 года освоено 5,0 млн рублей, или 100 % от объема финансирования.  </w:t>
      </w:r>
    </w:p>
    <w:p w14:paraId="27F0C7F3" w14:textId="77777777" w:rsidR="006F4305" w:rsidRPr="006F4305"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Достижение целевых показателей по региональному проекту не предусмотрено. </w:t>
      </w:r>
    </w:p>
    <w:p w14:paraId="5B337D5B" w14:textId="77777777" w:rsidR="006F4305" w:rsidRPr="006F4305"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sz w:val="28"/>
          <w:szCs w:val="28"/>
          <w:lang w:eastAsia="ru-RU"/>
        </w:rPr>
      </w:pPr>
    </w:p>
    <w:p w14:paraId="615D0238" w14:textId="77777777" w:rsidR="006F4305" w:rsidRPr="00B975E1" w:rsidRDefault="006F4305" w:rsidP="006F4305">
      <w:pPr>
        <w:widowControl w:val="0"/>
        <w:autoSpaceDE w:val="0"/>
        <w:autoSpaceDN w:val="0"/>
        <w:spacing w:after="0" w:line="240" w:lineRule="auto"/>
        <w:ind w:right="-2" w:firstLine="708"/>
        <w:jc w:val="both"/>
        <w:rPr>
          <w:rFonts w:ascii="Times New Roman" w:eastAsia="Times New Roman" w:hAnsi="Times New Roman" w:cs="Times New Roman"/>
          <w:b/>
          <w:color w:val="002060"/>
          <w:sz w:val="28"/>
          <w:szCs w:val="24"/>
          <w:lang w:eastAsia="ru-RU"/>
        </w:rPr>
      </w:pPr>
      <w:r w:rsidRPr="00B975E1">
        <w:rPr>
          <w:rFonts w:ascii="Times New Roman" w:eastAsia="Times New Roman" w:hAnsi="Times New Roman" w:cs="Times New Roman"/>
          <w:b/>
          <w:color w:val="002060"/>
          <w:sz w:val="28"/>
          <w:szCs w:val="28"/>
          <w:lang w:eastAsia="ru-RU"/>
        </w:rPr>
        <w:t>6.5.8. Н</w:t>
      </w:r>
      <w:r w:rsidRPr="00B975E1">
        <w:rPr>
          <w:rFonts w:ascii="Times New Roman" w:eastAsia="Times New Roman" w:hAnsi="Times New Roman" w:cs="Times New Roman"/>
          <w:b/>
          <w:color w:val="002060"/>
          <w:sz w:val="28"/>
          <w:szCs w:val="24"/>
          <w:lang w:eastAsia="ru-RU"/>
        </w:rPr>
        <w:t xml:space="preserve">ациональный проект «Культура». </w:t>
      </w:r>
    </w:p>
    <w:p w14:paraId="482B0957" w14:textId="77777777" w:rsidR="006F4305" w:rsidRPr="006F4305" w:rsidRDefault="006F4305" w:rsidP="006F4305">
      <w:pPr>
        <w:widowControl w:val="0"/>
        <w:spacing w:after="0" w:line="240" w:lineRule="auto"/>
        <w:ind w:firstLine="709"/>
        <w:jc w:val="both"/>
        <w:rPr>
          <w:rFonts w:ascii="Times New Roman" w:eastAsia="Calibri" w:hAnsi="Times New Roman" w:cs="Times New Roman"/>
          <w:sz w:val="28"/>
          <w:szCs w:val="28"/>
          <w:lang w:eastAsia="ru-RU"/>
        </w:rPr>
      </w:pPr>
      <w:bookmarkStart w:id="46" w:name="_Hlk63093996"/>
      <w:r w:rsidRPr="006F4305">
        <w:rPr>
          <w:rFonts w:ascii="Times New Roman" w:eastAsia="Times New Roman" w:hAnsi="Times New Roman" w:cs="Times New Roman"/>
          <w:sz w:val="28"/>
          <w:szCs w:val="24"/>
          <w:lang w:eastAsia="ru-RU"/>
        </w:rPr>
        <w:t>В 2021 году на реализацию национального проекта «Культура» профинансированы расходы в сумме 469,5 млн рублей, или 100 % от годовых на</w:t>
      </w:r>
      <w:r w:rsidRPr="006F4305">
        <w:rPr>
          <w:rFonts w:ascii="Times New Roman" w:eastAsia="Calibri" w:hAnsi="Times New Roman" w:cs="Times New Roman"/>
          <w:sz w:val="28"/>
          <w:szCs w:val="28"/>
          <w:lang w:eastAsia="ru-RU"/>
        </w:rPr>
        <w:t xml:space="preserve">значений (за счет федерального бюджета – 374,3 млн рублей, республиканского бюджета Республики Дагестан – 85,1 млн рублей, средства муниципалитетов – 10,1 млн рублей).  </w:t>
      </w:r>
    </w:p>
    <w:p w14:paraId="36123722" w14:textId="77777777" w:rsidR="006F4305" w:rsidRPr="006F4305" w:rsidRDefault="006F4305" w:rsidP="006F4305">
      <w:pPr>
        <w:spacing w:after="0" w:line="240" w:lineRule="auto"/>
        <w:ind w:firstLine="709"/>
        <w:contextualSpacing/>
        <w:jc w:val="both"/>
        <w:rPr>
          <w:rFonts w:ascii="Times New Roman" w:eastAsia="Arial" w:hAnsi="Times New Roman" w:cs="Times New Roman"/>
          <w:bCs/>
          <w:sz w:val="28"/>
          <w:szCs w:val="28"/>
          <w:lang w:eastAsia="ru-RU"/>
        </w:rPr>
      </w:pPr>
      <w:r w:rsidRPr="006F4305">
        <w:rPr>
          <w:rFonts w:ascii="Times New Roman" w:eastAsia="Calibri" w:hAnsi="Times New Roman" w:cs="Times New Roman"/>
          <w:sz w:val="28"/>
          <w:szCs w:val="28"/>
          <w:lang w:eastAsia="ru-RU"/>
        </w:rPr>
        <w:t xml:space="preserve">На 1 января 2022 года освоение выделенных средств составило </w:t>
      </w:r>
      <w:r w:rsidRPr="006F4305">
        <w:rPr>
          <w:rFonts w:ascii="Times New Roman" w:eastAsia="Calibri" w:hAnsi="Times New Roman" w:cs="Times New Roman"/>
          <w:sz w:val="28"/>
          <w:szCs w:val="28"/>
          <w:lang w:eastAsia="ru-RU"/>
        </w:rPr>
        <w:br/>
        <w:t>416,7 млн рублей, или 88,8 % от объема финансирования. По итогам года н</w:t>
      </w:r>
      <w:r w:rsidRPr="006F4305">
        <w:rPr>
          <w:rFonts w:ascii="Times New Roman" w:eastAsia="Arial" w:hAnsi="Times New Roman" w:cs="Times New Roman"/>
          <w:bCs/>
          <w:sz w:val="28"/>
          <w:szCs w:val="28"/>
          <w:lang w:eastAsia="ru-RU"/>
        </w:rPr>
        <w:t xml:space="preserve">еиспользованный (неосвоенный) остаток составил 52,7 млн рублей, или </w:t>
      </w:r>
      <w:r w:rsidRPr="006F4305">
        <w:rPr>
          <w:rFonts w:ascii="Times New Roman" w:eastAsia="Arial" w:hAnsi="Times New Roman" w:cs="Times New Roman"/>
          <w:bCs/>
          <w:sz w:val="28"/>
          <w:szCs w:val="28"/>
          <w:lang w:eastAsia="ru-RU"/>
        </w:rPr>
        <w:br/>
        <w:t>11,2 % от объема годовых назначений.</w:t>
      </w:r>
    </w:p>
    <w:p w14:paraId="73D9D5BC"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Calibri" w:hAnsi="Times New Roman" w:cs="Times New Roman"/>
          <w:sz w:val="28"/>
          <w:szCs w:val="28"/>
          <w:lang w:eastAsia="ru-RU"/>
        </w:rPr>
        <w:t>В рамках национального проекта бюджетные средства направлены на реализацию мероприятий 3 региональных проектов</w:t>
      </w:r>
      <w:r w:rsidRPr="006F4305">
        <w:rPr>
          <w:rFonts w:ascii="Times New Roman" w:eastAsia="Times New Roman" w:hAnsi="Times New Roman" w:cs="Times New Roman"/>
          <w:sz w:val="28"/>
          <w:szCs w:val="24"/>
          <w:lang w:eastAsia="ru-RU"/>
        </w:rPr>
        <w:t>:</w:t>
      </w:r>
    </w:p>
    <w:bookmarkEnd w:id="46"/>
    <w:p w14:paraId="06E98AF5" w14:textId="77777777" w:rsidR="006F4305" w:rsidRPr="006F4305" w:rsidRDefault="006F4305" w:rsidP="006F4305">
      <w:pPr>
        <w:spacing w:after="0" w:line="240" w:lineRule="auto"/>
        <w:ind w:firstLine="709"/>
        <w:contextualSpacing/>
        <w:jc w:val="both"/>
        <w:rPr>
          <w:rFonts w:ascii="Times New Roman" w:eastAsia="Arial" w:hAnsi="Times New Roman" w:cs="Times New Roman"/>
          <w:bCs/>
          <w:sz w:val="28"/>
          <w:szCs w:val="28"/>
          <w:lang w:eastAsia="ru-RU"/>
        </w:rPr>
      </w:pPr>
      <w:r w:rsidRPr="00B975E1">
        <w:rPr>
          <w:rFonts w:ascii="Times New Roman" w:eastAsia="Times New Roman" w:hAnsi="Times New Roman" w:cs="Times New Roman"/>
          <w:b/>
          <w:iCs/>
          <w:color w:val="002060"/>
          <w:sz w:val="28"/>
          <w:szCs w:val="24"/>
          <w:lang w:eastAsia="ru-RU"/>
        </w:rPr>
        <w:t>1</w:t>
      </w:r>
      <w:r w:rsidRPr="00B975E1">
        <w:rPr>
          <w:rFonts w:ascii="Times New Roman" w:eastAsia="Times New Roman" w:hAnsi="Times New Roman" w:cs="Times New Roman"/>
          <w:b/>
          <w:bCs/>
          <w:iCs/>
          <w:color w:val="002060"/>
          <w:sz w:val="28"/>
          <w:szCs w:val="24"/>
          <w:lang w:eastAsia="ru-RU"/>
        </w:rPr>
        <w:t xml:space="preserve">) Региональный проект </w:t>
      </w:r>
      <w:r w:rsidRPr="00B975E1">
        <w:rPr>
          <w:rFonts w:ascii="Times New Roman" w:eastAsia="Calibri" w:hAnsi="Times New Roman" w:cs="Times New Roman"/>
          <w:b/>
          <w:bCs/>
          <w:iCs/>
          <w:color w:val="002060"/>
          <w:sz w:val="28"/>
          <w:szCs w:val="28"/>
          <w:shd w:val="clear" w:color="auto" w:fill="FFFFFF"/>
          <w:lang w:eastAsia="ar-SA"/>
        </w:rPr>
        <w:t>«Культурная среда</w:t>
      </w:r>
      <w:r w:rsidRPr="00B975E1">
        <w:rPr>
          <w:rFonts w:ascii="Times New Roman" w:eastAsia="Times New Roman" w:hAnsi="Times New Roman" w:cs="Times New Roman"/>
          <w:b/>
          <w:bCs/>
          <w:iCs/>
          <w:color w:val="002060"/>
          <w:sz w:val="28"/>
          <w:szCs w:val="28"/>
          <w:lang w:eastAsia="ru-RU"/>
        </w:rPr>
        <w:t xml:space="preserve">» </w:t>
      </w:r>
      <w:r w:rsidRPr="00B975E1">
        <w:rPr>
          <w:rFonts w:ascii="Times New Roman" w:eastAsia="Calibri" w:hAnsi="Times New Roman" w:cs="Times New Roman"/>
          <w:b/>
          <w:bCs/>
          <w:iCs/>
          <w:color w:val="002060"/>
          <w:sz w:val="28"/>
          <w:szCs w:val="28"/>
          <w:lang w:eastAsia="ru-RU"/>
        </w:rPr>
        <w:t>– 437,8 млн рублей</w:t>
      </w:r>
      <w:r w:rsidRPr="006F4305">
        <w:rPr>
          <w:rFonts w:ascii="Times New Roman" w:eastAsia="Calibri" w:hAnsi="Times New Roman" w:cs="Times New Roman"/>
          <w:b/>
          <w:iCs/>
          <w:sz w:val="28"/>
          <w:szCs w:val="28"/>
          <w:lang w:eastAsia="ru-RU"/>
        </w:rPr>
        <w:t>,</w:t>
      </w:r>
      <w:r w:rsidRPr="006F4305">
        <w:rPr>
          <w:rFonts w:ascii="Times New Roman" w:eastAsia="Calibri" w:hAnsi="Times New Roman" w:cs="Times New Roman"/>
          <w:iCs/>
          <w:sz w:val="28"/>
          <w:szCs w:val="28"/>
          <w:lang w:eastAsia="ru-RU"/>
        </w:rPr>
        <w:t xml:space="preserve"> </w:t>
      </w:r>
      <w:r w:rsidRPr="006F4305">
        <w:rPr>
          <w:rFonts w:ascii="Times New Roman" w:eastAsia="Calibri" w:hAnsi="Times New Roman" w:cs="Times New Roman"/>
          <w:iCs/>
          <w:sz w:val="28"/>
          <w:szCs w:val="28"/>
          <w:lang w:eastAsia="ru-RU"/>
        </w:rPr>
        <w:br/>
        <w:t>или 100 % от годовых назначений.</w:t>
      </w:r>
      <w:r w:rsidRPr="006F4305">
        <w:rPr>
          <w:rFonts w:ascii="Times New Roman" w:eastAsia="Times New Roman" w:hAnsi="Times New Roman" w:cs="Times New Roman"/>
          <w:sz w:val="28"/>
          <w:szCs w:val="24"/>
          <w:lang w:eastAsia="ru-RU"/>
        </w:rPr>
        <w:t xml:space="preserve"> </w:t>
      </w:r>
      <w:r w:rsidRPr="006F4305">
        <w:rPr>
          <w:rFonts w:ascii="Times New Roman" w:eastAsia="Arial" w:hAnsi="Times New Roman" w:cs="Times New Roman"/>
          <w:bCs/>
          <w:sz w:val="28"/>
          <w:szCs w:val="28"/>
          <w:lang w:eastAsia="ru-RU"/>
        </w:rPr>
        <w:t xml:space="preserve"> </w:t>
      </w:r>
    </w:p>
    <w:p w14:paraId="48847DA5"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p>
    <w:p w14:paraId="1DD4F5F7" w14:textId="77777777" w:rsidR="006F4305" w:rsidRPr="006F4305" w:rsidRDefault="006F4305" w:rsidP="006F4305">
      <w:pPr>
        <w:spacing w:after="200" w:line="240"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создание 2-х модельных муниципальных библиотек (г. Махачкала, </w:t>
      </w:r>
      <w:r w:rsidRPr="006F4305">
        <w:rPr>
          <w:rFonts w:ascii="Times New Roman" w:eastAsia="Calibri" w:hAnsi="Times New Roman" w:cs="Times New Roman"/>
          <w:sz w:val="28"/>
          <w:szCs w:val="28"/>
          <w:lang w:eastAsia="ru-RU"/>
        </w:rPr>
        <w:br/>
        <w:t>г. Каспийск) – 15,0 млн рублей;</w:t>
      </w:r>
    </w:p>
    <w:p w14:paraId="0DECC21A" w14:textId="77777777" w:rsidR="006F4305" w:rsidRPr="006F4305" w:rsidRDefault="006F4305" w:rsidP="006F4305">
      <w:pPr>
        <w:spacing w:after="0" w:line="240" w:lineRule="auto"/>
        <w:ind w:firstLine="709"/>
        <w:jc w:val="both"/>
        <w:rPr>
          <w:rFonts w:ascii="Times New Roman" w:eastAsia="Calibri" w:hAnsi="Times New Roman" w:cs="Times New Roman"/>
          <w:color w:val="FF0000"/>
          <w:sz w:val="28"/>
          <w:szCs w:val="28"/>
          <w:lang w:eastAsia="ru-RU"/>
        </w:rPr>
      </w:pPr>
      <w:r w:rsidRPr="006F4305">
        <w:rPr>
          <w:rFonts w:ascii="Times New Roman" w:eastAsia="Calibri" w:hAnsi="Times New Roman" w:cs="Times New Roman"/>
          <w:sz w:val="28"/>
          <w:szCs w:val="28"/>
          <w:lang w:eastAsia="ru-RU"/>
        </w:rPr>
        <w:t>- капитальный ремонт 3 детских школ искусств (МБУ ДО ДШИ № 3</w:t>
      </w:r>
      <w:r w:rsidRPr="006F4305">
        <w:rPr>
          <w:rFonts w:ascii="Times New Roman" w:eastAsia="Calibri" w:hAnsi="Times New Roman" w:cs="Times New Roman"/>
          <w:sz w:val="28"/>
          <w:szCs w:val="28"/>
          <w:lang w:eastAsia="ru-RU"/>
        </w:rPr>
        <w:br/>
        <w:t xml:space="preserve"> им. А. Цурмилова (г. Махачкала), МБОУ ДО ДШИ №1 (г. Дагестанские Огни), МКУ ДО ДШИ Хивского района – 62,1 млн рублей;</w:t>
      </w:r>
    </w:p>
    <w:p w14:paraId="4EDF09DB"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lastRenderedPageBreak/>
        <w:t xml:space="preserve">- строительство 4 домов культуры (с. Зидьян-Казмаляр Дербентского района, с. Сагаси-Дейбук Каякентского района, с. Губден Карабудахкентского района, с. Кунбатар Ногайского района) – 116,9 млн рублей; </w:t>
      </w:r>
    </w:p>
    <w:p w14:paraId="5D89E90E"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капитальный ремонт 7 домов культуры (с. Салта, </w:t>
      </w:r>
      <w:r w:rsidRPr="006F4305">
        <w:rPr>
          <w:rFonts w:ascii="Times New Roman" w:eastAsia="Calibri" w:hAnsi="Times New Roman" w:cs="Times New Roman"/>
          <w:sz w:val="28"/>
          <w:szCs w:val="28"/>
          <w:lang w:val="en-US" w:eastAsia="ru-RU"/>
        </w:rPr>
        <w:t>c</w:t>
      </w:r>
      <w:r w:rsidRPr="006F4305">
        <w:rPr>
          <w:rFonts w:ascii="Times New Roman" w:eastAsia="Calibri" w:hAnsi="Times New Roman" w:cs="Times New Roman"/>
          <w:sz w:val="28"/>
          <w:szCs w:val="28"/>
          <w:lang w:eastAsia="ru-RU"/>
        </w:rPr>
        <w:t xml:space="preserve">.Мегеб Гунибского района, с. Урари Дахадаевского района, с. Советское Магарамкентского района, с. Тпиг Агульского района, с. Н. Инхо Гумбетовского района, </w:t>
      </w:r>
      <w:r w:rsidRPr="006F4305">
        <w:rPr>
          <w:rFonts w:ascii="Times New Roman" w:eastAsia="Calibri" w:hAnsi="Times New Roman" w:cs="Times New Roman"/>
          <w:sz w:val="28"/>
          <w:szCs w:val="28"/>
          <w:lang w:eastAsia="ru-RU"/>
        </w:rPr>
        <w:br/>
        <w:t>с. Юхари-Ярак Хивского района) – 75,5 млн рублей;</w:t>
      </w:r>
    </w:p>
    <w:p w14:paraId="0EBE9767" w14:textId="77777777" w:rsidR="006F4305" w:rsidRPr="006F4305" w:rsidRDefault="006F4305" w:rsidP="006F4305">
      <w:pPr>
        <w:spacing w:after="200" w:line="240" w:lineRule="auto"/>
        <w:ind w:firstLine="709"/>
        <w:contextualSpacing/>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sz w:val="28"/>
          <w:szCs w:val="28"/>
          <w:lang w:eastAsia="ru-RU"/>
        </w:rPr>
        <w:t xml:space="preserve">- благоустройство прилегающей территории, подключение к инженерным сетям «Дом культуры в с. Губден Карабудахкентского района» – 7,2 млн рублей, «Дом культуры в с. Зидьян-Казмаляр Дербентского района» – 9,3 млн рублей;  </w:t>
      </w:r>
    </w:p>
    <w:p w14:paraId="40C311AD" w14:textId="77777777" w:rsidR="006F4305" w:rsidRPr="006F4305" w:rsidRDefault="006F4305" w:rsidP="006F4305">
      <w:pPr>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строительство Дома танца ансамбля «Лезгинка» в г. Махачкала Республики Дагестан – 40,8 млн рублей (завершение объекта в 2022 году), техническая готовность объекта – 33,3 %;</w:t>
      </w:r>
    </w:p>
    <w:p w14:paraId="1689E9B9"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строительство Центра культурного развития в городе Кизляр – </w:t>
      </w:r>
      <w:r w:rsidRPr="006F4305">
        <w:rPr>
          <w:rFonts w:ascii="Times New Roman" w:eastAsia="Calibri" w:hAnsi="Times New Roman" w:cs="Times New Roman"/>
          <w:bCs/>
          <w:sz w:val="28"/>
          <w:szCs w:val="28"/>
          <w:lang w:eastAsia="ru-RU"/>
        </w:rPr>
        <w:br/>
        <w:t>57,9 млн рублей, готовность объекта (завершение в 2022 году) - 3 %.</w:t>
      </w:r>
    </w:p>
    <w:p w14:paraId="43D829CF"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По состоянию на 1 января 2022 года фактически освоено </w:t>
      </w:r>
      <w:r w:rsidRPr="006F4305">
        <w:rPr>
          <w:rFonts w:ascii="Times New Roman" w:eastAsia="Calibri" w:hAnsi="Times New Roman" w:cs="Times New Roman"/>
          <w:bCs/>
          <w:sz w:val="28"/>
          <w:szCs w:val="28"/>
          <w:lang w:eastAsia="ru-RU"/>
        </w:rPr>
        <w:br/>
        <w:t>385,0 млн рублей, или 88 % от объема финансирования (437,76 млн рублей).</w:t>
      </w:r>
    </w:p>
    <w:p w14:paraId="56C8CE9A"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Из 16 объектов, запланированных построить и капитально отремонтировать в 2021 году по 14 объектам уровень технической готовности составил 100 %.  </w:t>
      </w:r>
    </w:p>
    <w:p w14:paraId="70AAD311" w14:textId="77777777" w:rsidR="006F4305" w:rsidRPr="006F4305" w:rsidRDefault="006F4305" w:rsidP="006F4305">
      <w:pPr>
        <w:spacing w:after="0" w:line="240"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Строительная готовность объекта «</w:t>
      </w:r>
      <w:r w:rsidRPr="006F4305">
        <w:rPr>
          <w:rFonts w:ascii="Times New Roman" w:eastAsia="Times New Roman" w:hAnsi="Times New Roman" w:cs="Times New Roman"/>
          <w:sz w:val="28"/>
          <w:szCs w:val="28"/>
          <w:lang w:eastAsia="ru-RU"/>
        </w:rPr>
        <w:t xml:space="preserve">Центр культурного развития в городе Кизляр» </w:t>
      </w:r>
      <w:r w:rsidRPr="006F4305">
        <w:rPr>
          <w:rFonts w:ascii="Times New Roman" w:eastAsia="Calibri" w:hAnsi="Times New Roman" w:cs="Times New Roman"/>
          <w:bCs/>
          <w:sz w:val="28"/>
          <w:szCs w:val="28"/>
          <w:lang w:eastAsia="ru-RU"/>
        </w:rPr>
        <w:t xml:space="preserve">к концу 2021 года должна была составить 36 % </w:t>
      </w:r>
      <w:r w:rsidRPr="006F4305">
        <w:rPr>
          <w:rFonts w:ascii="Times New Roman" w:eastAsia="Times New Roman" w:hAnsi="Times New Roman" w:cs="Times New Roman"/>
          <w:sz w:val="28"/>
          <w:szCs w:val="28"/>
          <w:lang w:eastAsia="ru-RU"/>
        </w:rPr>
        <w:t xml:space="preserve">(строительный цикл </w:t>
      </w:r>
      <w:r w:rsidRPr="006F4305">
        <w:rPr>
          <w:rFonts w:ascii="Times New Roman" w:eastAsia="Times New Roman" w:hAnsi="Times New Roman" w:cs="Times New Roman"/>
          <w:sz w:val="28"/>
          <w:szCs w:val="28"/>
          <w:lang w:eastAsia="ru-RU"/>
        </w:rPr>
        <w:br/>
        <w:t xml:space="preserve">2 года, с финансированием на </w:t>
      </w:r>
      <w:r w:rsidRPr="006F4305">
        <w:rPr>
          <w:rFonts w:ascii="Times New Roman" w:eastAsia="Calibri" w:hAnsi="Times New Roman" w:cs="Times New Roman"/>
          <w:sz w:val="28"/>
          <w:szCs w:val="28"/>
          <w:lang w:eastAsia="ru-RU"/>
        </w:rPr>
        <w:t>2021 год – 57,9 млн рублей)</w:t>
      </w:r>
      <w:r w:rsidRPr="006F4305">
        <w:rPr>
          <w:rFonts w:ascii="Times New Roman" w:eastAsia="Calibri" w:hAnsi="Times New Roman" w:cs="Times New Roman"/>
          <w:bCs/>
          <w:sz w:val="28"/>
          <w:szCs w:val="28"/>
          <w:lang w:eastAsia="ru-RU"/>
        </w:rPr>
        <w:t>, фактически достигнуто 3 %. Освоено 4,3 млн рублей, или 7,4 % от общего объема годовых назначений (57,9 млн рублей). Неиспользованный (неосвоенный) остаток составил 53,6 млн рублей, или 92,6 % от объема годовых назначений.</w:t>
      </w:r>
    </w:p>
    <w:p w14:paraId="64702D4F"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Основная причина невыполнения планового объема строительства обусловлена необходимостью проведения пересчета проектной документации по объекту в связи ростом цен на строительные ресурсы (</w:t>
      </w:r>
      <w:r w:rsidRPr="006F4305">
        <w:rPr>
          <w:rFonts w:ascii="Times New Roman" w:eastAsia="Calibri" w:hAnsi="Times New Roman" w:cs="Times New Roman"/>
          <w:sz w:val="28"/>
          <w:szCs w:val="28"/>
        </w:rPr>
        <w:t xml:space="preserve">постановление Правительства Российской Федерации от 9 августа 2021 года № 1315 </w:t>
      </w:r>
      <w:r w:rsidRPr="006F4305">
        <w:rPr>
          <w:rFonts w:ascii="Times New Roman" w:eastAsia="Calibri" w:hAnsi="Times New Roman" w:cs="Times New Roman"/>
          <w:sz w:val="28"/>
          <w:szCs w:val="28"/>
        </w:rPr>
        <w:br/>
        <w:t xml:space="preserve">«О внесении изменений в некоторые акты Правительства Российской Федерации»). </w:t>
      </w:r>
      <w:r w:rsidRPr="006F4305">
        <w:rPr>
          <w:rFonts w:ascii="Times New Roman" w:eastAsia="Times New Roman" w:hAnsi="Times New Roman" w:cs="Times New Roman"/>
          <w:sz w:val="28"/>
          <w:szCs w:val="28"/>
          <w:lang w:eastAsia="ru-RU"/>
        </w:rPr>
        <w:t xml:space="preserve">По результатам перерасчета сметной документации определена потребность в дополнительных средствах на строительно-монтажные работы в сумме 41,58 млн рублей по расходам, предусмотренным в 2021 году.  </w:t>
      </w:r>
    </w:p>
    <w:p w14:paraId="3E870C89"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Запланированные на 2021 год 2 целевых показателя регионального проекта выполнены в полном объеме.</w:t>
      </w:r>
    </w:p>
    <w:p w14:paraId="5DF8BFA1"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4"/>
          <w:lang w:eastAsia="ru-RU"/>
        </w:rPr>
      </w:pPr>
      <w:r w:rsidRPr="00B975E1">
        <w:rPr>
          <w:rFonts w:ascii="Times New Roman" w:eastAsia="Times New Roman" w:hAnsi="Times New Roman" w:cs="Times New Roman"/>
          <w:b/>
          <w:bCs/>
          <w:iCs/>
          <w:color w:val="002060"/>
          <w:sz w:val="28"/>
          <w:szCs w:val="24"/>
          <w:lang w:eastAsia="ru-RU"/>
        </w:rPr>
        <w:t xml:space="preserve">2) Региональный проект </w:t>
      </w:r>
      <w:r w:rsidRPr="00B975E1">
        <w:rPr>
          <w:rFonts w:ascii="Times New Roman" w:eastAsia="Calibri" w:hAnsi="Times New Roman" w:cs="Times New Roman"/>
          <w:b/>
          <w:bCs/>
          <w:iCs/>
          <w:color w:val="002060"/>
          <w:sz w:val="28"/>
          <w:szCs w:val="28"/>
          <w:shd w:val="clear" w:color="auto" w:fill="FFFFFF"/>
          <w:lang w:eastAsia="ar-SA"/>
        </w:rPr>
        <w:t>«Творческие люди»</w:t>
      </w:r>
      <w:r w:rsidRPr="00B975E1">
        <w:rPr>
          <w:rFonts w:ascii="Times New Roman" w:eastAsia="Calibri" w:hAnsi="Times New Roman" w:cs="Times New Roman"/>
          <w:b/>
          <w:bCs/>
          <w:iCs/>
          <w:color w:val="002060"/>
          <w:sz w:val="28"/>
          <w:szCs w:val="28"/>
          <w:lang w:eastAsia="ru-RU"/>
        </w:rPr>
        <w:t xml:space="preserve"> – 29,5 млн рублей</w:t>
      </w:r>
      <w:r w:rsidRPr="006F4305">
        <w:rPr>
          <w:rFonts w:ascii="Times New Roman" w:eastAsia="Calibri" w:hAnsi="Times New Roman" w:cs="Times New Roman"/>
          <w:b/>
          <w:iCs/>
          <w:sz w:val="28"/>
          <w:szCs w:val="28"/>
          <w:lang w:eastAsia="ru-RU"/>
        </w:rPr>
        <w:t>,</w:t>
      </w:r>
      <w:r w:rsidRPr="006F4305">
        <w:rPr>
          <w:rFonts w:ascii="Times New Roman" w:eastAsia="Calibri" w:hAnsi="Times New Roman" w:cs="Times New Roman"/>
          <w:iCs/>
          <w:sz w:val="28"/>
          <w:szCs w:val="28"/>
          <w:lang w:eastAsia="ru-RU"/>
        </w:rPr>
        <w:t xml:space="preserve"> или </w:t>
      </w:r>
      <w:r w:rsidRPr="006F4305">
        <w:rPr>
          <w:rFonts w:ascii="Times New Roman" w:eastAsia="Calibri" w:hAnsi="Times New Roman" w:cs="Times New Roman"/>
          <w:iCs/>
          <w:sz w:val="28"/>
          <w:szCs w:val="28"/>
          <w:lang w:eastAsia="ru-RU"/>
        </w:rPr>
        <w:br/>
        <w:t>100 % от годовых назначений.</w:t>
      </w:r>
    </w:p>
    <w:p w14:paraId="2ADC77DB"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p>
    <w:p w14:paraId="66EEC367"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Calibri" w:hAnsi="Times New Roman" w:cs="Times New Roman"/>
          <w:sz w:val="28"/>
          <w:szCs w:val="28"/>
          <w:lang w:eastAsia="ru-RU"/>
        </w:rPr>
        <w:t xml:space="preserve"> </w:t>
      </w:r>
      <w:r w:rsidRPr="006F4305">
        <w:rPr>
          <w:rFonts w:ascii="Times New Roman" w:eastAsia="Times New Roman" w:hAnsi="Times New Roman" w:cs="Times New Roman"/>
          <w:bCs/>
          <w:sz w:val="28"/>
          <w:szCs w:val="28"/>
          <w:lang w:eastAsia="ru-RU"/>
        </w:rPr>
        <w:t>- III Республиканский форум «Волонтеры культуры» - 0,43 млн рублей;</w:t>
      </w:r>
    </w:p>
    <w:p w14:paraId="70CB451E"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t>- культурно-познавательные программы для школьников – 0,25 млн рублей;</w:t>
      </w:r>
    </w:p>
    <w:p w14:paraId="41279605"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lastRenderedPageBreak/>
        <w:t>- фестиваль любительских творческих коллективов «Голоса России», посвященный 100-летию со дня образования ДАССР – 0,35 млн рублей;</w:t>
      </w:r>
    </w:p>
    <w:p w14:paraId="26B31D0D"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t>- творческий фестиваль для детей и молодежи – 0,35 млн рублей;</w:t>
      </w:r>
    </w:p>
    <w:p w14:paraId="406E5064"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t>- Международный фестиваль фольклора и традиционной культуры «Горцы», республиканский праздник традиционной культуры «Дербент – перекресток цивилизаций» - 6,55 млн рублей;</w:t>
      </w:r>
    </w:p>
    <w:p w14:paraId="630EEFE8"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t>- фестиваль «Порт-Петровские Ассамблеи», Международный фестиваль национальных театров, Региональный фестиваль духовых оркестров «Дагестанские фанфары» – 12,5 млн рублей;</w:t>
      </w:r>
    </w:p>
    <w:p w14:paraId="4F16807B"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t xml:space="preserve">- 18 выставочных проектов, ведущих федеральных и региональных музеев – 4,7 млн рублей.  </w:t>
      </w:r>
    </w:p>
    <w:p w14:paraId="2D4BC96C" w14:textId="77777777" w:rsidR="006F4305" w:rsidRPr="006F4305" w:rsidRDefault="006F4305" w:rsidP="006F4305">
      <w:pPr>
        <w:spacing w:after="0" w:line="240" w:lineRule="auto"/>
        <w:ind w:firstLine="709"/>
        <w:contextualSpacing/>
        <w:jc w:val="both"/>
        <w:rPr>
          <w:rFonts w:ascii="Times New Roman" w:eastAsia="Times New Roman" w:hAnsi="Times New Roman" w:cs="Times New Roman"/>
          <w:bCs/>
          <w:sz w:val="28"/>
          <w:szCs w:val="28"/>
          <w:lang w:eastAsia="ru-RU"/>
        </w:rPr>
      </w:pPr>
      <w:r w:rsidRPr="006F4305">
        <w:rPr>
          <w:rFonts w:ascii="Times New Roman" w:eastAsia="Times New Roman" w:hAnsi="Times New Roman" w:cs="Times New Roman"/>
          <w:bCs/>
          <w:sz w:val="28"/>
          <w:szCs w:val="28"/>
          <w:lang w:eastAsia="ru-RU"/>
        </w:rPr>
        <w:t>В рамках регионального проекта оказана поддержка муниципальных учреждений культуры (29 выплат на общую сумму 2,98 млн рублей) и лучших работников муниципальных учреждений культуры (26 выплат на общую сумму 1,33 млн рублей).</w:t>
      </w:r>
    </w:p>
    <w:p w14:paraId="4F7B0CCD"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По состоянию на 1 января 2022 года освоено 29,5 млн рублей, или 100 % от объема финансирования.</w:t>
      </w:r>
    </w:p>
    <w:p w14:paraId="3EA6E2C6"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Запланированные на 2021 год 3 целевых показателя регионального проекта выполнены в полном объеме.</w:t>
      </w:r>
    </w:p>
    <w:p w14:paraId="235698A7"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4"/>
          <w:lang w:eastAsia="ru-RU"/>
        </w:rPr>
      </w:pPr>
      <w:r w:rsidRPr="00B975E1">
        <w:rPr>
          <w:rFonts w:ascii="Times New Roman" w:eastAsia="Times New Roman" w:hAnsi="Times New Roman" w:cs="Times New Roman"/>
          <w:b/>
          <w:bCs/>
          <w:iCs/>
          <w:color w:val="002060"/>
          <w:sz w:val="28"/>
          <w:szCs w:val="24"/>
          <w:lang w:eastAsia="ru-RU"/>
        </w:rPr>
        <w:t xml:space="preserve">3) Региональный проект </w:t>
      </w:r>
      <w:r w:rsidRPr="00B975E1">
        <w:rPr>
          <w:rFonts w:ascii="Times New Roman" w:eastAsia="Calibri" w:hAnsi="Times New Roman" w:cs="Times New Roman"/>
          <w:b/>
          <w:bCs/>
          <w:iCs/>
          <w:color w:val="002060"/>
          <w:sz w:val="28"/>
          <w:szCs w:val="28"/>
          <w:shd w:val="clear" w:color="auto" w:fill="FFFFFF"/>
          <w:lang w:eastAsia="ar-SA"/>
        </w:rPr>
        <w:t>«Цифровая культура»</w:t>
      </w:r>
      <w:r w:rsidRPr="00B975E1">
        <w:rPr>
          <w:rFonts w:ascii="Times New Roman" w:eastAsia="Calibri" w:hAnsi="Times New Roman" w:cs="Times New Roman"/>
          <w:b/>
          <w:bCs/>
          <w:iCs/>
          <w:color w:val="002060"/>
          <w:sz w:val="28"/>
          <w:szCs w:val="28"/>
          <w:lang w:eastAsia="ru-RU"/>
        </w:rPr>
        <w:t xml:space="preserve"> – 2,2 млн рублей</w:t>
      </w:r>
      <w:r w:rsidRPr="006F4305">
        <w:rPr>
          <w:rFonts w:ascii="Times New Roman" w:eastAsia="Calibri" w:hAnsi="Times New Roman" w:cs="Times New Roman"/>
          <w:bCs/>
          <w:iCs/>
          <w:sz w:val="28"/>
          <w:szCs w:val="28"/>
          <w:lang w:eastAsia="ru-RU"/>
        </w:rPr>
        <w:t>,</w:t>
      </w:r>
      <w:r w:rsidRPr="006F4305">
        <w:rPr>
          <w:rFonts w:ascii="Times New Roman" w:eastAsia="Calibri" w:hAnsi="Times New Roman" w:cs="Times New Roman"/>
          <w:iCs/>
          <w:sz w:val="28"/>
          <w:szCs w:val="28"/>
          <w:lang w:eastAsia="ru-RU"/>
        </w:rPr>
        <w:t xml:space="preserve"> или 100 % от годовых назначений.</w:t>
      </w:r>
      <w:r w:rsidRPr="006F4305">
        <w:rPr>
          <w:rFonts w:ascii="Times New Roman" w:eastAsia="Times New Roman" w:hAnsi="Times New Roman" w:cs="Times New Roman"/>
          <w:sz w:val="28"/>
          <w:szCs w:val="24"/>
          <w:lang w:eastAsia="ru-RU"/>
        </w:rPr>
        <w:t xml:space="preserve"> </w:t>
      </w:r>
    </w:p>
    <w:p w14:paraId="4C2B0686"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По состоянию на 1 января 2022 года освоено 2,2 млн рублей, или 100 % от объема финансирования. </w:t>
      </w:r>
    </w:p>
    <w:p w14:paraId="29A623F0" w14:textId="77777777" w:rsidR="006F4305" w:rsidRPr="006F4305" w:rsidRDefault="006F4305" w:rsidP="006F4305">
      <w:pPr>
        <w:tabs>
          <w:tab w:val="left" w:pos="851"/>
        </w:tabs>
        <w:autoSpaceDE w:val="0"/>
        <w:autoSpaceDN w:val="0"/>
        <w:adjustRightInd w:val="0"/>
        <w:spacing w:line="240" w:lineRule="auto"/>
        <w:ind w:firstLine="709"/>
        <w:contextualSpacing/>
        <w:jc w:val="both"/>
        <w:rPr>
          <w:rFonts w:ascii="Times New Roman" w:eastAsia="Times New Roman" w:hAnsi="Times New Roman" w:cs="Times New Roman"/>
          <w:color w:val="000000"/>
          <w:sz w:val="28"/>
          <w:szCs w:val="28"/>
          <w:lang w:eastAsia="ru-RU"/>
        </w:rPr>
      </w:pP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на создание мультимедийного гида по экспозициям и выставочным проектам </w:t>
      </w:r>
      <w:r w:rsidRPr="006F4305">
        <w:rPr>
          <w:rFonts w:ascii="Times New Roman" w:eastAsia="Calibri" w:hAnsi="Times New Roman" w:cs="Calibri"/>
          <w:color w:val="000000"/>
          <w:sz w:val="28"/>
          <w:szCs w:val="28"/>
          <w:shd w:val="clear" w:color="auto" w:fill="FFFFFF"/>
          <w:lang w:eastAsia="ru-RU"/>
        </w:rPr>
        <w:t xml:space="preserve">с использованием технологии дополненной реальности на базе </w:t>
      </w:r>
      <w:r w:rsidRPr="006F4305">
        <w:rPr>
          <w:rFonts w:ascii="Times New Roman" w:eastAsia="Times New Roman" w:hAnsi="Times New Roman" w:cs="Times New Roman"/>
          <w:color w:val="000000"/>
          <w:sz w:val="28"/>
          <w:szCs w:val="28"/>
          <w:lang w:eastAsia="ru-RU"/>
        </w:rPr>
        <w:t xml:space="preserve">ГБУ РД «Национальный музей Республики Дагестан им. А. Тахо-Годи». Работы завершены. </w:t>
      </w:r>
    </w:p>
    <w:p w14:paraId="65BD7F2F" w14:textId="77777777" w:rsidR="006F4305" w:rsidRPr="006F4305" w:rsidRDefault="006F4305" w:rsidP="006F4305">
      <w:pPr>
        <w:spacing w:after="0" w:line="240"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Запланированный на 2021 год целевой показатель регионального проекта</w:t>
      </w:r>
      <w:r w:rsidRPr="006F4305">
        <w:t xml:space="preserve"> «</w:t>
      </w:r>
      <w:r w:rsidRPr="006F4305">
        <w:rPr>
          <w:rFonts w:ascii="Times New Roman" w:eastAsia="Times New Roman" w:hAnsi="Times New Roman" w:cs="Times New Roman"/>
          <w:sz w:val="28"/>
          <w:szCs w:val="28"/>
          <w:lang w:eastAsia="ru-RU"/>
        </w:rPr>
        <w:t>Количество выставочных проектов, снабженных цифровыми гидами в формате дополненной реальности (нарастающим итогом) выполнен в полном объеме (план – 3 ед., факт – 3 ед.).</w:t>
      </w:r>
    </w:p>
    <w:p w14:paraId="31C5157A" w14:textId="77777777" w:rsidR="006F4305" w:rsidRPr="006F4305" w:rsidRDefault="006F4305" w:rsidP="006F4305">
      <w:pPr>
        <w:widowControl w:val="0"/>
        <w:tabs>
          <w:tab w:val="left" w:pos="7938"/>
          <w:tab w:val="left" w:pos="9540"/>
        </w:tabs>
        <w:spacing w:after="0" w:line="240" w:lineRule="auto"/>
        <w:ind w:firstLine="709"/>
        <w:jc w:val="both"/>
        <w:rPr>
          <w:rFonts w:ascii="Times New Roman" w:eastAsia="Times New Roman" w:hAnsi="Times New Roman" w:cs="Times New Roman"/>
          <w:b/>
          <w:sz w:val="28"/>
          <w:szCs w:val="28"/>
          <w:lang w:eastAsia="ru-RU"/>
        </w:rPr>
      </w:pPr>
    </w:p>
    <w:p w14:paraId="70D5B645" w14:textId="77777777" w:rsidR="006F4305" w:rsidRPr="00B975E1" w:rsidRDefault="006F4305" w:rsidP="0017357D">
      <w:pPr>
        <w:widowControl w:val="0"/>
        <w:tabs>
          <w:tab w:val="left" w:pos="7938"/>
          <w:tab w:val="left" w:pos="9540"/>
        </w:tabs>
        <w:spacing w:after="0" w:line="264" w:lineRule="auto"/>
        <w:ind w:firstLine="709"/>
        <w:jc w:val="both"/>
        <w:rPr>
          <w:rFonts w:ascii="Times New Roman" w:eastAsia="Calibri" w:hAnsi="Times New Roman" w:cs="Times New Roman"/>
          <w:b/>
          <w:color w:val="002060"/>
          <w:sz w:val="28"/>
          <w:szCs w:val="28"/>
          <w:lang w:eastAsia="ru-RU"/>
        </w:rPr>
      </w:pPr>
      <w:r w:rsidRPr="00B975E1">
        <w:rPr>
          <w:rFonts w:ascii="Times New Roman" w:eastAsia="Times New Roman" w:hAnsi="Times New Roman" w:cs="Times New Roman"/>
          <w:b/>
          <w:color w:val="002060"/>
          <w:sz w:val="28"/>
          <w:szCs w:val="28"/>
          <w:lang w:eastAsia="ru-RU"/>
        </w:rPr>
        <w:t>6.5.</w:t>
      </w:r>
      <w:r w:rsidRPr="00B975E1">
        <w:rPr>
          <w:rFonts w:ascii="Times New Roman" w:eastAsia="Calibri" w:hAnsi="Times New Roman" w:cs="Times New Roman"/>
          <w:b/>
          <w:color w:val="002060"/>
          <w:sz w:val="28"/>
          <w:szCs w:val="28"/>
          <w:lang w:eastAsia="ru-RU"/>
        </w:rPr>
        <w:t>9. Национальный проект «</w:t>
      </w:r>
      <w:bookmarkStart w:id="47" w:name="_Hlk63094009"/>
      <w:r w:rsidRPr="00B975E1">
        <w:rPr>
          <w:rFonts w:ascii="Times New Roman" w:eastAsia="Calibri" w:hAnsi="Times New Roman" w:cs="Times New Roman"/>
          <w:b/>
          <w:color w:val="002060"/>
          <w:sz w:val="28"/>
          <w:szCs w:val="28"/>
          <w:lang w:eastAsia="ru-RU"/>
        </w:rPr>
        <w:t xml:space="preserve">Малое и среднее </w:t>
      </w:r>
      <w:r w:rsidRPr="00B975E1">
        <w:rPr>
          <w:rFonts w:ascii="Times New Roman" w:eastAsia="Calibri" w:hAnsi="Times New Roman" w:cs="Times New Roman"/>
          <w:b/>
          <w:color w:val="002060"/>
          <w:spacing w:val="-6"/>
          <w:sz w:val="28"/>
          <w:szCs w:val="28"/>
          <w:lang w:eastAsia="ru-RU"/>
        </w:rPr>
        <w:t>предпринимательство</w:t>
      </w:r>
      <w:r w:rsidRPr="00B975E1">
        <w:rPr>
          <w:rFonts w:ascii="Times New Roman" w:eastAsia="Calibri" w:hAnsi="Times New Roman" w:cs="Times New Roman"/>
          <w:b/>
          <w:color w:val="002060"/>
          <w:sz w:val="28"/>
          <w:szCs w:val="28"/>
          <w:lang w:eastAsia="ru-RU"/>
        </w:rPr>
        <w:t xml:space="preserve"> и поддержка индивидуальной предпринимательской инициативы</w:t>
      </w:r>
      <w:bookmarkEnd w:id="47"/>
      <w:r w:rsidRPr="00B975E1">
        <w:rPr>
          <w:rFonts w:ascii="Times New Roman" w:eastAsia="Calibri" w:hAnsi="Times New Roman" w:cs="Times New Roman"/>
          <w:b/>
          <w:color w:val="002060"/>
          <w:sz w:val="28"/>
          <w:szCs w:val="28"/>
          <w:lang w:eastAsia="ru-RU"/>
        </w:rPr>
        <w:t>».</w:t>
      </w:r>
    </w:p>
    <w:p w14:paraId="51BE63CF" w14:textId="77777777" w:rsidR="006F4305" w:rsidRPr="006F4305" w:rsidRDefault="006F4305" w:rsidP="0017357D">
      <w:pPr>
        <w:widowControl w:val="0"/>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В 2021 году на реализацию национального проекта «</w:t>
      </w:r>
      <w:r w:rsidRPr="006F4305">
        <w:rPr>
          <w:rFonts w:ascii="Times New Roman" w:eastAsia="Calibri" w:hAnsi="Times New Roman" w:cs="Times New Roman"/>
          <w:sz w:val="28"/>
          <w:szCs w:val="28"/>
          <w:lang w:eastAsia="ru-RU"/>
        </w:rPr>
        <w:t>Малое и среднее предпринимательство и поддержка индивидуальной предпринимательской инициативы</w:t>
      </w:r>
      <w:r w:rsidRPr="006F4305">
        <w:rPr>
          <w:rFonts w:ascii="Times New Roman" w:eastAsia="Times New Roman" w:hAnsi="Times New Roman" w:cs="Times New Roman"/>
          <w:sz w:val="28"/>
          <w:szCs w:val="24"/>
          <w:lang w:eastAsia="ru-RU"/>
        </w:rPr>
        <w:t xml:space="preserve">» профинансированы расходы в сумме 215,7 млн рублей, или </w:t>
      </w:r>
      <w:r w:rsidRPr="006F4305">
        <w:rPr>
          <w:rFonts w:ascii="Times New Roman" w:eastAsia="Times New Roman" w:hAnsi="Times New Roman" w:cs="Times New Roman"/>
          <w:sz w:val="28"/>
          <w:szCs w:val="24"/>
          <w:lang w:eastAsia="ru-RU"/>
        </w:rPr>
        <w:br/>
        <w:t>100 % от годовых назначений</w:t>
      </w:r>
      <w:r w:rsidRPr="006F4305">
        <w:rPr>
          <w:rFonts w:ascii="Times New Roman" w:eastAsia="Calibri" w:hAnsi="Times New Roman" w:cs="Times New Roman"/>
          <w:sz w:val="28"/>
          <w:szCs w:val="28"/>
          <w:lang w:eastAsia="ru-RU"/>
        </w:rPr>
        <w:t xml:space="preserve"> (за счет федерального бюджета – 213,6 млн рублей и республиканского бюджета Республики Дагестан – 2,2 млн рублей).</w:t>
      </w:r>
    </w:p>
    <w:p w14:paraId="1007E806" w14:textId="77777777" w:rsidR="006F4305" w:rsidRPr="006F4305" w:rsidRDefault="006F4305" w:rsidP="0017357D">
      <w:pPr>
        <w:widowControl w:val="0"/>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На 1 января 2022 года освоение выделенных средств составило </w:t>
      </w:r>
      <w:r w:rsidRPr="006F4305">
        <w:rPr>
          <w:rFonts w:ascii="Times New Roman" w:eastAsia="Calibri" w:hAnsi="Times New Roman" w:cs="Times New Roman"/>
          <w:sz w:val="28"/>
          <w:szCs w:val="28"/>
          <w:lang w:eastAsia="ru-RU"/>
        </w:rPr>
        <w:br/>
        <w:t xml:space="preserve">215,7 млн рублей, или 100 % от объема финансирования.  </w:t>
      </w:r>
    </w:p>
    <w:p w14:paraId="1A5CF045" w14:textId="77777777" w:rsidR="006F4305" w:rsidRPr="006F4305" w:rsidRDefault="006F4305" w:rsidP="0017357D">
      <w:pPr>
        <w:widowControl w:val="0"/>
        <w:spacing w:after="0" w:line="264" w:lineRule="auto"/>
        <w:ind w:firstLine="709"/>
        <w:jc w:val="both"/>
        <w:rPr>
          <w:rFonts w:ascii="Times New Roman" w:eastAsia="Times New Roman" w:hAnsi="Times New Roman" w:cs="Times New Roman"/>
          <w:sz w:val="28"/>
          <w:szCs w:val="24"/>
          <w:lang w:eastAsia="ru-RU"/>
        </w:rPr>
      </w:pPr>
      <w:bookmarkStart w:id="48" w:name="_Hlk63096306"/>
      <w:r w:rsidRPr="006F4305">
        <w:rPr>
          <w:rFonts w:ascii="Times New Roman" w:eastAsia="Calibri" w:hAnsi="Times New Roman" w:cs="Times New Roman"/>
          <w:sz w:val="28"/>
          <w:szCs w:val="28"/>
          <w:lang w:eastAsia="ru-RU"/>
        </w:rPr>
        <w:t xml:space="preserve">В рамках национального проекта бюджетные средства направлены на </w:t>
      </w:r>
      <w:r w:rsidRPr="006F4305">
        <w:rPr>
          <w:rFonts w:ascii="Times New Roman" w:eastAsia="Calibri" w:hAnsi="Times New Roman" w:cs="Times New Roman"/>
          <w:sz w:val="28"/>
          <w:szCs w:val="28"/>
          <w:lang w:eastAsia="ru-RU"/>
        </w:rPr>
        <w:lastRenderedPageBreak/>
        <w:t>реализацию мероприятий 3 региональных проектов</w:t>
      </w:r>
      <w:r w:rsidRPr="006F4305">
        <w:rPr>
          <w:rFonts w:ascii="Times New Roman" w:eastAsia="Times New Roman" w:hAnsi="Times New Roman" w:cs="Times New Roman"/>
          <w:sz w:val="28"/>
          <w:szCs w:val="24"/>
          <w:lang w:eastAsia="ru-RU"/>
        </w:rPr>
        <w:t>:</w:t>
      </w:r>
    </w:p>
    <w:bookmarkEnd w:id="48"/>
    <w:p w14:paraId="7A7A427B"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B975E1">
        <w:rPr>
          <w:rFonts w:ascii="Times New Roman" w:eastAsia="Times New Roman" w:hAnsi="Times New Roman" w:cs="Times New Roman"/>
          <w:b/>
          <w:bCs/>
          <w:iCs/>
          <w:color w:val="002060"/>
          <w:sz w:val="28"/>
          <w:szCs w:val="24"/>
          <w:lang w:eastAsia="ru-RU"/>
        </w:rPr>
        <w:t xml:space="preserve">1) Региональный проект </w:t>
      </w:r>
      <w:r w:rsidRPr="00B975E1">
        <w:rPr>
          <w:rFonts w:ascii="Times New Roman" w:eastAsia="Calibri" w:hAnsi="Times New Roman" w:cs="Times New Roman"/>
          <w:b/>
          <w:bCs/>
          <w:iCs/>
          <w:color w:val="002060"/>
          <w:sz w:val="28"/>
          <w:szCs w:val="28"/>
          <w:lang w:eastAsia="ru-RU"/>
        </w:rPr>
        <w:t>«Поддержка самозанятых» – 9,58 млн рублей</w:t>
      </w:r>
      <w:r w:rsidRPr="006F4305">
        <w:rPr>
          <w:rFonts w:ascii="Times New Roman" w:eastAsia="Calibri" w:hAnsi="Times New Roman" w:cs="Times New Roman"/>
          <w:b/>
          <w:bCs/>
          <w:iCs/>
          <w:sz w:val="28"/>
          <w:szCs w:val="28"/>
          <w:lang w:eastAsia="ru-RU"/>
        </w:rPr>
        <w:t>,</w:t>
      </w:r>
      <w:r w:rsidRPr="006F4305">
        <w:rPr>
          <w:rFonts w:ascii="Times New Roman" w:eastAsia="Calibri" w:hAnsi="Times New Roman" w:cs="Times New Roman"/>
          <w:b/>
          <w:i/>
          <w:iCs/>
          <w:sz w:val="28"/>
          <w:szCs w:val="28"/>
          <w:lang w:eastAsia="ru-RU"/>
        </w:rPr>
        <w:t xml:space="preserve"> </w:t>
      </w:r>
      <w:r w:rsidRPr="006F4305">
        <w:rPr>
          <w:rFonts w:ascii="Times New Roman" w:eastAsia="Calibri" w:hAnsi="Times New Roman" w:cs="Times New Roman"/>
          <w:iCs/>
          <w:sz w:val="28"/>
          <w:szCs w:val="28"/>
          <w:lang w:eastAsia="ru-RU"/>
        </w:rPr>
        <w:t xml:space="preserve">или 100 % от годовых </w:t>
      </w:r>
      <w:r w:rsidRPr="006F4305">
        <w:rPr>
          <w:rFonts w:ascii="Times New Roman" w:eastAsia="Calibri" w:hAnsi="Times New Roman" w:cs="Times New Roman"/>
          <w:sz w:val="28"/>
          <w:szCs w:val="28"/>
          <w:lang w:eastAsia="ru-RU"/>
        </w:rPr>
        <w:t xml:space="preserve">назначений. </w:t>
      </w:r>
    </w:p>
    <w:p w14:paraId="3F556A76" w14:textId="77777777" w:rsidR="006F4305" w:rsidRPr="006F4305" w:rsidRDefault="006F4305" w:rsidP="0017357D">
      <w:pPr>
        <w:spacing w:after="0" w:line="264" w:lineRule="auto"/>
        <w:ind w:firstLine="708"/>
        <w:jc w:val="both"/>
        <w:rPr>
          <w:rFonts w:ascii="Times New Roman" w:eastAsia="Calibri" w:hAnsi="Times New Roman" w:cs="Times New Roman"/>
          <w:bCs/>
          <w:sz w:val="28"/>
          <w:szCs w:val="28"/>
        </w:rPr>
      </w:pPr>
      <w:r w:rsidRPr="006F4305">
        <w:rPr>
          <w:rFonts w:ascii="Times New Roman" w:eastAsia="Calibri" w:hAnsi="Times New Roman" w:cs="Times New Roman"/>
          <w:sz w:val="28"/>
          <w:szCs w:val="28"/>
          <w:lang w:eastAsia="ru-RU"/>
        </w:rPr>
        <w:t>Средства, выделенные по региональному проекту, направлены на</w:t>
      </w:r>
      <w:r w:rsidRPr="006F4305">
        <w:rPr>
          <w:rFonts w:ascii="Times New Roman" w:eastAsia="Calibri" w:hAnsi="Times New Roman" w:cs="Times New Roman"/>
          <w:bCs/>
          <w:sz w:val="28"/>
          <w:szCs w:val="28"/>
        </w:rPr>
        <w:t xml:space="preserve"> реализацию мероприятия «Развитие центров «Мой бизнес». </w:t>
      </w:r>
    </w:p>
    <w:p w14:paraId="4AE1FB6C" w14:textId="77777777" w:rsidR="006F4305" w:rsidRPr="006F4305" w:rsidRDefault="006F4305" w:rsidP="0017357D">
      <w:pPr>
        <w:spacing w:after="4" w:line="264" w:lineRule="auto"/>
        <w:ind w:firstLine="708"/>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В 2021 году Центром «Мой бизнес» зарегистрировано 282 самозанятых граждан, зафиксировавших свой статус и применяющих специальный налоговый режим «Налог на профессиональный доход» (НПД). </w:t>
      </w:r>
    </w:p>
    <w:p w14:paraId="5A772DCF" w14:textId="77777777" w:rsidR="006F4305" w:rsidRPr="006F4305" w:rsidRDefault="006F4305" w:rsidP="0017357D">
      <w:pPr>
        <w:spacing w:after="4" w:line="264" w:lineRule="auto"/>
        <w:ind w:firstLine="708"/>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Общее количество самозанятых граждан в Республике Дагестан составляет </w:t>
      </w:r>
      <w:r w:rsidRPr="006F4305">
        <w:rPr>
          <w:rFonts w:ascii="Times New Roman" w:eastAsia="Times New Roman" w:hAnsi="Times New Roman" w:cs="Times New Roman"/>
          <w:spacing w:val="-4"/>
          <w:sz w:val="28"/>
          <w:szCs w:val="28"/>
          <w:lang w:eastAsia="ru-RU"/>
        </w:rPr>
        <w:t>37 834</w:t>
      </w:r>
      <w:r w:rsidRPr="006F4305">
        <w:rPr>
          <w:rFonts w:ascii="Times New Roman" w:eastAsia="Calibri" w:hAnsi="Times New Roman" w:cs="Times New Roman"/>
          <w:spacing w:val="-4"/>
          <w:sz w:val="28"/>
          <w:szCs w:val="28"/>
          <w:lang w:eastAsia="ru-RU"/>
        </w:rPr>
        <w:t xml:space="preserve"> </w:t>
      </w:r>
      <w:r w:rsidRPr="006F4305">
        <w:rPr>
          <w:rFonts w:ascii="Times New Roman" w:eastAsia="Calibri" w:hAnsi="Times New Roman" w:cs="Times New Roman"/>
          <w:sz w:val="28"/>
          <w:szCs w:val="28"/>
          <w:lang w:eastAsia="ru-RU"/>
        </w:rPr>
        <w:t>человек, что на 215,6 % превышает плановое значение.</w:t>
      </w:r>
    </w:p>
    <w:p w14:paraId="2925344B"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Arial Unicode MS" w:hAnsi="Times New Roman" w:cs="Times New Roman"/>
          <w:bCs/>
          <w:iCs/>
          <w:sz w:val="28"/>
          <w:szCs w:val="28"/>
          <w:lang w:eastAsia="ru-RU"/>
        </w:rPr>
        <w:t>В 2021 году ГАУ РД «Центр поддержки предпринимательства Республики Дагестан»</w:t>
      </w:r>
      <w:r w:rsidRPr="006F4305">
        <w:rPr>
          <w:rFonts w:ascii="Times New Roman" w:eastAsia="Calibri" w:hAnsi="Times New Roman" w:cs="Times New Roman"/>
          <w:sz w:val="28"/>
          <w:szCs w:val="28"/>
          <w:lang w:eastAsia="ru-RU"/>
        </w:rPr>
        <w:t xml:space="preserve"> оказаны следующие услуги для самозанятых граждан:</w:t>
      </w:r>
    </w:p>
    <w:p w14:paraId="1353EFC6" w14:textId="6AA2FBBB" w:rsidR="006F4305" w:rsidRPr="006F4305" w:rsidRDefault="006F4305" w:rsidP="0017357D">
      <w:pPr>
        <w:tabs>
          <w:tab w:val="left" w:pos="993"/>
        </w:tabs>
        <w:suppressAutoHyphens/>
        <w:spacing w:after="0" w:line="264" w:lineRule="auto"/>
        <w:ind w:firstLine="709"/>
        <w:contextualSpacing/>
        <w:jc w:val="both"/>
        <w:rPr>
          <w:rFonts w:ascii="Times New Roman" w:eastAsia="Constantia" w:hAnsi="Times New Roman" w:cs="Times New Roman"/>
          <w:sz w:val="28"/>
          <w:szCs w:val="28"/>
          <w:lang w:eastAsia="ru-RU" w:bidi="en-US"/>
        </w:rPr>
      </w:pPr>
      <w:r w:rsidRPr="006F4305">
        <w:rPr>
          <w:rFonts w:ascii="Times New Roman" w:eastAsia="Constantia" w:hAnsi="Times New Roman" w:cs="Times New Roman"/>
          <w:sz w:val="28"/>
          <w:szCs w:val="28"/>
          <w:lang w:eastAsia="ru-RU" w:bidi="en-US"/>
        </w:rPr>
        <w:t xml:space="preserve">- обеспечено участие 12 самозанятых граждан в выставочно </w:t>
      </w:r>
      <w:r w:rsidR="0017357D">
        <w:rPr>
          <w:rFonts w:ascii="Times New Roman" w:eastAsia="Constantia" w:hAnsi="Times New Roman" w:cs="Times New Roman"/>
          <w:sz w:val="28"/>
          <w:szCs w:val="28"/>
          <w:lang w:eastAsia="ru-RU" w:bidi="en-US"/>
        </w:rPr>
        <w:t xml:space="preserve">- </w:t>
      </w:r>
      <w:r w:rsidRPr="006F4305">
        <w:rPr>
          <w:rFonts w:ascii="Times New Roman" w:eastAsia="Constantia" w:hAnsi="Times New Roman" w:cs="Times New Roman"/>
          <w:sz w:val="28"/>
          <w:szCs w:val="28"/>
          <w:lang w:eastAsia="ru-RU" w:bidi="en-US"/>
        </w:rPr>
        <w:t>ярмарочных мероприятиях;</w:t>
      </w:r>
    </w:p>
    <w:p w14:paraId="16224032" w14:textId="77777777" w:rsidR="006F4305" w:rsidRPr="006F4305" w:rsidRDefault="006F4305" w:rsidP="0017357D">
      <w:pPr>
        <w:tabs>
          <w:tab w:val="left" w:pos="993"/>
        </w:tabs>
        <w:suppressAutoHyphens/>
        <w:spacing w:after="0" w:line="264" w:lineRule="auto"/>
        <w:ind w:firstLine="709"/>
        <w:contextualSpacing/>
        <w:jc w:val="both"/>
        <w:rPr>
          <w:rFonts w:ascii="Times New Roman" w:eastAsia="Constantia" w:hAnsi="Times New Roman" w:cs="Times New Roman"/>
          <w:sz w:val="28"/>
          <w:szCs w:val="28"/>
          <w:lang w:eastAsia="ru-RU" w:bidi="en-US"/>
        </w:rPr>
      </w:pPr>
      <w:r w:rsidRPr="006F4305">
        <w:rPr>
          <w:rFonts w:ascii="Times New Roman" w:eastAsia="Constantia" w:hAnsi="Times New Roman" w:cs="Times New Roman"/>
          <w:sz w:val="28"/>
          <w:szCs w:val="28"/>
          <w:lang w:eastAsia="ru-RU" w:bidi="en-US"/>
        </w:rPr>
        <w:t>- проведены консультации по вопросам самозанятости для самозанятых граждан (300 человек);</w:t>
      </w:r>
    </w:p>
    <w:p w14:paraId="3B0579A8" w14:textId="77777777" w:rsidR="006F4305" w:rsidRPr="006F4305" w:rsidRDefault="006F4305" w:rsidP="0017357D">
      <w:pPr>
        <w:tabs>
          <w:tab w:val="left" w:pos="993"/>
        </w:tabs>
        <w:suppressAutoHyphens/>
        <w:spacing w:after="0" w:line="264" w:lineRule="auto"/>
        <w:ind w:left="708"/>
        <w:contextualSpacing/>
        <w:jc w:val="both"/>
        <w:rPr>
          <w:rFonts w:ascii="Times New Roman" w:eastAsia="Calibri" w:hAnsi="Times New Roman" w:cs="Times New Roman"/>
          <w:bCs/>
          <w:sz w:val="28"/>
          <w:szCs w:val="28"/>
        </w:rPr>
      </w:pPr>
      <w:r w:rsidRPr="006F4305">
        <w:rPr>
          <w:rFonts w:ascii="Times New Roman" w:eastAsia="Constantia" w:hAnsi="Times New Roman" w:cs="Times New Roman"/>
          <w:sz w:val="28"/>
          <w:szCs w:val="28"/>
          <w:lang w:eastAsia="ru-RU" w:bidi="en-US"/>
        </w:rPr>
        <w:t>- проведены мастер-классы для 54 самозанятых граждан.</w:t>
      </w:r>
    </w:p>
    <w:p w14:paraId="5C190469" w14:textId="77777777" w:rsidR="006F4305" w:rsidRPr="006F4305" w:rsidRDefault="006F4305" w:rsidP="0017357D">
      <w:pPr>
        <w:spacing w:after="0" w:line="264"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На 1 января 2022 года освоение выделенных средств составило </w:t>
      </w:r>
      <w:r w:rsidRPr="006F4305">
        <w:rPr>
          <w:rFonts w:ascii="Times New Roman" w:eastAsia="Times New Roman" w:hAnsi="Times New Roman" w:cs="Times New Roman"/>
          <w:sz w:val="28"/>
          <w:szCs w:val="28"/>
          <w:lang w:eastAsia="ru-RU"/>
        </w:rPr>
        <w:br/>
        <w:t xml:space="preserve">9,58 млн рублей, или 100 % от объема финансирования.  </w:t>
      </w:r>
    </w:p>
    <w:p w14:paraId="46CB1CF1" w14:textId="77777777" w:rsidR="006F4305" w:rsidRPr="006F4305" w:rsidRDefault="006F4305" w:rsidP="0017357D">
      <w:pPr>
        <w:spacing w:after="0" w:line="264"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Целевой показатель регионального проекта «Количество самозанятых граждан, зафиксировавших свой статус и применяющих специальный налоговый режим «Налог на профессиональный доход» (НПД), накопленным итогом, возрастающий», выполнен (план – 11,99 тыс. человек, факт – 37,83 тыс. человек).</w:t>
      </w:r>
    </w:p>
    <w:p w14:paraId="7922197F" w14:textId="77777777" w:rsidR="006F4305" w:rsidRPr="006F4305" w:rsidRDefault="006F4305" w:rsidP="0017357D">
      <w:pPr>
        <w:spacing w:after="0" w:line="264"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В то же время не обеспечено выполнение результата в части обеспечения доступа субъектов МСП к предоставляемому на льготных условиях имуществу за счет дополнения общего количества объектов (в том числе неиспользуемых, неэффективно используемых или используемых не по назначению) в перечнях государственного и муниципального</w:t>
      </w:r>
      <w:r w:rsidRPr="006F4305">
        <w:t xml:space="preserve"> </w:t>
      </w:r>
      <w:r w:rsidRPr="006F4305">
        <w:rPr>
          <w:rFonts w:ascii="Times New Roman" w:eastAsia="Times New Roman" w:hAnsi="Times New Roman" w:cs="Times New Roman"/>
          <w:sz w:val="28"/>
          <w:szCs w:val="28"/>
          <w:lang w:eastAsia="ru-RU"/>
        </w:rPr>
        <w:t>имущества, утверждаемых Республикой Дагестан и муниципальными образованиями – 581 объект, план - 750 объектов. Причина необеспечения планового результата является отсутствие у муниципальных образований имущества свободного от прав третьих лиц,</w:t>
      </w:r>
    </w:p>
    <w:p w14:paraId="2C391613" w14:textId="77777777" w:rsidR="006F4305" w:rsidRPr="006F4305" w:rsidRDefault="006F4305" w:rsidP="0017357D">
      <w:pPr>
        <w:widowControl w:val="0"/>
        <w:tabs>
          <w:tab w:val="left" w:pos="7938"/>
          <w:tab w:val="left" w:pos="9540"/>
        </w:tabs>
        <w:spacing w:after="0" w:line="264" w:lineRule="auto"/>
        <w:ind w:firstLine="709"/>
        <w:jc w:val="both"/>
        <w:rPr>
          <w:rFonts w:ascii="Times New Roman" w:eastAsia="Calibri" w:hAnsi="Times New Roman" w:cs="Times New Roman"/>
          <w:sz w:val="28"/>
          <w:szCs w:val="28"/>
          <w:lang w:eastAsia="ru-RU"/>
        </w:rPr>
      </w:pPr>
      <w:r w:rsidRPr="00B975E1">
        <w:rPr>
          <w:rFonts w:ascii="Times New Roman" w:eastAsia="Times New Roman" w:hAnsi="Times New Roman" w:cs="Times New Roman"/>
          <w:b/>
          <w:bCs/>
          <w:iCs/>
          <w:color w:val="002060"/>
          <w:sz w:val="28"/>
          <w:szCs w:val="24"/>
          <w:lang w:eastAsia="ru-RU"/>
        </w:rPr>
        <w:t xml:space="preserve">2) Региональный проект </w:t>
      </w:r>
      <w:r w:rsidRPr="00B975E1">
        <w:rPr>
          <w:rFonts w:ascii="Times New Roman" w:eastAsia="Calibri" w:hAnsi="Times New Roman" w:cs="Times New Roman"/>
          <w:b/>
          <w:bCs/>
          <w:iCs/>
          <w:color w:val="002060"/>
          <w:sz w:val="28"/>
          <w:szCs w:val="28"/>
          <w:lang w:eastAsia="ru-RU"/>
        </w:rPr>
        <w:t>«Акселерация субъектов малого и среднего предпринимательства» – 181,8 млн рублей</w:t>
      </w:r>
      <w:r w:rsidRPr="006F4305">
        <w:rPr>
          <w:rFonts w:ascii="Times New Roman" w:eastAsia="Calibri" w:hAnsi="Times New Roman" w:cs="Times New Roman"/>
          <w:b/>
          <w:bCs/>
          <w:iCs/>
          <w:sz w:val="28"/>
          <w:szCs w:val="28"/>
          <w:lang w:eastAsia="ru-RU"/>
        </w:rPr>
        <w:t>,</w:t>
      </w:r>
      <w:r w:rsidRPr="006F4305">
        <w:rPr>
          <w:rFonts w:ascii="Times New Roman" w:eastAsia="Calibri" w:hAnsi="Times New Roman" w:cs="Times New Roman"/>
          <w:iCs/>
          <w:sz w:val="28"/>
          <w:szCs w:val="28"/>
          <w:lang w:eastAsia="ru-RU"/>
        </w:rPr>
        <w:t xml:space="preserve"> или 100 % от годового объема.</w:t>
      </w:r>
      <w:r w:rsidRPr="006F4305">
        <w:rPr>
          <w:rFonts w:ascii="Times New Roman" w:eastAsia="Times New Roman" w:hAnsi="Times New Roman" w:cs="Times New Roman"/>
          <w:sz w:val="28"/>
          <w:szCs w:val="24"/>
          <w:lang w:eastAsia="ru-RU"/>
        </w:rPr>
        <w:t xml:space="preserve"> </w:t>
      </w:r>
    </w:p>
    <w:p w14:paraId="251090F9" w14:textId="77777777" w:rsidR="006F4305" w:rsidRPr="006F4305" w:rsidRDefault="006F4305" w:rsidP="0017357D">
      <w:pPr>
        <w:spacing w:after="0" w:line="264" w:lineRule="auto"/>
        <w:ind w:firstLine="709"/>
        <w:contextualSpacing/>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Средства, выделенные по региональному проекту, направлены на:</w:t>
      </w:r>
    </w:p>
    <w:p w14:paraId="07967189" w14:textId="77777777" w:rsidR="006F4305" w:rsidRPr="006F4305" w:rsidRDefault="006F4305" w:rsidP="0017357D">
      <w:pPr>
        <w:tabs>
          <w:tab w:val="left" w:pos="2127"/>
        </w:tabs>
        <w:spacing w:after="0" w:line="264" w:lineRule="auto"/>
        <w:ind w:firstLine="709"/>
        <w:jc w:val="both"/>
        <w:rPr>
          <w:rFonts w:ascii="Times New Roman" w:eastAsia="Times New Roman" w:hAnsi="Times New Roman" w:cs="Times New Roman"/>
          <w:sz w:val="28"/>
          <w:szCs w:val="28"/>
          <w:lang w:eastAsia="ru-RU"/>
        </w:rPr>
      </w:pPr>
      <w:r w:rsidRPr="006F4305">
        <w:rPr>
          <w:rFonts w:ascii="Times New Roman" w:eastAsia="Calibri" w:hAnsi="Times New Roman" w:cs="Times New Roman"/>
          <w:bCs/>
          <w:sz w:val="28"/>
          <w:szCs w:val="28"/>
          <w:lang w:eastAsia="ru-RU"/>
        </w:rPr>
        <w:t xml:space="preserve">- </w:t>
      </w:r>
      <w:r w:rsidRPr="006F4305">
        <w:rPr>
          <w:rFonts w:ascii="Times New Roman" w:eastAsia="Calibri" w:hAnsi="Times New Roman" w:cs="Times New Roman"/>
          <w:sz w:val="28"/>
          <w:szCs w:val="28"/>
          <w:lang w:eastAsia="ru-RU"/>
        </w:rPr>
        <w:t>развитие деятельности центров «Мой бизнес» – 5,5 млн рублей;</w:t>
      </w:r>
    </w:p>
    <w:p w14:paraId="318E366A" w14:textId="77777777" w:rsidR="006F4305" w:rsidRPr="006F4305" w:rsidRDefault="006F4305" w:rsidP="0017357D">
      <w:pPr>
        <w:spacing w:after="4"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оказание финансовой поддержки, в том числе в виде поручительств и выдачи микрозаймов - 51,8 млн рублей. Гарантийным фондом Республики Дагестан в 2021 году выдано 37 поручительств на общую сумму 143,2 млн </w:t>
      </w:r>
      <w:r w:rsidRPr="006F4305">
        <w:rPr>
          <w:rFonts w:ascii="Times New Roman" w:eastAsia="Calibri" w:hAnsi="Times New Roman" w:cs="Times New Roman"/>
          <w:sz w:val="28"/>
          <w:szCs w:val="28"/>
          <w:lang w:eastAsia="ru-RU"/>
        </w:rPr>
        <w:lastRenderedPageBreak/>
        <w:t>рублей. Фондом микрофинансирования и лизинга Республики Дагестан выдано 113 микрозаймов на общую сумму 204,9 млн рублей;</w:t>
      </w:r>
    </w:p>
    <w:p w14:paraId="37CA4957" w14:textId="77777777" w:rsidR="006F4305" w:rsidRPr="006F4305" w:rsidRDefault="006F4305" w:rsidP="0017357D">
      <w:pPr>
        <w:tabs>
          <w:tab w:val="left" w:pos="993"/>
          <w:tab w:val="left" w:pos="1134"/>
        </w:tabs>
        <w:suppressAutoHyphens/>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оказание экспортной поддержки субъектам малого и среднего предпринимательства – 18,8 млн рублей. </w:t>
      </w:r>
    </w:p>
    <w:p w14:paraId="666C575C" w14:textId="77777777" w:rsidR="006F4305" w:rsidRPr="006F4305" w:rsidRDefault="006F4305" w:rsidP="0017357D">
      <w:pPr>
        <w:tabs>
          <w:tab w:val="left" w:pos="993"/>
          <w:tab w:val="left" w:pos="1134"/>
        </w:tabs>
        <w:suppressAutoHyphens/>
        <w:spacing w:after="0" w:line="264" w:lineRule="auto"/>
        <w:ind w:firstLine="709"/>
        <w:contextualSpacing/>
        <w:jc w:val="both"/>
        <w:rPr>
          <w:rFonts w:ascii="Times New Roman" w:eastAsia="Arial Unicode MS" w:hAnsi="Times New Roman" w:cs="Times New Roman"/>
          <w:bCs/>
          <w:iCs/>
          <w:sz w:val="28"/>
          <w:szCs w:val="28"/>
          <w:lang w:eastAsia="ru-RU"/>
        </w:rPr>
      </w:pPr>
      <w:r w:rsidRPr="006F4305">
        <w:rPr>
          <w:rFonts w:ascii="Times New Roman" w:eastAsia="Arial Unicode MS" w:hAnsi="Times New Roman" w:cs="Times New Roman"/>
          <w:bCs/>
          <w:iCs/>
          <w:sz w:val="28"/>
          <w:szCs w:val="28"/>
          <w:lang w:eastAsia="ru-RU"/>
        </w:rPr>
        <w:t>ГАУ РД «Центр поддержки предпринимательства Республики Дагестан» (18,8 млн рублей) проведены и предоставлены следующие мероприятия и услуги:</w:t>
      </w:r>
    </w:p>
    <w:p w14:paraId="65604C92" w14:textId="77777777" w:rsidR="006F4305" w:rsidRPr="006F4305" w:rsidRDefault="006F4305" w:rsidP="0017357D">
      <w:pPr>
        <w:tabs>
          <w:tab w:val="left" w:pos="993"/>
          <w:tab w:val="left" w:pos="1134"/>
        </w:tabs>
        <w:suppressAutoHyphens/>
        <w:spacing w:after="0" w:line="264" w:lineRule="auto"/>
        <w:ind w:firstLine="709"/>
        <w:contextualSpacing/>
        <w:jc w:val="both"/>
        <w:rPr>
          <w:rFonts w:ascii="Times New Roman" w:eastAsia="Constantia" w:hAnsi="Times New Roman" w:cs="Times New Roman"/>
          <w:sz w:val="28"/>
          <w:szCs w:val="28"/>
          <w:lang w:eastAsia="ru-RU" w:bidi="en-US"/>
        </w:rPr>
      </w:pPr>
      <w:r w:rsidRPr="006F4305">
        <w:rPr>
          <w:rFonts w:ascii="Times New Roman" w:eastAsia="Arial Unicode MS" w:hAnsi="Times New Roman" w:cs="Times New Roman"/>
          <w:bCs/>
          <w:iCs/>
          <w:sz w:val="28"/>
          <w:szCs w:val="28"/>
          <w:lang w:eastAsia="ru-RU"/>
        </w:rPr>
        <w:t xml:space="preserve">- </w:t>
      </w:r>
      <w:r w:rsidRPr="006F4305">
        <w:rPr>
          <w:rFonts w:ascii="Times New Roman" w:eastAsia="Constantia" w:hAnsi="Times New Roman" w:cs="Times New Roman"/>
          <w:sz w:val="28"/>
          <w:szCs w:val="28"/>
          <w:lang w:eastAsia="ru-RU" w:bidi="en-US"/>
        </w:rPr>
        <w:t>скоринговая оценка субъектов МСП – 17 субъектов;</w:t>
      </w:r>
    </w:p>
    <w:p w14:paraId="3A666950" w14:textId="77777777" w:rsidR="006F4305" w:rsidRPr="006F4305" w:rsidRDefault="006F4305" w:rsidP="0017357D">
      <w:pPr>
        <w:tabs>
          <w:tab w:val="left" w:pos="993"/>
          <w:tab w:val="left" w:pos="1134"/>
        </w:tabs>
        <w:suppressAutoHyphens/>
        <w:spacing w:after="0" w:line="264" w:lineRule="auto"/>
        <w:ind w:firstLine="709"/>
        <w:contextualSpacing/>
        <w:jc w:val="both"/>
        <w:rPr>
          <w:rFonts w:ascii="Times New Roman" w:eastAsia="Constantia" w:hAnsi="Times New Roman" w:cs="Times New Roman"/>
          <w:sz w:val="28"/>
          <w:szCs w:val="28"/>
          <w:lang w:eastAsia="ru-RU" w:bidi="en-US"/>
        </w:rPr>
      </w:pPr>
      <w:r w:rsidRPr="006F4305">
        <w:rPr>
          <w:rFonts w:ascii="Times New Roman" w:eastAsia="Constantia" w:hAnsi="Times New Roman" w:cs="Times New Roman"/>
          <w:sz w:val="28"/>
          <w:szCs w:val="28"/>
          <w:lang w:eastAsia="ru-RU" w:bidi="en-US"/>
        </w:rPr>
        <w:t xml:space="preserve">- программа обучения «Развитие женского предпринимательства» - </w:t>
      </w:r>
      <w:r w:rsidRPr="006F4305">
        <w:rPr>
          <w:rFonts w:ascii="Times New Roman" w:eastAsia="Constantia" w:hAnsi="Times New Roman" w:cs="Times New Roman"/>
          <w:sz w:val="28"/>
          <w:szCs w:val="28"/>
          <w:lang w:eastAsia="ru-RU" w:bidi="en-US"/>
        </w:rPr>
        <w:br/>
        <w:t>100 субъектов МСП;</w:t>
      </w:r>
    </w:p>
    <w:p w14:paraId="05E2E79A" w14:textId="77777777" w:rsidR="006F4305" w:rsidRPr="006F4305" w:rsidRDefault="006F4305" w:rsidP="0017357D">
      <w:pPr>
        <w:tabs>
          <w:tab w:val="left" w:pos="993"/>
          <w:tab w:val="left" w:pos="1134"/>
        </w:tabs>
        <w:suppressAutoHyphens/>
        <w:spacing w:after="0" w:line="264" w:lineRule="auto"/>
        <w:ind w:firstLine="709"/>
        <w:contextualSpacing/>
        <w:jc w:val="both"/>
        <w:rPr>
          <w:rFonts w:ascii="Times New Roman" w:eastAsia="Constantia" w:hAnsi="Times New Roman" w:cs="Times New Roman"/>
          <w:sz w:val="28"/>
          <w:szCs w:val="28"/>
          <w:lang w:eastAsia="ru-RU" w:bidi="en-US"/>
        </w:rPr>
      </w:pPr>
      <w:r w:rsidRPr="006F4305">
        <w:rPr>
          <w:rFonts w:ascii="Times New Roman" w:eastAsia="Constantia" w:hAnsi="Times New Roman" w:cs="Times New Roman"/>
          <w:sz w:val="28"/>
          <w:szCs w:val="28"/>
          <w:lang w:eastAsia="ru-RU" w:bidi="en-US"/>
        </w:rPr>
        <w:t>- обучение по законодательству Российской Федерации о контрактной системе в сфере закупок – 56 субъектов МСП,</w:t>
      </w:r>
      <w:r w:rsidRPr="006F4305">
        <w:rPr>
          <w:rFonts w:ascii="Times New Roman" w:eastAsia="Times New Roman" w:hAnsi="Times New Roman" w:cs="Times New Roman"/>
          <w:sz w:val="24"/>
          <w:szCs w:val="24"/>
          <w:lang w:eastAsia="ru-RU"/>
        </w:rPr>
        <w:t xml:space="preserve"> </w:t>
      </w:r>
      <w:r w:rsidRPr="006F4305">
        <w:rPr>
          <w:rFonts w:ascii="Times New Roman" w:eastAsia="Constantia" w:hAnsi="Times New Roman" w:cs="Times New Roman"/>
          <w:sz w:val="28"/>
          <w:szCs w:val="28"/>
          <w:lang w:eastAsia="ru-RU" w:bidi="en-US"/>
        </w:rPr>
        <w:t>по курсу «Управление развитием малого предприятия» - 100 субъектов МСП;</w:t>
      </w:r>
    </w:p>
    <w:p w14:paraId="6CDBA1A2" w14:textId="77777777" w:rsidR="006F4305" w:rsidRPr="006F4305" w:rsidRDefault="006F4305" w:rsidP="0017357D">
      <w:pPr>
        <w:tabs>
          <w:tab w:val="left" w:pos="993"/>
          <w:tab w:val="left" w:pos="1134"/>
        </w:tabs>
        <w:suppressAutoHyphens/>
        <w:spacing w:after="0" w:line="264" w:lineRule="auto"/>
        <w:ind w:firstLine="709"/>
        <w:contextualSpacing/>
        <w:jc w:val="both"/>
        <w:rPr>
          <w:rFonts w:ascii="Times New Roman" w:eastAsia="Constantia" w:hAnsi="Times New Roman" w:cs="Times New Roman"/>
          <w:sz w:val="28"/>
          <w:szCs w:val="28"/>
          <w:lang w:eastAsia="ru-RU" w:bidi="en-US"/>
        </w:rPr>
      </w:pPr>
      <w:r w:rsidRPr="006F4305">
        <w:rPr>
          <w:rFonts w:ascii="Times New Roman" w:eastAsia="Constantia" w:hAnsi="Times New Roman" w:cs="Times New Roman"/>
          <w:sz w:val="28"/>
          <w:szCs w:val="28"/>
          <w:lang w:eastAsia="ru-RU" w:bidi="en-US"/>
        </w:rPr>
        <w:t>- маркетинговые услуги (создание логобуков) - 61 субъект МСП;</w:t>
      </w:r>
    </w:p>
    <w:p w14:paraId="40D4C7E0" w14:textId="77777777" w:rsidR="006F4305" w:rsidRPr="006F4305" w:rsidRDefault="006F4305" w:rsidP="0017357D">
      <w:pPr>
        <w:tabs>
          <w:tab w:val="left" w:pos="993"/>
          <w:tab w:val="left" w:pos="1134"/>
        </w:tabs>
        <w:suppressAutoHyphens/>
        <w:spacing w:after="0" w:line="264" w:lineRule="auto"/>
        <w:ind w:firstLine="709"/>
        <w:contextualSpacing/>
        <w:jc w:val="both"/>
        <w:rPr>
          <w:rFonts w:ascii="Times New Roman" w:eastAsia="Constantia" w:hAnsi="Times New Roman" w:cs="Times New Roman"/>
          <w:sz w:val="28"/>
          <w:szCs w:val="28"/>
          <w:lang w:eastAsia="ru-RU" w:bidi="en-US"/>
        </w:rPr>
      </w:pPr>
      <w:r w:rsidRPr="006F4305">
        <w:rPr>
          <w:rFonts w:ascii="Times New Roman" w:eastAsia="Constantia" w:hAnsi="Times New Roman" w:cs="Times New Roman"/>
          <w:sz w:val="28"/>
          <w:szCs w:val="28"/>
          <w:lang w:eastAsia="ru-RU" w:bidi="en-US"/>
        </w:rPr>
        <w:t>- сертификация продукции – 17 субъектов МСП.</w:t>
      </w:r>
    </w:p>
    <w:p w14:paraId="3E04B850" w14:textId="77777777" w:rsidR="006F4305" w:rsidRPr="006F4305" w:rsidRDefault="006F4305" w:rsidP="0017357D">
      <w:pPr>
        <w:spacing w:after="0" w:line="264" w:lineRule="auto"/>
        <w:ind w:firstLine="709"/>
        <w:contextualSpacing/>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sz w:val="28"/>
          <w:szCs w:val="28"/>
        </w:rPr>
        <w:t xml:space="preserve">Министерству сельского хозяйства и продовольствия Республики Дагестан в целях реализации мероприятий </w:t>
      </w:r>
      <w:r w:rsidRPr="006F4305">
        <w:rPr>
          <w:rFonts w:ascii="Times New Roman" w:eastAsia="Calibri" w:hAnsi="Times New Roman" w:cs="Times New Roman"/>
          <w:bCs/>
          <w:sz w:val="28"/>
          <w:szCs w:val="28"/>
          <w:lang w:eastAsia="ru-RU"/>
        </w:rPr>
        <w:t>регионального проекта</w:t>
      </w:r>
      <w:bookmarkStart w:id="49" w:name="_Hlk68852369"/>
      <w:r w:rsidRPr="006F4305">
        <w:rPr>
          <w:rFonts w:ascii="Times New Roman" w:eastAsia="Calibri" w:hAnsi="Times New Roman" w:cs="Times New Roman"/>
          <w:bCs/>
          <w:sz w:val="28"/>
          <w:szCs w:val="28"/>
          <w:lang w:eastAsia="ru-RU"/>
        </w:rPr>
        <w:t xml:space="preserve"> п</w:t>
      </w:r>
      <w:r w:rsidRPr="006F4305">
        <w:rPr>
          <w:rFonts w:ascii="Times New Roman" w:eastAsia="Times New Roman" w:hAnsi="Times New Roman" w:cs="Times New Roman"/>
          <w:sz w:val="28"/>
          <w:szCs w:val="28"/>
          <w:lang w:eastAsia="ru-RU"/>
        </w:rPr>
        <w:t xml:space="preserve">рофинансированы 105,6 млн рублей, или 100 % от годовых назначений, которые направлены на </w:t>
      </w:r>
      <w:r w:rsidRPr="006F4305">
        <w:rPr>
          <w:rFonts w:ascii="Times New Roman" w:eastAsia="Calibri" w:hAnsi="Times New Roman" w:cs="Times New Roman"/>
          <w:bCs/>
          <w:sz w:val="28"/>
          <w:szCs w:val="28"/>
          <w:lang w:eastAsia="ru-RU"/>
        </w:rPr>
        <w:t>проведение следующих мероприятий:</w:t>
      </w:r>
    </w:p>
    <w:p w14:paraId="561FAA08" w14:textId="77777777" w:rsidR="006F4305" w:rsidRPr="006F4305" w:rsidRDefault="006F4305" w:rsidP="0017357D">
      <w:pPr>
        <w:tabs>
          <w:tab w:val="left" w:pos="2127"/>
        </w:tabs>
        <w:spacing w:after="0" w:line="264" w:lineRule="auto"/>
        <w:ind w:firstLine="709"/>
        <w:jc w:val="both"/>
        <w:rPr>
          <w:rFonts w:ascii="Times New Roman" w:eastAsia="Times New Roman" w:hAnsi="Times New Roman" w:cs="Times New Roman"/>
          <w:bCs/>
          <w:sz w:val="28"/>
          <w:szCs w:val="28"/>
          <w:lang w:eastAsia="ru-RU"/>
        </w:rPr>
      </w:pPr>
      <w:r w:rsidRPr="006F4305">
        <w:rPr>
          <w:rFonts w:ascii="Times New Roman" w:eastAsia="Calibri" w:hAnsi="Times New Roman" w:cs="Times New Roman"/>
          <w:bCs/>
          <w:sz w:val="28"/>
          <w:szCs w:val="28"/>
          <w:lang w:eastAsia="ru-RU"/>
        </w:rPr>
        <w:t>-</w:t>
      </w:r>
      <w:bookmarkEnd w:id="49"/>
      <w:r w:rsidRPr="006F4305">
        <w:rPr>
          <w:rFonts w:ascii="Times New Roman" w:eastAsia="Calibri" w:hAnsi="Times New Roman" w:cs="Times New Roman"/>
          <w:bCs/>
          <w:sz w:val="28"/>
          <w:szCs w:val="28"/>
          <w:lang w:eastAsia="ru-RU"/>
        </w:rPr>
        <w:t> </w:t>
      </w:r>
      <w:r w:rsidRPr="006F4305">
        <w:rPr>
          <w:rFonts w:ascii="Times New Roman" w:eastAsia="Calibri" w:hAnsi="Times New Roman" w:cs="Times New Roman"/>
          <w:sz w:val="28"/>
          <w:szCs w:val="28"/>
          <w:lang w:eastAsia="ru-RU"/>
        </w:rPr>
        <w:t xml:space="preserve">предоставление грантов по программе «Агростартап» </w:t>
      </w:r>
      <w:r w:rsidRPr="006F4305">
        <w:rPr>
          <w:rFonts w:ascii="Times New Roman" w:eastAsia="Times New Roman" w:hAnsi="Times New Roman" w:cs="Times New Roman"/>
          <w:spacing w:val="-6"/>
          <w:sz w:val="28"/>
          <w:szCs w:val="28"/>
          <w:lang w:eastAsia="ru-RU"/>
        </w:rPr>
        <w:t xml:space="preserve">(32 заявителя из </w:t>
      </w:r>
      <w:r w:rsidRPr="006F4305">
        <w:rPr>
          <w:rFonts w:ascii="Times New Roman" w:eastAsia="Times New Roman" w:hAnsi="Times New Roman" w:cs="Times New Roman"/>
          <w:spacing w:val="-6"/>
          <w:sz w:val="28"/>
          <w:szCs w:val="28"/>
          <w:lang w:eastAsia="ru-RU"/>
        </w:rPr>
        <w:br/>
        <w:t xml:space="preserve">16 муниципальных образований Республики Дагестан) </w:t>
      </w:r>
      <w:r w:rsidRPr="006F4305">
        <w:rPr>
          <w:rFonts w:ascii="Times New Roman" w:eastAsia="Calibri" w:hAnsi="Times New Roman" w:cs="Times New Roman"/>
          <w:bCs/>
          <w:sz w:val="28"/>
          <w:szCs w:val="28"/>
          <w:lang w:eastAsia="ru-RU"/>
        </w:rPr>
        <w:t xml:space="preserve">– 85,6 млн рублей;  </w:t>
      </w:r>
      <w:r w:rsidRPr="006F4305">
        <w:rPr>
          <w:rFonts w:ascii="Times New Roman" w:eastAsia="Times New Roman" w:hAnsi="Times New Roman" w:cs="Times New Roman"/>
          <w:spacing w:val="-6"/>
          <w:sz w:val="28"/>
          <w:szCs w:val="28"/>
          <w:lang w:eastAsia="ru-RU"/>
        </w:rPr>
        <w:t xml:space="preserve"> </w:t>
      </w:r>
    </w:p>
    <w:p w14:paraId="17CACE00" w14:textId="77777777" w:rsidR="006F4305" w:rsidRPr="006F4305" w:rsidRDefault="006F4305" w:rsidP="0017357D">
      <w:pPr>
        <w:tabs>
          <w:tab w:val="left" w:pos="2127"/>
        </w:tabs>
        <w:spacing w:after="0" w:line="264" w:lineRule="auto"/>
        <w:ind w:firstLine="709"/>
        <w:jc w:val="both"/>
        <w:rPr>
          <w:rFonts w:ascii="Times New Roman" w:eastAsia="Times New Roman" w:hAnsi="Times New Roman" w:cs="Times New Roman"/>
          <w:bCs/>
          <w:spacing w:val="-8"/>
          <w:sz w:val="28"/>
          <w:szCs w:val="28"/>
          <w:lang w:eastAsia="ru-RU"/>
        </w:rPr>
      </w:pPr>
      <w:r w:rsidRPr="006F4305">
        <w:rPr>
          <w:rFonts w:ascii="Times New Roman" w:eastAsia="Calibri" w:hAnsi="Times New Roman" w:cs="Times New Roman"/>
          <w:bCs/>
          <w:spacing w:val="-6"/>
          <w:sz w:val="28"/>
          <w:szCs w:val="28"/>
          <w:lang w:eastAsia="ru-RU"/>
        </w:rPr>
        <w:t>- </w:t>
      </w:r>
      <w:r w:rsidRPr="006F4305">
        <w:rPr>
          <w:rFonts w:ascii="Times New Roman" w:eastAsia="Calibri" w:hAnsi="Times New Roman" w:cs="Times New Roman"/>
          <w:color w:val="000000"/>
          <w:sz w:val="28"/>
          <w:lang w:eastAsia="ru-RU"/>
        </w:rPr>
        <w:t>предоставление субсидий</w:t>
      </w:r>
      <w:r w:rsidRPr="006F4305">
        <w:rPr>
          <w:rFonts w:ascii="Times New Roman" w:eastAsia="Calibri" w:hAnsi="Times New Roman" w:cs="Times New Roman"/>
          <w:spacing w:val="-6"/>
          <w:sz w:val="28"/>
          <w:szCs w:val="28"/>
          <w:lang w:eastAsia="ru-RU"/>
        </w:rPr>
        <w:t> </w:t>
      </w:r>
      <w:r w:rsidRPr="006F4305">
        <w:rPr>
          <w:rFonts w:ascii="Times New Roman" w:eastAsia="Calibri" w:hAnsi="Times New Roman" w:cs="Times New Roman"/>
          <w:spacing w:val="-8"/>
          <w:sz w:val="28"/>
          <w:szCs w:val="28"/>
          <w:lang w:eastAsia="ru-RU"/>
        </w:rPr>
        <w:t>сельскохозяйственным кооперативам (</w:t>
      </w:r>
      <w:r w:rsidRPr="006F4305">
        <w:rPr>
          <w:rFonts w:ascii="Times New Roman" w:eastAsia="Times New Roman" w:hAnsi="Times New Roman" w:cs="Times New Roman"/>
          <w:spacing w:val="-6"/>
          <w:sz w:val="28"/>
          <w:szCs w:val="28"/>
          <w:lang w:eastAsia="ru-RU"/>
        </w:rPr>
        <w:t xml:space="preserve">6 СПоК) </w:t>
      </w:r>
      <w:r w:rsidRPr="006F4305">
        <w:rPr>
          <w:rFonts w:ascii="Times New Roman" w:eastAsia="Calibri" w:hAnsi="Times New Roman" w:cs="Times New Roman"/>
          <w:bCs/>
          <w:spacing w:val="-8"/>
          <w:sz w:val="28"/>
          <w:szCs w:val="28"/>
          <w:lang w:eastAsia="ru-RU"/>
        </w:rPr>
        <w:t>- 16,97 млн рублей;</w:t>
      </w:r>
      <w:r w:rsidRPr="006F4305">
        <w:rPr>
          <w:rFonts w:ascii="Times New Roman" w:eastAsia="Times New Roman" w:hAnsi="Times New Roman" w:cs="Times New Roman"/>
          <w:spacing w:val="-6"/>
          <w:sz w:val="28"/>
          <w:szCs w:val="28"/>
          <w:lang w:eastAsia="ru-RU"/>
        </w:rPr>
        <w:t xml:space="preserve"> </w:t>
      </w:r>
    </w:p>
    <w:p w14:paraId="5A4D885A" w14:textId="77777777" w:rsidR="006F4305" w:rsidRPr="006F4305" w:rsidRDefault="006F4305" w:rsidP="0017357D">
      <w:pPr>
        <w:tabs>
          <w:tab w:val="left" w:pos="2127"/>
        </w:tabs>
        <w:spacing w:after="0" w:line="264" w:lineRule="auto"/>
        <w:ind w:firstLine="709"/>
        <w:jc w:val="both"/>
        <w:rPr>
          <w:rFonts w:ascii="Times New Roman" w:eastAsia="Times New Roman"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 софинансирование затрат, связанных с осуществлением текущей деятельности Центра компетенций в сфере сельскохозяйственной кооперации и поддержки фермеров - 3,0 млн рублей. </w:t>
      </w:r>
    </w:p>
    <w:p w14:paraId="6B74C0EE" w14:textId="77777777" w:rsidR="006F4305" w:rsidRPr="006F4305" w:rsidRDefault="006F4305" w:rsidP="0017357D">
      <w:pPr>
        <w:spacing w:after="0" w:line="264" w:lineRule="auto"/>
        <w:ind w:firstLine="567"/>
        <w:jc w:val="both"/>
        <w:rPr>
          <w:rFonts w:ascii="Times New Roman" w:eastAsia="Times New Roman" w:hAnsi="Times New Roman" w:cs="Times New Roman"/>
          <w:spacing w:val="-6"/>
          <w:sz w:val="28"/>
          <w:szCs w:val="28"/>
          <w:lang w:eastAsia="ru-RU"/>
        </w:rPr>
      </w:pPr>
      <w:r w:rsidRPr="006F4305">
        <w:rPr>
          <w:rFonts w:ascii="Times New Roman" w:eastAsia="Times New Roman" w:hAnsi="Times New Roman" w:cs="Times New Roman"/>
          <w:spacing w:val="-6"/>
          <w:sz w:val="28"/>
          <w:szCs w:val="28"/>
          <w:lang w:eastAsia="ru-RU"/>
        </w:rPr>
        <w:t xml:space="preserve">По итогам 2021 года созданы 32 крестьянско-фермерских хозяйств, или </w:t>
      </w:r>
      <w:r w:rsidRPr="006F4305">
        <w:rPr>
          <w:rFonts w:ascii="Times New Roman" w:eastAsia="Times New Roman" w:hAnsi="Times New Roman" w:cs="Times New Roman"/>
          <w:spacing w:val="-6"/>
          <w:sz w:val="28"/>
          <w:szCs w:val="28"/>
          <w:lang w:eastAsia="ru-RU"/>
        </w:rPr>
        <w:br/>
        <w:t xml:space="preserve">128 % от планового объема, а также предоставлена господдержка 38 субъектам МСП, или 126,7 % от планового объема.  </w:t>
      </w:r>
    </w:p>
    <w:p w14:paraId="791A5B4D" w14:textId="77777777" w:rsidR="006F4305" w:rsidRPr="006F4305" w:rsidRDefault="006F4305" w:rsidP="0017357D">
      <w:pPr>
        <w:widowControl w:val="0"/>
        <w:tabs>
          <w:tab w:val="left" w:pos="709"/>
          <w:tab w:val="left" w:pos="4100"/>
          <w:tab w:val="left" w:pos="4248"/>
          <w:tab w:val="left" w:pos="5380"/>
        </w:tabs>
        <w:spacing w:after="0" w:line="264" w:lineRule="auto"/>
        <w:ind w:firstLine="709"/>
        <w:jc w:val="both"/>
        <w:rPr>
          <w:rFonts w:ascii="Times New Roman" w:eastAsia="Calibri" w:hAnsi="Times New Roman" w:cs="Times New Roman"/>
          <w:bCs/>
          <w:sz w:val="28"/>
          <w:szCs w:val="28"/>
          <w:lang w:eastAsia="ru-RU"/>
        </w:rPr>
      </w:pPr>
      <w:r w:rsidRPr="006F4305">
        <w:rPr>
          <w:rFonts w:ascii="Times New Roman" w:eastAsia="Calibri" w:hAnsi="Times New Roman" w:cs="Times New Roman"/>
          <w:bCs/>
          <w:sz w:val="28"/>
          <w:szCs w:val="28"/>
          <w:lang w:eastAsia="ru-RU"/>
        </w:rPr>
        <w:t xml:space="preserve">В 2021 году в виду приостановления строительства промышленного парка «Аврора», строительство которого было запланировано в рамках реализации регионального проекта с 2019 года, остались нереализованными мероприятия по обеспечению льготного доступа субъектов МСП к производственным площадям и помещениям промышленных парков, технопарков в целях создания производственных и инновационных компаний. </w:t>
      </w:r>
    </w:p>
    <w:p w14:paraId="032D8818" w14:textId="77777777" w:rsidR="006F4305" w:rsidRPr="006F4305" w:rsidRDefault="006F4305" w:rsidP="0017357D">
      <w:pPr>
        <w:widowControl w:val="0"/>
        <w:tabs>
          <w:tab w:val="left" w:pos="7938"/>
          <w:tab w:val="left" w:pos="9540"/>
        </w:tabs>
        <w:spacing w:after="0" w:line="264"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На 1 января 2022 года освоение выделенных средств составило </w:t>
      </w:r>
      <w:r w:rsidRPr="006F4305">
        <w:rPr>
          <w:rFonts w:ascii="Times New Roman" w:eastAsia="Times New Roman" w:hAnsi="Times New Roman" w:cs="Times New Roman"/>
          <w:sz w:val="28"/>
          <w:szCs w:val="24"/>
          <w:lang w:eastAsia="ru-RU"/>
        </w:rPr>
        <w:br/>
        <w:t xml:space="preserve">181,8 млн рублей, или 100 % от объема финансирования.  </w:t>
      </w:r>
    </w:p>
    <w:p w14:paraId="04CAC296" w14:textId="77777777" w:rsidR="006F4305" w:rsidRPr="006F4305" w:rsidRDefault="006F4305" w:rsidP="0017357D">
      <w:pPr>
        <w:widowControl w:val="0"/>
        <w:tabs>
          <w:tab w:val="left" w:pos="7938"/>
          <w:tab w:val="left" w:pos="9540"/>
        </w:tabs>
        <w:spacing w:after="0" w:line="264"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Достижение целевых показателей в ходе реализации регионального проекта не предусмотрено. </w:t>
      </w:r>
    </w:p>
    <w:p w14:paraId="71979B01" w14:textId="09A02A33" w:rsidR="006F4305" w:rsidRPr="006F4305" w:rsidRDefault="006F4305" w:rsidP="0017357D">
      <w:pPr>
        <w:widowControl w:val="0"/>
        <w:tabs>
          <w:tab w:val="left" w:pos="7938"/>
          <w:tab w:val="left" w:pos="9540"/>
        </w:tabs>
        <w:spacing w:after="0" w:line="264" w:lineRule="auto"/>
        <w:ind w:firstLine="709"/>
        <w:jc w:val="both"/>
        <w:rPr>
          <w:rFonts w:ascii="Times New Roman" w:eastAsia="Calibri" w:hAnsi="Times New Roman" w:cs="Times New Roman"/>
          <w:iCs/>
          <w:sz w:val="28"/>
          <w:szCs w:val="28"/>
          <w:lang w:eastAsia="ru-RU"/>
        </w:rPr>
      </w:pPr>
      <w:r w:rsidRPr="00B975E1">
        <w:rPr>
          <w:rFonts w:ascii="Times New Roman" w:eastAsia="Times New Roman" w:hAnsi="Times New Roman" w:cs="Times New Roman"/>
          <w:b/>
          <w:bCs/>
          <w:iCs/>
          <w:color w:val="002060"/>
          <w:sz w:val="28"/>
          <w:szCs w:val="24"/>
          <w:lang w:eastAsia="ru-RU"/>
        </w:rPr>
        <w:t xml:space="preserve">3) Региональный проект </w:t>
      </w:r>
      <w:r w:rsidRPr="00B975E1">
        <w:rPr>
          <w:rFonts w:ascii="Times New Roman" w:eastAsia="Calibri" w:hAnsi="Times New Roman" w:cs="Times New Roman"/>
          <w:b/>
          <w:bCs/>
          <w:iCs/>
          <w:color w:val="002060"/>
          <w:sz w:val="28"/>
          <w:szCs w:val="28"/>
          <w:lang w:eastAsia="ru-RU"/>
        </w:rPr>
        <w:t xml:space="preserve">«Создание условий для легкого старта и </w:t>
      </w:r>
      <w:r w:rsidRPr="00B975E1">
        <w:rPr>
          <w:rFonts w:ascii="Times New Roman" w:eastAsia="Calibri" w:hAnsi="Times New Roman" w:cs="Times New Roman"/>
          <w:b/>
          <w:bCs/>
          <w:iCs/>
          <w:color w:val="002060"/>
          <w:sz w:val="28"/>
          <w:szCs w:val="28"/>
          <w:lang w:eastAsia="ru-RU"/>
        </w:rPr>
        <w:lastRenderedPageBreak/>
        <w:t>комфортного ведения бизнеса» («Предакселерация») – 24,4 млн рублей</w:t>
      </w:r>
      <w:r w:rsidRPr="00B975E1">
        <w:rPr>
          <w:rFonts w:ascii="Times New Roman" w:eastAsia="Calibri" w:hAnsi="Times New Roman" w:cs="Times New Roman"/>
          <w:b/>
          <w:iCs/>
          <w:color w:val="002060"/>
          <w:sz w:val="28"/>
          <w:szCs w:val="28"/>
          <w:lang w:eastAsia="ru-RU"/>
        </w:rPr>
        <w:t>,</w:t>
      </w:r>
      <w:r w:rsidRPr="00B975E1">
        <w:rPr>
          <w:rFonts w:ascii="Times New Roman" w:eastAsia="Calibri" w:hAnsi="Times New Roman" w:cs="Times New Roman"/>
          <w:b/>
          <w:i/>
          <w:color w:val="002060"/>
          <w:sz w:val="28"/>
          <w:szCs w:val="28"/>
          <w:lang w:eastAsia="ru-RU"/>
        </w:rPr>
        <w:t xml:space="preserve"> </w:t>
      </w:r>
      <w:r w:rsidRPr="006F4305">
        <w:rPr>
          <w:rFonts w:ascii="Times New Roman" w:eastAsia="Calibri" w:hAnsi="Times New Roman" w:cs="Times New Roman"/>
          <w:sz w:val="28"/>
          <w:szCs w:val="28"/>
          <w:lang w:eastAsia="ru-RU"/>
        </w:rPr>
        <w:t>или 100 % от запланированного объема</w:t>
      </w:r>
      <w:r w:rsidRPr="006F4305">
        <w:rPr>
          <w:rFonts w:ascii="Times New Roman" w:eastAsia="Calibri" w:hAnsi="Times New Roman" w:cs="Times New Roman"/>
          <w:iCs/>
          <w:sz w:val="28"/>
          <w:szCs w:val="28"/>
          <w:lang w:eastAsia="ru-RU"/>
        </w:rPr>
        <w:t xml:space="preserve">. </w:t>
      </w:r>
    </w:p>
    <w:p w14:paraId="60227422" w14:textId="77777777" w:rsidR="006F4305" w:rsidRPr="006F4305" w:rsidRDefault="006F4305" w:rsidP="0017357D">
      <w:pPr>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Средства, выделенные по региональному проекту, направлены </w:t>
      </w:r>
      <w:r w:rsidRPr="006F4305">
        <w:rPr>
          <w:rFonts w:ascii="Times New Roman" w:eastAsia="Calibri" w:hAnsi="Times New Roman" w:cs="Times New Roman"/>
          <w:sz w:val="28"/>
          <w:szCs w:val="28"/>
          <w:lang w:eastAsia="ru-RU"/>
        </w:rPr>
        <w:br/>
        <w:t>ГАУ РД «Центр поддержки предпринимательства» на проведение:</w:t>
      </w:r>
    </w:p>
    <w:p w14:paraId="24CE13F2" w14:textId="77777777" w:rsidR="006F4305" w:rsidRPr="006F4305" w:rsidRDefault="006F4305" w:rsidP="0017357D">
      <w:pPr>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 обучающих мастер-классов в городах: Махачкала, Каспийск и Дербент (681 физических лиц и 68 субъектов МСП), модулей по программе </w:t>
      </w:r>
      <w:r w:rsidRPr="006F4305">
        <w:rPr>
          <w:rFonts w:ascii="Times New Roman" w:eastAsia="Calibri" w:hAnsi="Times New Roman" w:cs="Times New Roman"/>
          <w:sz w:val="28"/>
          <w:szCs w:val="28"/>
          <w:lang w:eastAsia="ru-RU"/>
        </w:rPr>
        <w:br/>
        <w:t>АО «Корпорация МСП» - «Азбука предпринимательства» (200 физических лиц), «Школа предпринимательства» (25 субъектов МСП), однодневных обучающих модулей (150 физических лиц, 50 субъектов МСП);</w:t>
      </w:r>
    </w:p>
    <w:p w14:paraId="10DFEB5B" w14:textId="77777777" w:rsidR="006F4305" w:rsidRPr="006F4305" w:rsidRDefault="006F4305" w:rsidP="0017357D">
      <w:pPr>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программ и олимпиад по основам предпринимательской деятельности для детей 14-17 лет в районах Дагестана – 3872 физических лиц;</w:t>
      </w:r>
    </w:p>
    <w:p w14:paraId="7954BDA0" w14:textId="77777777" w:rsidR="006F4305" w:rsidRPr="006F4305" w:rsidRDefault="006F4305" w:rsidP="0017357D">
      <w:pPr>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консультационных услуг по вопросам начала ведения бизнеса, маркетингу и продажам (736 физических лиц, 498 субъектов МСП, по деятельности Уполномоченного по защите прав предпринимателей - 525 субъектов МСП);</w:t>
      </w:r>
    </w:p>
    <w:p w14:paraId="42FB8C79" w14:textId="77777777" w:rsidR="006F4305" w:rsidRPr="006F4305" w:rsidRDefault="006F4305" w:rsidP="0017357D">
      <w:pPr>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регионального этапа всероссийского конкурса «100 лучших товаров и услуг России» (30 субъектов МСП);</w:t>
      </w:r>
    </w:p>
    <w:p w14:paraId="4748E6C8" w14:textId="77777777" w:rsidR="006F4305" w:rsidRPr="006F4305" w:rsidRDefault="006F4305" w:rsidP="0017357D">
      <w:pPr>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офлайн и онлайн мероприятий с профильными экспертами по тематике Центра инжиниринга (93 субъекта МСП);</w:t>
      </w:r>
    </w:p>
    <w:p w14:paraId="52CA64EA" w14:textId="77777777" w:rsidR="006F4305" w:rsidRPr="006F4305" w:rsidRDefault="006F4305" w:rsidP="0017357D">
      <w:pPr>
        <w:spacing w:after="0" w:line="264" w:lineRule="auto"/>
        <w:ind w:firstLine="709"/>
        <w:contextualSpacing/>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предоставление услуг по составлению бизнес-планов – (24 субъекта МСП, анализу потенциала – 6 субъектов МСП, экспресс-анализу технологической готовности предприятий – 6 субъектов МСП).</w:t>
      </w:r>
    </w:p>
    <w:p w14:paraId="398E522E"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xml:space="preserve">В рамках реализации регионального проекта Фонд микрофинансирования и лизинга Республики Дагестан выдано 26 микрозаймов начинающим предпринимателям на общую сумму 41,9 млн рублей. </w:t>
      </w:r>
    </w:p>
    <w:p w14:paraId="23F37B24" w14:textId="77777777" w:rsidR="006F4305" w:rsidRPr="006F4305" w:rsidRDefault="006F4305" w:rsidP="0017357D">
      <w:pPr>
        <w:widowControl w:val="0"/>
        <w:tabs>
          <w:tab w:val="left" w:pos="709"/>
          <w:tab w:val="left" w:pos="4100"/>
          <w:tab w:val="left" w:pos="4248"/>
          <w:tab w:val="left" w:pos="5380"/>
        </w:tabs>
        <w:suppressAutoHyphens/>
        <w:spacing w:after="0" w:line="264"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По состоянию на 1 января 2022 года освоено 24,4 млн рублей, или 100 % от объема финансирования.</w:t>
      </w:r>
    </w:p>
    <w:p w14:paraId="4EC7D20B" w14:textId="77777777" w:rsidR="006F4305" w:rsidRPr="006F4305" w:rsidRDefault="006F4305" w:rsidP="0017357D">
      <w:pPr>
        <w:widowControl w:val="0"/>
        <w:spacing w:after="0" w:line="264"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Достижение целевых показателей в ходе реализации регионального проекта в 2021 году не предусмотрено. В то же время, в 2021 году не обеспечено выполнение общественно-значимого результата: «Количество индивидуальных предпринимателей, применяющих патентную систему налогообложения – 4,28 тыс. единиц (план – 4,48 тыс. единиц).</w:t>
      </w:r>
    </w:p>
    <w:p w14:paraId="62D1D226" w14:textId="77777777" w:rsidR="006F4305" w:rsidRPr="006F4305" w:rsidRDefault="006F4305" w:rsidP="006F4305">
      <w:pPr>
        <w:widowControl w:val="0"/>
        <w:spacing w:after="0" w:line="240" w:lineRule="auto"/>
        <w:ind w:firstLine="709"/>
        <w:jc w:val="both"/>
        <w:rPr>
          <w:rFonts w:ascii="Times New Roman" w:eastAsia="Times New Roman" w:hAnsi="Times New Roman" w:cs="Times New Roman"/>
          <w:b/>
          <w:sz w:val="28"/>
          <w:szCs w:val="28"/>
          <w:lang w:eastAsia="ru-RU"/>
        </w:rPr>
      </w:pPr>
    </w:p>
    <w:p w14:paraId="2677FA10" w14:textId="77777777" w:rsidR="006F4305" w:rsidRPr="00B975E1" w:rsidRDefault="006F4305" w:rsidP="006F4305">
      <w:pPr>
        <w:widowControl w:val="0"/>
        <w:spacing w:after="0" w:line="240" w:lineRule="auto"/>
        <w:ind w:firstLine="709"/>
        <w:jc w:val="both"/>
        <w:rPr>
          <w:rFonts w:ascii="Times New Roman" w:eastAsia="Times New Roman" w:hAnsi="Times New Roman" w:cs="Times New Roman"/>
          <w:b/>
          <w:color w:val="002060"/>
          <w:sz w:val="28"/>
          <w:szCs w:val="28"/>
          <w:lang w:eastAsia="ru-RU"/>
        </w:rPr>
      </w:pPr>
      <w:r w:rsidRPr="00B975E1">
        <w:rPr>
          <w:rFonts w:ascii="Times New Roman" w:eastAsia="Times New Roman" w:hAnsi="Times New Roman" w:cs="Times New Roman"/>
          <w:b/>
          <w:color w:val="002060"/>
          <w:sz w:val="28"/>
          <w:szCs w:val="28"/>
          <w:lang w:eastAsia="ru-RU"/>
        </w:rPr>
        <w:t>6.5.10. Н</w:t>
      </w:r>
      <w:r w:rsidRPr="00B975E1">
        <w:rPr>
          <w:rFonts w:ascii="Times New Roman" w:eastAsia="Times New Roman" w:hAnsi="Times New Roman" w:cs="Times New Roman"/>
          <w:b/>
          <w:color w:val="002060"/>
          <w:sz w:val="28"/>
          <w:szCs w:val="24"/>
          <w:lang w:eastAsia="ru-RU"/>
        </w:rPr>
        <w:t xml:space="preserve">ациональный </w:t>
      </w:r>
      <w:r w:rsidRPr="00B975E1">
        <w:rPr>
          <w:rFonts w:ascii="Times New Roman" w:eastAsia="Times New Roman" w:hAnsi="Times New Roman" w:cs="Times New Roman"/>
          <w:b/>
          <w:color w:val="002060"/>
          <w:sz w:val="28"/>
          <w:szCs w:val="28"/>
          <w:lang w:eastAsia="ru-RU"/>
        </w:rPr>
        <w:t>проект «Международная кооперация и экспорт».</w:t>
      </w:r>
    </w:p>
    <w:p w14:paraId="63C0EDC2" w14:textId="77777777" w:rsidR="006F4305" w:rsidRPr="006F4305" w:rsidRDefault="006F4305" w:rsidP="0017357D">
      <w:pPr>
        <w:widowControl w:val="0"/>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Times New Roman" w:hAnsi="Times New Roman" w:cs="Times New Roman"/>
          <w:sz w:val="28"/>
          <w:szCs w:val="24"/>
          <w:lang w:eastAsia="ru-RU"/>
        </w:rPr>
        <w:t>В 2021 году на реализацию национального проекта «</w:t>
      </w:r>
      <w:r w:rsidRPr="006F4305">
        <w:rPr>
          <w:rFonts w:ascii="Times New Roman" w:eastAsia="Times New Roman" w:hAnsi="Times New Roman" w:cs="Times New Roman"/>
          <w:sz w:val="28"/>
          <w:szCs w:val="28"/>
          <w:lang w:eastAsia="ru-RU"/>
        </w:rPr>
        <w:t>Международная кооперация и экспорт</w:t>
      </w:r>
      <w:r w:rsidRPr="006F4305">
        <w:rPr>
          <w:rFonts w:ascii="Times New Roman" w:eastAsia="Times New Roman" w:hAnsi="Times New Roman" w:cs="Times New Roman"/>
          <w:sz w:val="28"/>
          <w:szCs w:val="24"/>
          <w:lang w:eastAsia="ru-RU"/>
        </w:rPr>
        <w:t xml:space="preserve">» профинансированы расходы в сумме 32,5 млн рублей, или 100 % от годовых </w:t>
      </w:r>
      <w:r w:rsidRPr="006F4305">
        <w:rPr>
          <w:rFonts w:ascii="Times New Roman" w:eastAsia="Calibri" w:hAnsi="Times New Roman" w:cs="Times New Roman"/>
          <w:sz w:val="28"/>
          <w:szCs w:val="28"/>
          <w:lang w:eastAsia="ru-RU"/>
        </w:rPr>
        <w:t>значений (за счет федерального бюджета – 32,2 млн рублей и республиканского бюджета Республики Дагестан – 0,3 млн рублей).</w:t>
      </w:r>
    </w:p>
    <w:p w14:paraId="7B6E2349" w14:textId="77777777" w:rsidR="006F4305" w:rsidRPr="006F4305" w:rsidRDefault="006F4305" w:rsidP="0017357D">
      <w:pPr>
        <w:widowControl w:val="0"/>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lastRenderedPageBreak/>
        <w:t>В рамках национального проекта бюджетные средства профинансированы на реализацию мероприятий регионального проекта «Экспорт продукции АПК».</w:t>
      </w:r>
    </w:p>
    <w:p w14:paraId="4B4C925E" w14:textId="77777777" w:rsidR="006F4305" w:rsidRPr="006F4305" w:rsidRDefault="006F4305" w:rsidP="0017357D">
      <w:pPr>
        <w:widowControl w:val="0"/>
        <w:spacing w:after="0" w:line="264" w:lineRule="auto"/>
        <w:ind w:firstLine="709"/>
        <w:jc w:val="both"/>
        <w:rPr>
          <w:rFonts w:ascii="Times New Roman" w:eastAsia="Microsoft Sans Serif" w:hAnsi="Times New Roman" w:cs="Times New Roman"/>
          <w:color w:val="000000"/>
          <w:sz w:val="28"/>
          <w:szCs w:val="28"/>
          <w:lang w:eastAsia="ru-RU" w:bidi="ru-RU"/>
        </w:rPr>
      </w:pPr>
      <w:r w:rsidRPr="006F4305">
        <w:rPr>
          <w:rFonts w:ascii="Times New Roman" w:eastAsia="Calibri" w:hAnsi="Times New Roman" w:cs="Times New Roman"/>
          <w:sz w:val="28"/>
          <w:szCs w:val="28"/>
          <w:lang w:eastAsia="ru-RU"/>
        </w:rPr>
        <w:t>Средства, выделенные по региональному проекту, направлены на выдачу</w:t>
      </w:r>
      <w:r w:rsidRPr="006F4305">
        <w:rPr>
          <w:rFonts w:ascii="Times New Roman" w:eastAsia="Times New Roman" w:hAnsi="Times New Roman" w:cs="Times New Roman"/>
          <w:sz w:val="28"/>
          <w:szCs w:val="28"/>
          <w:lang w:eastAsia="ru-RU"/>
        </w:rPr>
        <w:t xml:space="preserve"> субсидий на возмещение затрат сельхозтоваропроизводителям </w:t>
      </w:r>
      <w:r w:rsidRPr="006F4305">
        <w:rPr>
          <w:rFonts w:ascii="Times New Roman" w:eastAsia="Times New Roman" w:hAnsi="Times New Roman" w:cs="Times New Roman"/>
          <w:sz w:val="28"/>
          <w:szCs w:val="28"/>
          <w:lang w:eastAsia="ru-RU"/>
        </w:rPr>
        <w:br/>
        <w:t>ООО «Кизляр Урицкий мясокомбинат», которым произведены работы по строительству рисовых чеков на площади 502 га</w:t>
      </w:r>
      <w:r w:rsidRPr="006F4305">
        <w:rPr>
          <w:rFonts w:ascii="Times New Roman" w:eastAsia="Microsoft Sans Serif" w:hAnsi="Times New Roman" w:cs="Microsoft Sans Serif"/>
          <w:color w:val="000000"/>
          <w:sz w:val="28"/>
          <w:szCs w:val="28"/>
          <w:lang w:eastAsia="ru-RU" w:bidi="ru-RU"/>
        </w:rPr>
        <w:t xml:space="preserve"> (100,4 %) от установленных 500 га.</w:t>
      </w:r>
    </w:p>
    <w:p w14:paraId="5397FAE3" w14:textId="77777777" w:rsidR="006F4305" w:rsidRPr="006F4305" w:rsidRDefault="006F4305" w:rsidP="0017357D">
      <w:pPr>
        <w:widowControl w:val="0"/>
        <w:spacing w:after="0" w:line="264"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На 1 января 2022 года освоение выделенных средств составило 32,48 млн рублей, или 100 % от объема финансирования.</w:t>
      </w:r>
    </w:p>
    <w:p w14:paraId="0880AF09" w14:textId="77777777" w:rsidR="006F4305" w:rsidRPr="006F4305" w:rsidRDefault="006F4305" w:rsidP="0017357D">
      <w:pPr>
        <w:widowControl w:val="0"/>
        <w:spacing w:after="0" w:line="264" w:lineRule="auto"/>
        <w:ind w:firstLine="709"/>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Целевой показатель регионального проекта «Объем экспорта продукции АПК», млн долларов США, выполнен на </w:t>
      </w:r>
      <w:r w:rsidRPr="006F4305">
        <w:rPr>
          <w:rFonts w:ascii="Times New Roman" w:eastAsia="Times New Roman" w:hAnsi="Times New Roman" w:cs="Times New Roman"/>
          <w:sz w:val="28"/>
          <w:szCs w:val="28"/>
          <w:lang w:eastAsia="ru-RU" w:bidi="ru-RU"/>
        </w:rPr>
        <w:t xml:space="preserve">125,0% </w:t>
      </w:r>
      <w:r w:rsidRPr="006F4305">
        <w:rPr>
          <w:rFonts w:ascii="Times New Roman" w:eastAsia="Times New Roman" w:hAnsi="Times New Roman" w:cs="Times New Roman"/>
          <w:sz w:val="28"/>
          <w:szCs w:val="28"/>
          <w:lang w:eastAsia="ru-RU"/>
        </w:rPr>
        <w:t xml:space="preserve">(план – 27,3 млн долл., </w:t>
      </w:r>
      <w:r w:rsidRPr="006F4305">
        <w:rPr>
          <w:rFonts w:ascii="Times New Roman" w:eastAsia="Times New Roman" w:hAnsi="Times New Roman" w:cs="Times New Roman"/>
          <w:sz w:val="28"/>
          <w:szCs w:val="28"/>
          <w:lang w:eastAsia="ru-RU"/>
        </w:rPr>
        <w:br/>
        <w:t>факт – 34,1 млн долл.).</w:t>
      </w:r>
      <w:r w:rsidRPr="006F4305">
        <w:rPr>
          <w:rFonts w:ascii="Times New Roman" w:eastAsia="Times New Roman" w:hAnsi="Times New Roman" w:cs="Times New Roman"/>
          <w:sz w:val="28"/>
          <w:szCs w:val="28"/>
          <w:lang w:eastAsia="ru-RU" w:bidi="ru-RU"/>
        </w:rPr>
        <w:t xml:space="preserve"> </w:t>
      </w:r>
    </w:p>
    <w:p w14:paraId="4BC79435" w14:textId="77777777" w:rsidR="006F4305" w:rsidRPr="006F4305" w:rsidRDefault="006F4305" w:rsidP="0017357D">
      <w:pPr>
        <w:widowControl w:val="0"/>
        <w:spacing w:after="0" w:line="264" w:lineRule="auto"/>
        <w:ind w:firstLine="709"/>
        <w:contextualSpacing/>
        <w:jc w:val="both"/>
        <w:rPr>
          <w:rFonts w:ascii="Times New Roman" w:eastAsia="Times New Roman" w:hAnsi="Times New Roman" w:cs="Times New Roman"/>
          <w:b/>
          <w:bCs/>
          <w:color w:val="002060"/>
          <w:sz w:val="28"/>
          <w:szCs w:val="28"/>
          <w:lang w:eastAsia="ru-RU"/>
        </w:rPr>
      </w:pPr>
    </w:p>
    <w:p w14:paraId="428D87FA" w14:textId="77777777" w:rsidR="006F4305" w:rsidRPr="006F4305" w:rsidRDefault="006F4305" w:rsidP="0017357D">
      <w:pPr>
        <w:widowControl w:val="0"/>
        <w:spacing w:after="0" w:line="264" w:lineRule="auto"/>
        <w:ind w:firstLine="709"/>
        <w:contextualSpacing/>
        <w:jc w:val="both"/>
        <w:rPr>
          <w:rFonts w:ascii="Times New Roman" w:eastAsia="Times New Roman" w:hAnsi="Times New Roman" w:cs="Times New Roman"/>
          <w:sz w:val="28"/>
          <w:szCs w:val="28"/>
          <w:lang w:eastAsia="ru-RU"/>
        </w:rPr>
      </w:pPr>
      <w:r w:rsidRPr="00B975E1">
        <w:rPr>
          <w:rFonts w:ascii="Times New Roman" w:eastAsia="Times New Roman" w:hAnsi="Times New Roman" w:cs="Times New Roman"/>
          <w:b/>
          <w:bCs/>
          <w:color w:val="002060"/>
          <w:sz w:val="28"/>
          <w:szCs w:val="28"/>
          <w:lang w:eastAsia="ru-RU"/>
        </w:rPr>
        <w:t>6.6.</w:t>
      </w:r>
      <w:r w:rsidRPr="00B975E1">
        <w:rPr>
          <w:rFonts w:ascii="Times New Roman" w:eastAsia="Times New Roman" w:hAnsi="Times New Roman" w:cs="Times New Roman"/>
          <w:color w:val="002060"/>
          <w:sz w:val="28"/>
          <w:szCs w:val="28"/>
          <w:lang w:eastAsia="ru-RU"/>
        </w:rPr>
        <w:t xml:space="preserve"> </w:t>
      </w:r>
      <w:r w:rsidRPr="006F4305">
        <w:rPr>
          <w:rFonts w:ascii="Times New Roman" w:eastAsia="Times New Roman" w:hAnsi="Times New Roman" w:cs="Times New Roman"/>
          <w:sz w:val="28"/>
          <w:szCs w:val="28"/>
          <w:lang w:eastAsia="ru-RU"/>
        </w:rPr>
        <w:t>В 2021 году министерствами и ведомствами Республики Дагестан в рамках реализации национальных проектов было запланировано заключение 604</w:t>
      </w:r>
      <w:r w:rsidRPr="006F4305">
        <w:rPr>
          <w:rFonts w:ascii="Times New Roman" w:eastAsia="Times New Roman" w:hAnsi="Times New Roman" w:cs="Times New Roman"/>
          <w:bCs/>
          <w:sz w:val="28"/>
          <w:szCs w:val="28"/>
          <w:lang w:eastAsia="ru-RU"/>
        </w:rPr>
        <w:t xml:space="preserve"> контрактов (договоров)</w:t>
      </w:r>
      <w:r w:rsidRPr="006F4305">
        <w:rPr>
          <w:rFonts w:ascii="Times New Roman" w:eastAsia="Times New Roman" w:hAnsi="Times New Roman" w:cs="Times New Roman"/>
          <w:sz w:val="28"/>
          <w:szCs w:val="28"/>
          <w:lang w:eastAsia="ru-RU"/>
        </w:rPr>
        <w:t xml:space="preserve"> по 9 национальным проектам (по национальным проектам «Международная кооперация и экспорт», «Производительность труда и поддержка занятости», «Наука» заключение контрактов не предусмотрено).</w:t>
      </w:r>
    </w:p>
    <w:p w14:paraId="4AA649AD" w14:textId="77777777" w:rsidR="006F4305" w:rsidRPr="006F4305" w:rsidRDefault="006F4305" w:rsidP="0017357D">
      <w:pPr>
        <w:widowControl w:val="0"/>
        <w:spacing w:after="0" w:line="264" w:lineRule="auto"/>
        <w:ind w:firstLine="709"/>
        <w:contextualSpacing/>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sz w:val="28"/>
          <w:szCs w:val="28"/>
          <w:lang w:eastAsia="ru-RU"/>
        </w:rPr>
        <w:t xml:space="preserve"> </w:t>
      </w:r>
      <w:r w:rsidRPr="006F4305">
        <w:rPr>
          <w:rFonts w:ascii="Times New Roman" w:eastAsia="Times New Roman" w:hAnsi="Times New Roman" w:cs="Times New Roman"/>
          <w:bCs/>
          <w:sz w:val="28"/>
          <w:szCs w:val="28"/>
          <w:lang w:eastAsia="ru-RU"/>
        </w:rPr>
        <w:t>За 2021 год фактически заключено 600 контрактов</w:t>
      </w:r>
      <w:r w:rsidRPr="006F4305">
        <w:rPr>
          <w:rFonts w:ascii="Times New Roman" w:eastAsia="Times New Roman" w:hAnsi="Times New Roman" w:cs="Times New Roman"/>
          <w:sz w:val="28"/>
          <w:szCs w:val="28"/>
          <w:lang w:eastAsia="ru-RU"/>
        </w:rPr>
        <w:t xml:space="preserve"> (договоров) </w:t>
      </w:r>
      <w:r w:rsidRPr="006F4305">
        <w:rPr>
          <w:rFonts w:ascii="Times New Roman" w:eastAsia="Times New Roman" w:hAnsi="Times New Roman" w:cs="Times New Roman"/>
          <w:bCs/>
          <w:sz w:val="28"/>
          <w:szCs w:val="28"/>
          <w:lang w:eastAsia="ru-RU"/>
        </w:rPr>
        <w:t>на сумму 12 859 млн рублей</w:t>
      </w:r>
      <w:r w:rsidRPr="006F4305">
        <w:rPr>
          <w:rFonts w:ascii="Times New Roman" w:eastAsia="Times New Roman" w:hAnsi="Times New Roman" w:cs="Times New Roman"/>
          <w:sz w:val="28"/>
          <w:szCs w:val="28"/>
          <w:lang w:eastAsia="ru-RU"/>
        </w:rPr>
        <w:t>, или 99,3 % от запланированного объема (604).</w:t>
      </w:r>
    </w:p>
    <w:p w14:paraId="6865531A" w14:textId="77777777" w:rsidR="006F4305" w:rsidRPr="006F4305" w:rsidRDefault="006F4305" w:rsidP="0017357D">
      <w:pPr>
        <w:widowControl w:val="0"/>
        <w:spacing w:after="0" w:line="264" w:lineRule="auto"/>
        <w:ind w:firstLine="709"/>
        <w:contextualSpacing/>
        <w:jc w:val="both"/>
        <w:rPr>
          <w:rFonts w:ascii="Times New Roman" w:eastAsia="Times New Roman" w:hAnsi="Times New Roman" w:cs="Times New Roman"/>
          <w:sz w:val="28"/>
          <w:szCs w:val="28"/>
          <w:lang w:eastAsia="ru-RU"/>
        </w:rPr>
      </w:pPr>
      <w:r w:rsidRPr="006F4305">
        <w:rPr>
          <w:rFonts w:ascii="Times New Roman" w:eastAsia="Times New Roman" w:hAnsi="Times New Roman" w:cs="Times New Roman"/>
          <w:bCs/>
          <w:sz w:val="28"/>
          <w:szCs w:val="28"/>
          <w:lang w:eastAsia="ru-RU"/>
        </w:rPr>
        <w:t>Министерствами и ведомствами Республики Дагестан, ответственными за реализацию национальных (региональных) проектов, не приняты необходимые меры по заключению всех контрактов на выполнение мероприятий региональных проектов.</w:t>
      </w:r>
      <w:r w:rsidRPr="006F4305">
        <w:rPr>
          <w:rFonts w:ascii="Times New Roman" w:eastAsia="Times New Roman" w:hAnsi="Times New Roman" w:cs="Times New Roman"/>
          <w:sz w:val="28"/>
          <w:szCs w:val="28"/>
          <w:lang w:eastAsia="ru-RU"/>
        </w:rPr>
        <w:t xml:space="preserve"> </w:t>
      </w:r>
    </w:p>
    <w:p w14:paraId="123203CF" w14:textId="77777777" w:rsidR="006F4305" w:rsidRPr="006F4305" w:rsidRDefault="006F4305" w:rsidP="0017357D">
      <w:pPr>
        <w:widowControl w:val="0"/>
        <w:tabs>
          <w:tab w:val="left" w:pos="7938"/>
          <w:tab w:val="left" w:pos="9540"/>
        </w:tabs>
        <w:spacing w:after="0" w:line="264"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По состоянию на 1 января 2022 года не заключены </w:t>
      </w:r>
      <w:r w:rsidRPr="006F4305">
        <w:rPr>
          <w:rFonts w:ascii="Times New Roman" w:eastAsia="Times New Roman" w:hAnsi="Times New Roman" w:cs="Times New Roman"/>
          <w:sz w:val="28"/>
          <w:szCs w:val="28"/>
        </w:rPr>
        <w:t>4 запланированных контракта по региональному проекту «Обеспечение устойчивого сокращения непригодного для проживания жилищного фонда».</w:t>
      </w:r>
    </w:p>
    <w:p w14:paraId="23C8DD3D" w14:textId="77777777" w:rsidR="006F4305" w:rsidRPr="006F4305" w:rsidRDefault="006F4305" w:rsidP="0017357D">
      <w:pPr>
        <w:widowControl w:val="0"/>
        <w:tabs>
          <w:tab w:val="left" w:pos="7938"/>
          <w:tab w:val="left" w:pos="9540"/>
        </w:tabs>
        <w:spacing w:after="0" w:line="264"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Несвоевременное (некачественное) осуществление закупочной деятельности в целях реализации региональных проектов привело к неисполнению (ненадлежащему исполнению) обязательств поставщиками. </w:t>
      </w:r>
    </w:p>
    <w:p w14:paraId="6BDC3A1C" w14:textId="77777777" w:rsidR="006F4305" w:rsidRPr="006F4305" w:rsidRDefault="006F4305" w:rsidP="006F4305">
      <w:pPr>
        <w:widowControl w:val="0"/>
        <w:tabs>
          <w:tab w:val="left" w:pos="7938"/>
          <w:tab w:val="left" w:pos="9540"/>
        </w:tabs>
        <w:spacing w:after="0" w:line="240" w:lineRule="auto"/>
        <w:ind w:firstLine="709"/>
        <w:jc w:val="center"/>
        <w:rPr>
          <w:rFonts w:ascii="Times New Roman" w:eastAsia="Times New Roman" w:hAnsi="Times New Roman" w:cs="Times New Roman"/>
          <w:b/>
          <w:bCs/>
          <w:color w:val="002060"/>
          <w:sz w:val="28"/>
          <w:szCs w:val="24"/>
          <w:lang w:eastAsia="ru-RU"/>
        </w:rPr>
      </w:pPr>
    </w:p>
    <w:p w14:paraId="7AAE32EA" w14:textId="77777777" w:rsidR="006F4305" w:rsidRPr="006F4305" w:rsidRDefault="006F4305" w:rsidP="006F4305">
      <w:pPr>
        <w:widowControl w:val="0"/>
        <w:tabs>
          <w:tab w:val="left" w:pos="7938"/>
          <w:tab w:val="left" w:pos="9540"/>
        </w:tabs>
        <w:spacing w:after="0" w:line="240" w:lineRule="auto"/>
        <w:ind w:firstLine="709"/>
        <w:jc w:val="center"/>
        <w:rPr>
          <w:rFonts w:ascii="Times New Roman" w:eastAsia="Times New Roman" w:hAnsi="Times New Roman" w:cs="Times New Roman"/>
          <w:b/>
          <w:bCs/>
          <w:color w:val="002060"/>
          <w:sz w:val="28"/>
          <w:szCs w:val="24"/>
          <w:lang w:eastAsia="ru-RU"/>
        </w:rPr>
      </w:pPr>
      <w:r w:rsidRPr="006F4305">
        <w:rPr>
          <w:rFonts w:ascii="Times New Roman" w:eastAsia="Times New Roman" w:hAnsi="Times New Roman" w:cs="Times New Roman"/>
          <w:b/>
          <w:bCs/>
          <w:color w:val="002060"/>
          <w:sz w:val="28"/>
          <w:szCs w:val="24"/>
          <w:lang w:eastAsia="ru-RU"/>
        </w:rPr>
        <w:t>Количество контрактов, заключенных</w:t>
      </w:r>
    </w:p>
    <w:p w14:paraId="07E426D5" w14:textId="77777777" w:rsidR="006F4305" w:rsidRPr="006F4305" w:rsidRDefault="006F4305" w:rsidP="006F4305">
      <w:pPr>
        <w:widowControl w:val="0"/>
        <w:tabs>
          <w:tab w:val="left" w:pos="7938"/>
          <w:tab w:val="left" w:pos="9540"/>
        </w:tabs>
        <w:spacing w:after="0" w:line="240" w:lineRule="auto"/>
        <w:ind w:firstLine="709"/>
        <w:jc w:val="center"/>
        <w:rPr>
          <w:rFonts w:ascii="Times New Roman" w:eastAsia="Times New Roman" w:hAnsi="Times New Roman" w:cs="Times New Roman"/>
          <w:b/>
          <w:bCs/>
          <w:color w:val="002060"/>
          <w:sz w:val="28"/>
          <w:szCs w:val="24"/>
          <w:lang w:eastAsia="ru-RU"/>
        </w:rPr>
      </w:pPr>
      <w:r w:rsidRPr="006F4305">
        <w:rPr>
          <w:rFonts w:ascii="Times New Roman" w:eastAsia="Times New Roman" w:hAnsi="Times New Roman" w:cs="Times New Roman"/>
          <w:b/>
          <w:bCs/>
          <w:color w:val="002060"/>
          <w:sz w:val="28"/>
          <w:szCs w:val="24"/>
          <w:lang w:eastAsia="ru-RU"/>
        </w:rPr>
        <w:t>в ходе реализации национальных (региональных) проектов</w:t>
      </w:r>
    </w:p>
    <w:p w14:paraId="56B27B8A" w14:textId="77777777" w:rsidR="006F4305" w:rsidRPr="006F4305" w:rsidRDefault="006F4305" w:rsidP="006F4305">
      <w:pPr>
        <w:widowControl w:val="0"/>
        <w:tabs>
          <w:tab w:val="left" w:pos="7938"/>
          <w:tab w:val="left" w:pos="9540"/>
        </w:tabs>
        <w:spacing w:after="0" w:line="240" w:lineRule="auto"/>
        <w:ind w:firstLine="709"/>
        <w:jc w:val="center"/>
        <w:rPr>
          <w:rFonts w:ascii="Times New Roman" w:eastAsia="Times New Roman" w:hAnsi="Times New Roman" w:cs="Times New Roman"/>
          <w:b/>
          <w:bCs/>
          <w:color w:val="002060"/>
          <w:sz w:val="28"/>
          <w:szCs w:val="24"/>
          <w:lang w:eastAsia="ru-RU"/>
        </w:rPr>
      </w:pPr>
      <w:r w:rsidRPr="006F4305">
        <w:rPr>
          <w:rFonts w:ascii="Times New Roman" w:eastAsia="Times New Roman" w:hAnsi="Times New Roman" w:cs="Times New Roman"/>
          <w:b/>
          <w:bCs/>
          <w:color w:val="002060"/>
          <w:sz w:val="28"/>
          <w:szCs w:val="24"/>
          <w:lang w:eastAsia="ru-RU"/>
        </w:rPr>
        <w:t>в Республике Дагестан в 2021 году</w:t>
      </w:r>
    </w:p>
    <w:p w14:paraId="183A45E3" w14:textId="77777777" w:rsidR="006F4305" w:rsidRPr="006F4305" w:rsidRDefault="006F4305" w:rsidP="0017357D">
      <w:pPr>
        <w:spacing w:before="240" w:after="0" w:line="276" w:lineRule="auto"/>
        <w:ind w:left="-1701" w:firstLine="850"/>
        <w:jc w:val="both"/>
        <w:rPr>
          <w:rFonts w:ascii="Times New Roman" w:eastAsia="Times New Roman" w:hAnsi="Times New Roman" w:cs="Times New Roman"/>
          <w:bCs/>
          <w:sz w:val="28"/>
          <w:szCs w:val="28"/>
        </w:rPr>
      </w:pPr>
      <w:r w:rsidRPr="006F4305">
        <w:rPr>
          <w:rFonts w:ascii="Times New Roman" w:eastAsia="Times New Roman" w:hAnsi="Times New Roman" w:cs="Times New Roman"/>
          <w:bCs/>
          <w:noProof/>
          <w:sz w:val="28"/>
          <w:szCs w:val="28"/>
          <w:lang w:eastAsia="ru-RU"/>
        </w:rPr>
        <w:lastRenderedPageBreak/>
        <w:drawing>
          <wp:inline distT="0" distB="0" distL="0" distR="0" wp14:anchorId="1DE62322" wp14:editId="51DD76F8">
            <wp:extent cx="6851316" cy="4562475"/>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65552" cy="4571955"/>
                    </a:xfrm>
                    <a:prstGeom prst="rect">
                      <a:avLst/>
                    </a:prstGeom>
                    <a:noFill/>
                  </pic:spPr>
                </pic:pic>
              </a:graphicData>
            </a:graphic>
          </wp:inline>
        </w:drawing>
      </w:r>
    </w:p>
    <w:p w14:paraId="0E97C665" w14:textId="77777777" w:rsidR="006F4305" w:rsidRPr="006F4305" w:rsidRDefault="006F4305" w:rsidP="0017357D">
      <w:pPr>
        <w:widowControl w:val="0"/>
        <w:spacing w:after="0" w:line="264" w:lineRule="auto"/>
        <w:ind w:firstLine="709"/>
        <w:jc w:val="both"/>
        <w:rPr>
          <w:rFonts w:ascii="Times New Roman" w:eastAsia="Times New Roman" w:hAnsi="Times New Roman" w:cs="Times New Roman"/>
          <w:sz w:val="28"/>
          <w:szCs w:val="24"/>
          <w:lang w:eastAsia="ru-RU"/>
        </w:rPr>
      </w:pPr>
      <w:r w:rsidRPr="00B975E1">
        <w:rPr>
          <w:rFonts w:ascii="Times New Roman" w:eastAsia="Times New Roman" w:hAnsi="Times New Roman" w:cs="Times New Roman"/>
          <w:b/>
          <w:bCs/>
          <w:color w:val="002060"/>
          <w:sz w:val="28"/>
          <w:szCs w:val="24"/>
          <w:lang w:eastAsia="ru-RU"/>
        </w:rPr>
        <w:t>6.7.</w:t>
      </w:r>
      <w:r w:rsidRPr="00B975E1">
        <w:rPr>
          <w:rFonts w:ascii="Times New Roman" w:eastAsia="Times New Roman" w:hAnsi="Times New Roman" w:cs="Times New Roman"/>
          <w:color w:val="002060"/>
          <w:sz w:val="28"/>
          <w:szCs w:val="24"/>
          <w:lang w:eastAsia="ru-RU"/>
        </w:rPr>
        <w:t xml:space="preserve"> </w:t>
      </w:r>
      <w:r w:rsidRPr="006F4305">
        <w:rPr>
          <w:rFonts w:ascii="Times New Roman" w:eastAsia="Times New Roman" w:hAnsi="Times New Roman" w:cs="Times New Roman"/>
          <w:sz w:val="28"/>
          <w:szCs w:val="24"/>
          <w:lang w:eastAsia="ru-RU"/>
        </w:rPr>
        <w:t xml:space="preserve">Кураторами национальных проектов (заместители Председателя Правительства Республики Дагестан) и ответственными исполнителями (руководители министерств и ведомств Республики Дагестана) в 2021 году </w:t>
      </w:r>
      <w:r w:rsidRPr="006F4305">
        <w:rPr>
          <w:rFonts w:ascii="Times New Roman" w:eastAsia="Times New Roman" w:hAnsi="Times New Roman" w:cs="Times New Roman"/>
          <w:sz w:val="28"/>
          <w:szCs w:val="24"/>
          <w:lang w:eastAsia="ru-RU"/>
        </w:rPr>
        <w:br/>
        <w:t>не был проведен качественный анализ итогов реализации национальных проектов за 2019-2020 годы и не приняты должные меры по своевременному финансированию и эффективному освоению бюджетных средств.</w:t>
      </w:r>
    </w:p>
    <w:p w14:paraId="6FA2DB9E" w14:textId="77777777" w:rsidR="006F4305" w:rsidRPr="006F4305" w:rsidRDefault="006F4305" w:rsidP="0017357D">
      <w:pPr>
        <w:spacing w:after="0" w:line="264"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 xml:space="preserve">Следует также отметить, что в течение 2021 года, несмотря на наличие текущих проблем, по отдельным национальным проектам были приняты дополнительные обязательства, выполнение которых было сопряжено со значительными рисками своевременного освоения планируемых бюджетных ассигнований (региональный проект «Дорожная сеть» национального проекта «Безопасные и качественные автомобильные дороги» - 400 млн рублей). </w:t>
      </w:r>
    </w:p>
    <w:p w14:paraId="55D02ED0" w14:textId="77777777" w:rsidR="006F4305" w:rsidRPr="006F4305" w:rsidRDefault="006F4305" w:rsidP="0017357D">
      <w:pPr>
        <w:widowControl w:val="0"/>
        <w:autoSpaceDE w:val="0"/>
        <w:autoSpaceDN w:val="0"/>
        <w:spacing w:after="0" w:line="264" w:lineRule="auto"/>
        <w:ind w:firstLine="709"/>
        <w:jc w:val="both"/>
        <w:rPr>
          <w:rFonts w:ascii="Times New Roman" w:eastAsia="Times New Roman" w:hAnsi="Times New Roman" w:cs="Times New Roman"/>
          <w:sz w:val="28"/>
          <w:szCs w:val="24"/>
          <w:lang w:eastAsia="ru-RU"/>
        </w:rPr>
      </w:pPr>
      <w:r w:rsidRPr="00B975E1">
        <w:rPr>
          <w:rFonts w:ascii="Times New Roman" w:eastAsia="Times New Roman" w:hAnsi="Times New Roman" w:cs="Times New Roman"/>
          <w:b/>
          <w:color w:val="002060"/>
          <w:sz w:val="28"/>
          <w:szCs w:val="24"/>
          <w:lang w:eastAsia="ru-RU"/>
        </w:rPr>
        <w:t>6.8.</w:t>
      </w:r>
      <w:r w:rsidRPr="00B975E1">
        <w:rPr>
          <w:rFonts w:ascii="Times New Roman" w:eastAsia="Times New Roman" w:hAnsi="Times New Roman" w:cs="Times New Roman"/>
          <w:color w:val="002060"/>
          <w:sz w:val="28"/>
          <w:szCs w:val="24"/>
          <w:lang w:eastAsia="ru-RU"/>
        </w:rPr>
        <w:t xml:space="preserve"> </w:t>
      </w:r>
      <w:r w:rsidRPr="006F4305">
        <w:rPr>
          <w:rFonts w:ascii="Times New Roman" w:eastAsia="Times New Roman" w:hAnsi="Times New Roman" w:cs="Times New Roman"/>
          <w:sz w:val="28"/>
          <w:szCs w:val="24"/>
          <w:lang w:eastAsia="ru-RU"/>
        </w:rPr>
        <w:t>Неэффективное планирование бюджетных ассигнований и плановых значений целевых показателей по региональным проектам, привели к неоднократным уточнениям объемов финансирования и корректировке целевых показателей. По отдельным региональным проектам были заключены дополнительные соглашения с федеральными органами власти, приводящие к уменьшению плановых значений целевых показателей, запланированных на 2021 год. Данная практика отрицательно влияет на достижение национальных целей реализации национальных проектов.</w:t>
      </w:r>
    </w:p>
    <w:p w14:paraId="2EA0C97D"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B975E1">
        <w:rPr>
          <w:rFonts w:ascii="Times New Roman" w:eastAsia="Times New Roman" w:hAnsi="Times New Roman" w:cs="Times New Roman"/>
          <w:b/>
          <w:bCs/>
          <w:color w:val="002060"/>
          <w:sz w:val="28"/>
          <w:szCs w:val="24"/>
          <w:lang w:eastAsia="ru-RU"/>
        </w:rPr>
        <w:lastRenderedPageBreak/>
        <w:t>6.9.</w:t>
      </w:r>
      <w:r w:rsidRPr="00B975E1">
        <w:rPr>
          <w:rFonts w:ascii="Times New Roman" w:eastAsia="Times New Roman" w:hAnsi="Times New Roman" w:cs="Times New Roman"/>
          <w:color w:val="002060"/>
          <w:sz w:val="28"/>
          <w:szCs w:val="24"/>
          <w:lang w:eastAsia="ru-RU"/>
        </w:rPr>
        <w:t xml:space="preserve"> </w:t>
      </w:r>
      <w:r w:rsidRPr="006F4305">
        <w:rPr>
          <w:rFonts w:ascii="Times New Roman" w:eastAsia="Calibri" w:hAnsi="Times New Roman" w:cs="Times New Roman"/>
          <w:bCs/>
          <w:sz w:val="28"/>
          <w:szCs w:val="28"/>
          <w:lang w:eastAsia="ru-RU"/>
        </w:rPr>
        <w:t xml:space="preserve">Счетная палата Республики Дагестан в ходе проводимого мониторинга неоднократно отмечала, что нарушения и недостатки, допущенные в ходе реализации национальных проектов, значительно увеличивают риски эффективной их реализации. Указанное следует отметить и в части нарушений </w:t>
      </w:r>
      <w:r w:rsidRPr="006F4305">
        <w:rPr>
          <w:rFonts w:ascii="Times New Roman" w:eastAsia="Calibri" w:hAnsi="Times New Roman" w:cs="Times New Roman"/>
          <w:sz w:val="28"/>
          <w:szCs w:val="28"/>
          <w:lang w:eastAsia="ru-RU"/>
        </w:rPr>
        <w:t xml:space="preserve">на общую сумму 2 114,13 млн рублей, </w:t>
      </w:r>
      <w:r w:rsidRPr="006F4305">
        <w:rPr>
          <w:rFonts w:ascii="Times New Roman" w:eastAsia="Calibri" w:hAnsi="Times New Roman" w:cs="Times New Roman"/>
          <w:bCs/>
          <w:sz w:val="28"/>
          <w:szCs w:val="28"/>
          <w:lang w:eastAsia="ru-RU"/>
        </w:rPr>
        <w:t xml:space="preserve">выявленных в ходе проверок </w:t>
      </w:r>
      <w:r w:rsidRPr="006F4305">
        <w:rPr>
          <w:rFonts w:ascii="Times New Roman" w:eastAsia="Calibri" w:hAnsi="Times New Roman" w:cs="Times New Roman"/>
          <w:sz w:val="28"/>
          <w:szCs w:val="28"/>
          <w:lang w:eastAsia="ru-RU"/>
        </w:rPr>
        <w:t xml:space="preserve">целевого и эффективного использования бюджетных средств, профинансированных на реализацию национальных проектов </w:t>
      </w:r>
      <w:r w:rsidRPr="006F4305">
        <w:rPr>
          <w:rFonts w:ascii="Times New Roman" w:eastAsia="Calibri" w:hAnsi="Times New Roman" w:cs="Times New Roman"/>
          <w:bCs/>
          <w:sz w:val="28"/>
          <w:szCs w:val="28"/>
          <w:lang w:eastAsia="ru-RU"/>
        </w:rPr>
        <w:t xml:space="preserve">в 2021 году, </w:t>
      </w:r>
      <w:r w:rsidRPr="006F4305">
        <w:rPr>
          <w:rFonts w:ascii="Times New Roman" w:eastAsia="Calibri" w:hAnsi="Times New Roman" w:cs="Times New Roman"/>
          <w:sz w:val="28"/>
          <w:szCs w:val="28"/>
          <w:lang w:eastAsia="ru-RU"/>
        </w:rPr>
        <w:t>в том числе:</w:t>
      </w:r>
    </w:p>
    <w:p w14:paraId="695E97C6"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нарушения при формировании и исполнении бюджетов – 88,43 млн рублей (в том числе: нецелевое расходование средств – 1,5 млн рублей, завышение стоимости выполненных работ – 5,2 млн рублей);</w:t>
      </w:r>
    </w:p>
    <w:p w14:paraId="6CF17F30"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нарушение ведения бухгалтерского учета – 56,3 млн рублей;</w:t>
      </w:r>
    </w:p>
    <w:p w14:paraId="07A942BC"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нарушение при осуществлении закупок – 131,2 млн рублей;</w:t>
      </w:r>
    </w:p>
    <w:p w14:paraId="0371E82A"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нарушения в сфере управления и распоряжения государственной собственностью – 400,0 млн рублей;</w:t>
      </w:r>
    </w:p>
    <w:p w14:paraId="43E439C5"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иные нарушения – 68,5 млн рублей (в том числе: неправомерные расходы – 54,8 млн рублей, прочие нарушения – 13,6 млн рублей);</w:t>
      </w:r>
    </w:p>
    <w:p w14:paraId="25892258" w14:textId="77777777" w:rsidR="006F4305" w:rsidRPr="006F4305" w:rsidRDefault="006F4305" w:rsidP="0017357D">
      <w:pPr>
        <w:spacing w:after="0" w:line="264" w:lineRule="auto"/>
        <w:ind w:firstLine="709"/>
        <w:jc w:val="both"/>
        <w:rPr>
          <w:rFonts w:ascii="Times New Roman" w:eastAsia="Calibri" w:hAnsi="Times New Roman" w:cs="Times New Roman"/>
          <w:sz w:val="28"/>
          <w:szCs w:val="28"/>
          <w:lang w:eastAsia="ru-RU"/>
        </w:rPr>
      </w:pPr>
      <w:r w:rsidRPr="006F4305">
        <w:rPr>
          <w:rFonts w:ascii="Times New Roman" w:eastAsia="Calibri" w:hAnsi="Times New Roman" w:cs="Times New Roman"/>
          <w:sz w:val="28"/>
          <w:szCs w:val="28"/>
          <w:lang w:eastAsia="ru-RU"/>
        </w:rPr>
        <w:t>- неэффективное использование бюджетных средств – 1 369,7 млн рублей.</w:t>
      </w:r>
    </w:p>
    <w:p w14:paraId="18F75367" w14:textId="77777777" w:rsidR="006F4305" w:rsidRPr="006F4305" w:rsidRDefault="006F4305" w:rsidP="0017357D">
      <w:pPr>
        <w:widowControl w:val="0"/>
        <w:tabs>
          <w:tab w:val="left" w:pos="7938"/>
        </w:tabs>
        <w:spacing w:after="0" w:line="264" w:lineRule="auto"/>
        <w:ind w:firstLine="709"/>
        <w:jc w:val="both"/>
        <w:rPr>
          <w:rFonts w:ascii="Times New Roman" w:eastAsia="Times New Roman" w:hAnsi="Times New Roman" w:cs="Times New Roman"/>
          <w:sz w:val="28"/>
          <w:szCs w:val="24"/>
          <w:lang w:eastAsia="ru-RU"/>
        </w:rPr>
      </w:pPr>
      <w:r w:rsidRPr="006F4305">
        <w:rPr>
          <w:rFonts w:ascii="Times New Roman" w:eastAsia="Times New Roman" w:hAnsi="Times New Roman" w:cs="Times New Roman"/>
          <w:sz w:val="28"/>
          <w:szCs w:val="24"/>
          <w:lang w:eastAsia="ru-RU"/>
        </w:rPr>
        <w:t>Проведенный анализ показал, что нарушения и недостатки, допущенные в ходе реализации национальных проектов, свидетельствуют об отсутствии должного контроля со стороны соответствующих кураторов национальных проектов по Республике Дагестан (заместителей Председателя Правительства Республики Дагестан) и ответственных исполнителей (руководителей министерств и ведомств Республики Дагестан) за организацией и реализацией мероприятий региональных проектов.</w:t>
      </w:r>
    </w:p>
    <w:p w14:paraId="4084742A" w14:textId="346943A1" w:rsidR="00143E5E" w:rsidRDefault="00143E5E" w:rsidP="0017357D">
      <w:pPr>
        <w:widowControl w:val="0"/>
        <w:autoSpaceDE w:val="0"/>
        <w:autoSpaceDN w:val="0"/>
        <w:adjustRightInd w:val="0"/>
        <w:spacing w:after="0" w:line="264" w:lineRule="auto"/>
        <w:ind w:firstLine="852"/>
        <w:jc w:val="both"/>
        <w:rPr>
          <w:rFonts w:ascii="Times New Roman" w:eastAsia="Times New Roman" w:hAnsi="Times New Roman"/>
          <w:color w:val="0070C0"/>
          <w:sz w:val="28"/>
          <w:szCs w:val="28"/>
          <w:lang w:eastAsia="ru-RU"/>
        </w:rPr>
      </w:pPr>
    </w:p>
    <w:p w14:paraId="45543F32" w14:textId="619B7C91"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506A7A3" w14:textId="3315F758"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CBEC2DB" w14:textId="6D464E3B"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D34253F" w14:textId="1485A673"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64F44F8" w14:textId="0A15CAF8"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1183CA7" w14:textId="19DB7AC2"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4011EC6" w14:textId="0A065D0D"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12C5FA7" w14:textId="0E5E540A"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3CAAE9A" w14:textId="21993D86"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EDA0B4F" w14:textId="5DF09011"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0D3C91E" w14:textId="07D78827"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28EE435" w14:textId="6ED5AD40"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66474F3" w14:textId="26E75C21"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4C62D44" w14:textId="77777777" w:rsidR="00CC01F3" w:rsidRDefault="00CC01F3"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07244CC" w14:textId="77777777" w:rsidR="00143E5E" w:rsidRPr="00143E5E" w:rsidRDefault="00143E5E" w:rsidP="00143E5E">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143E5E">
        <w:rPr>
          <w:rFonts w:ascii="Times New Roman" w:eastAsia="Times New Roman" w:hAnsi="Times New Roman" w:cs="Times New Roman"/>
          <w:b/>
          <w:bCs/>
          <w:color w:val="002060"/>
          <w:sz w:val="28"/>
          <w:szCs w:val="28"/>
          <w:lang w:eastAsia="ru-RU"/>
        </w:rPr>
        <w:lastRenderedPageBreak/>
        <w:t xml:space="preserve">7. </w:t>
      </w:r>
      <w:r w:rsidRPr="00143E5E">
        <w:rPr>
          <w:rFonts w:ascii="Times New Roman" w:eastAsia="Times New Roman" w:hAnsi="Times New Roman" w:cs="Times New Roman"/>
          <w:b/>
          <w:color w:val="002060"/>
          <w:sz w:val="28"/>
          <w:szCs w:val="28"/>
          <w:lang w:eastAsia="ru-RU"/>
        </w:rPr>
        <w:t xml:space="preserve">Анализ реализации Указа Президента Российской Федерации </w:t>
      </w:r>
    </w:p>
    <w:p w14:paraId="0AC60162" w14:textId="77777777" w:rsidR="00143E5E" w:rsidRPr="00143E5E" w:rsidRDefault="00143E5E" w:rsidP="00143E5E">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143E5E">
        <w:rPr>
          <w:rFonts w:ascii="Times New Roman" w:eastAsia="Times New Roman" w:hAnsi="Times New Roman" w:cs="Times New Roman"/>
          <w:b/>
          <w:color w:val="002060"/>
          <w:sz w:val="28"/>
          <w:szCs w:val="28"/>
          <w:lang w:eastAsia="ru-RU"/>
        </w:rPr>
        <w:t xml:space="preserve">от 7 мая 2012 г. № 597 «О мероприятиях по реализации </w:t>
      </w:r>
    </w:p>
    <w:p w14:paraId="692FB3B6" w14:textId="77777777" w:rsidR="00143E5E" w:rsidRPr="00143E5E" w:rsidRDefault="00143E5E" w:rsidP="00143E5E">
      <w:pPr>
        <w:widowControl w:val="0"/>
        <w:autoSpaceDE w:val="0"/>
        <w:autoSpaceDN w:val="0"/>
        <w:adjustRightInd w:val="0"/>
        <w:spacing w:after="0" w:line="240" w:lineRule="auto"/>
        <w:jc w:val="center"/>
        <w:rPr>
          <w:rFonts w:ascii="Times New Roman" w:eastAsia="Times New Roman" w:hAnsi="Times New Roman" w:cs="Times New Roman"/>
          <w:b/>
          <w:color w:val="002060"/>
          <w:sz w:val="28"/>
          <w:szCs w:val="28"/>
          <w:lang w:eastAsia="ru-RU"/>
        </w:rPr>
      </w:pPr>
      <w:r w:rsidRPr="00143E5E">
        <w:rPr>
          <w:rFonts w:ascii="Times New Roman" w:eastAsia="Times New Roman" w:hAnsi="Times New Roman" w:cs="Times New Roman"/>
          <w:b/>
          <w:color w:val="002060"/>
          <w:sz w:val="28"/>
          <w:szCs w:val="28"/>
          <w:lang w:eastAsia="ru-RU"/>
        </w:rPr>
        <w:t>государственной социальной политики»</w:t>
      </w:r>
    </w:p>
    <w:p w14:paraId="07631830" w14:textId="05EAD8DB" w:rsidR="00143E5E" w:rsidRDefault="00143E5E"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9F22297"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Целевые показатели повышения уровня средней заработной платы, категории работников, определенных Указом Президента Российской Федерации от 7 мая 2012 года № 597 «О мероприятиях по реализации государственной социальной политики», в Республике Дагестан за 2021 год достигнуты не по всем показателям, в частности:</w:t>
      </w:r>
    </w:p>
    <w:p w14:paraId="5925F1D7"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педагогических работников общеобразовательных учреждений составил 28 050,9 рубля, или 115,2 % по отношению к средней заработной плате по Республике Дагестан (24 348,0 рубля), при целевом показателе 100 %. Достигнут прирост на 15,2 процентного пункта;</w:t>
      </w:r>
    </w:p>
    <w:p w14:paraId="1FBBB008"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педагогических работников дошкольных образовательных учреждений по Республике Дагестан за 2019 год составил 25 211,0 рубля, или 98,7 % по отношению к средней заработной плате в сфере общего образования по Республике Дагестан (25 545,5 рубля), при целевом показателе 100 %. Допущено снижение на 1,3 процентного пункта;</w:t>
      </w:r>
    </w:p>
    <w:p w14:paraId="7E5CDE19"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xml:space="preserve">- размер средней заработной платы педагогических работников учреждений дополнительного образования год составил 27 551,1 рубля, или 96,2 % по отношению к средней заработной плате учителей по Республике Дагестан (28 640,8 рубля), при целевом показателе 100 %. Допущено снижение на 3,8 процентного пункта; </w:t>
      </w:r>
    </w:p>
    <w:p w14:paraId="4BC151F4"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42241B">
        <w:rPr>
          <w:rFonts w:ascii="Times New Roman" w:eastAsia="Times New Roman" w:hAnsi="Times New Roman" w:cs="Times New Roman"/>
          <w:sz w:val="28"/>
          <w:szCs w:val="28"/>
          <w:lang w:eastAsia="ru-RU"/>
        </w:rPr>
        <w:t>- размер средней заработной платы преподавателей и мастеров производственного обучения учреждений начального и среднего профессионального образования составил 32 045,0 рубля, или 131,6 % по отношению к средней заработной плате по Республике Дагестан (24 348,0 рубля), при целевом показателе 100 %. Достигнут прирост на 31,6 процентного пункта;</w:t>
      </w:r>
    </w:p>
    <w:p w14:paraId="5271D4A2"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преподавателей образовательных учреждений высшего профессионального образования составил 53 833,7 рубля, или 221,1 % по отношению к средней заработной плате по Республике Дагестан (24 348,0 рубля), при целевом показателе 200 %. Достигнут прирост на 21,1 процентного пункта;</w:t>
      </w:r>
    </w:p>
    <w:p w14:paraId="73F72044"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педагогических работников образовательных медицинских организаций или организаций, оказывающих социальные услуги детям-сиротам, составил 24 258,6 рубля, или 99,6 % по отношению к средней заработной плате по Республике Дагестан (24 348,0 рубля, при целевом показателе 100 %. Допущено снижение на 0,4 процентного пункта;</w:t>
      </w:r>
    </w:p>
    <w:p w14:paraId="6A9DD39A"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42241B">
        <w:rPr>
          <w:rFonts w:ascii="Times New Roman" w:eastAsia="Times New Roman" w:hAnsi="Times New Roman" w:cs="Times New Roman"/>
          <w:sz w:val="28"/>
          <w:szCs w:val="28"/>
          <w:lang w:eastAsia="ru-RU"/>
        </w:rPr>
        <w:t xml:space="preserve">- размер средней заработной платы научных сотрудников по Республике Дагестан составил 53 206,5 рубля, или 218,5 % по отношению к средней </w:t>
      </w:r>
      <w:r w:rsidRPr="0042241B">
        <w:rPr>
          <w:rFonts w:ascii="Times New Roman" w:eastAsia="Times New Roman" w:hAnsi="Times New Roman" w:cs="Times New Roman"/>
          <w:sz w:val="28"/>
          <w:szCs w:val="28"/>
          <w:lang w:eastAsia="ru-RU"/>
        </w:rPr>
        <w:lastRenderedPageBreak/>
        <w:t>заработной плате по Республике Дагестан (24 348,0 рубля), при целевом показателе 200 %. Достигнут прирост на 21,5 процентного пункта;</w:t>
      </w:r>
    </w:p>
    <w:p w14:paraId="43CBA15F"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врачей составил 57 125,6 рубля, или 234,6 % по отношению к средней заработной плате по Республике Дагестан (24 348,0 рубля), при целевом показателе 200 %. Достигнут прирост на 34,6 процентного пункта;</w:t>
      </w:r>
    </w:p>
    <w:p w14:paraId="75FA9EF6"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среднего медицинского персонала по Республике Дагестан составил 28 030,6 рубля, или 115,1 % по отношению к средней заработной плате по Республике Дагестан (24 348,0 рубля), при целевом показателе 100 %. Достигнут прирост на 15,1 процентного пункта;</w:t>
      </w:r>
    </w:p>
    <w:p w14:paraId="2AB14153"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младшего медицинского персонала составил 26 475,9 рубля, или 108,7 % по отношению к средней заработной плате по Республике Дагестан (24 348,0 рубля), при целевом показателе 100 %. Достигнут прирост на 8,7 процентного пункта;</w:t>
      </w:r>
    </w:p>
    <w:p w14:paraId="6D23CDAA"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работников учреждений культуры составил 25 442,4 рубля, или 104,5 % по отношению к средней заработной плате по Республике Дагестан (24 348,0 рубля), при целевом показателе 100%. Достигнут прирост на 4,5 процентного пункта;</w:t>
      </w:r>
    </w:p>
    <w:p w14:paraId="1195DBA9" w14:textId="77777777" w:rsidR="0042241B" w:rsidRPr="0042241B" w:rsidRDefault="0042241B" w:rsidP="0042241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241B">
        <w:rPr>
          <w:rFonts w:ascii="Times New Roman" w:eastAsia="Times New Roman" w:hAnsi="Times New Roman" w:cs="Times New Roman"/>
          <w:sz w:val="28"/>
          <w:szCs w:val="28"/>
          <w:lang w:eastAsia="ru-RU"/>
        </w:rPr>
        <w:t>- размер средней заработной платы социальных работников составил 25 699,8 рубля, или 105,6 % по отношению к средней заработной плате по Республике Дагестан (24 348,0 рубля), при целевом показателе 100 %. Достигнут прирост на 5,6 процентного пункта.</w:t>
      </w:r>
    </w:p>
    <w:p w14:paraId="3D18A143" w14:textId="77777777" w:rsidR="0042241B" w:rsidRPr="0042241B" w:rsidRDefault="0042241B" w:rsidP="0042241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1D8DEF53" w14:textId="69230B9B"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0812BF4" w14:textId="767FDFAB"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22B48D86" w14:textId="03A60A00"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3DA5DF2" w14:textId="3B52CC61"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277794E" w14:textId="6C759DE5"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77373E11" w14:textId="1D551753"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46C9C73" w14:textId="35BAC4B0"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91876C4" w14:textId="1A912D73"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E894C00" w14:textId="043570D3"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135F372" w14:textId="5DC91702"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6848338" w14:textId="24AAA681"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1C26E51" w14:textId="5B0EEFE4"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715EF31" w14:textId="4F86242F"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682702CD" w14:textId="3BA3699C"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0717582C" w14:textId="259E42F0"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37AB872" w14:textId="5602BD49"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2248B7C" w14:textId="0F07F874"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3FD33CE7" w14:textId="25D43DB1"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5A4F659F" w14:textId="32FA790D"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4E02BDF7" w14:textId="5A3E8931" w:rsidR="00145C1D"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p w14:paraId="17F0EADE" w14:textId="77777777" w:rsidR="008B166E" w:rsidRPr="008B166E" w:rsidRDefault="008B166E" w:rsidP="008B166E">
      <w:pPr>
        <w:widowControl w:val="0"/>
        <w:spacing w:after="0" w:line="240" w:lineRule="auto"/>
        <w:jc w:val="center"/>
        <w:rPr>
          <w:rFonts w:ascii="Times New Roman" w:eastAsia="Calibri" w:hAnsi="Times New Roman" w:cs="Times New Roman"/>
          <w:b/>
          <w:color w:val="002060"/>
          <w:sz w:val="28"/>
          <w:szCs w:val="28"/>
        </w:rPr>
      </w:pPr>
      <w:r w:rsidRPr="008B166E">
        <w:rPr>
          <w:rFonts w:ascii="Times New Roman" w:eastAsia="Calibri" w:hAnsi="Times New Roman" w:cs="Times New Roman"/>
          <w:b/>
          <w:color w:val="002060"/>
          <w:sz w:val="28"/>
          <w:szCs w:val="28"/>
        </w:rPr>
        <w:lastRenderedPageBreak/>
        <w:t>8. Выводы</w:t>
      </w:r>
    </w:p>
    <w:p w14:paraId="106EFC60" w14:textId="77777777" w:rsidR="008B166E" w:rsidRPr="008B166E" w:rsidRDefault="008B166E" w:rsidP="008B166E">
      <w:pPr>
        <w:widowControl w:val="0"/>
        <w:spacing w:after="0" w:line="240" w:lineRule="auto"/>
        <w:jc w:val="center"/>
        <w:rPr>
          <w:rFonts w:ascii="Times New Roman" w:eastAsia="Calibri" w:hAnsi="Times New Roman" w:cs="Times New Roman"/>
          <w:b/>
          <w:color w:val="002060"/>
          <w:sz w:val="28"/>
          <w:szCs w:val="28"/>
        </w:rPr>
      </w:pPr>
    </w:p>
    <w:p w14:paraId="0CD4AB6C" w14:textId="77777777" w:rsidR="008B166E" w:rsidRPr="008B166E" w:rsidRDefault="008B166E" w:rsidP="008B166E">
      <w:pPr>
        <w:widowControl w:val="0"/>
        <w:spacing w:after="0" w:line="240" w:lineRule="auto"/>
        <w:ind w:firstLine="709"/>
        <w:jc w:val="both"/>
        <w:rPr>
          <w:rFonts w:ascii="Times New Roman" w:hAnsi="Times New Roman"/>
          <w:sz w:val="28"/>
          <w:szCs w:val="28"/>
          <w:lang w:eastAsia="ru-RU"/>
        </w:rPr>
      </w:pPr>
      <w:r w:rsidRPr="008B166E">
        <w:rPr>
          <w:rFonts w:ascii="Times New Roman" w:hAnsi="Times New Roman" w:cs="Times New Roman"/>
          <w:b/>
          <w:bCs/>
          <w:color w:val="002060"/>
          <w:sz w:val="28"/>
          <w:szCs w:val="28"/>
        </w:rPr>
        <w:t>1.</w:t>
      </w:r>
      <w:r w:rsidRPr="008B166E">
        <w:rPr>
          <w:rFonts w:ascii="Times New Roman" w:hAnsi="Times New Roman" w:cs="Times New Roman"/>
          <w:sz w:val="28"/>
          <w:szCs w:val="28"/>
        </w:rPr>
        <w:t xml:space="preserve"> Анализ социально-экономического развития Республики Дагестан показал, что з</w:t>
      </w:r>
      <w:r w:rsidRPr="008B166E">
        <w:rPr>
          <w:rFonts w:ascii="Times New Roman" w:hAnsi="Times New Roman"/>
          <w:sz w:val="28"/>
          <w:szCs w:val="28"/>
          <w:lang w:eastAsia="ru-RU"/>
        </w:rPr>
        <w:t xml:space="preserve">а 2021 год исполнение основных макроэкономических показателей составило: </w:t>
      </w:r>
    </w:p>
    <w:p w14:paraId="55C0F8B8" w14:textId="77777777" w:rsidR="008B166E" w:rsidRPr="008B166E" w:rsidRDefault="008B166E" w:rsidP="008B166E">
      <w:pPr>
        <w:widowControl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ВРП (оценка) – 102 %, что на 2,7 процентных пункта больше, чем по отчету за 2020 год (99,3 %);</w:t>
      </w:r>
    </w:p>
    <w:p w14:paraId="6712844E"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промышленного производства – 105,2 %, что на 4,2 процентных пунктов меньше, чем по отчету за 2020 год (109,4 %);</w:t>
      </w:r>
    </w:p>
    <w:p w14:paraId="4C6A9FE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продукции сельского хозяйства – 100,5 %, что на 0,8 процентных пунктов меньше, чем по отчету за 2020 год (101,3 %);</w:t>
      </w:r>
    </w:p>
    <w:p w14:paraId="3184DBD3"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xml:space="preserve">- объем инвестиций в основной капитал – 88,6 %, что на 22,4 процентных пунктов меньше, чем по отчету за 2020 год (111 %); </w:t>
      </w:r>
    </w:p>
    <w:p w14:paraId="50F1FA01"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объема работ по виду деятельности «строительство» – 102,0 %, что на 2,4 процентных пункта больше, чем по отчету за 2020 год (99,9 %);</w:t>
      </w:r>
    </w:p>
    <w:p w14:paraId="6E10D5B9"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оборота розничной торговли – 101 %, что на 6,6 процентных пунктов больше, чем по отчету за 2020 год (94,4 %);</w:t>
      </w:r>
    </w:p>
    <w:p w14:paraId="16E4007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объема платных услуг населению – 116,6 %, что на 27,4 процентных пункта больше, чем по отчету за 2020 год (89,2 %);</w:t>
      </w:r>
    </w:p>
    <w:p w14:paraId="43F36CA3" w14:textId="77777777" w:rsidR="008B166E" w:rsidRPr="008B166E" w:rsidRDefault="008B166E" w:rsidP="008B166E">
      <w:pPr>
        <w:widowControl w:val="0"/>
        <w:tabs>
          <w:tab w:val="left" w:pos="1276"/>
        </w:tabs>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0"/>
          <w:lang w:eastAsia="ru-RU"/>
        </w:rPr>
        <w:t>- размера среднемесячной номинально начисленной заработной платы на одного работника – 106,7 %, что на 10,1 процентных пунктов меньше, чем по отчету за 2020 год (116,8 %);</w:t>
      </w:r>
    </w:p>
    <w:p w14:paraId="6C9B900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реально располагаемых денежных доходов населения – 100 %, что на 2,8 процентных пункта больше, чем по отчету за 2020 год (97,2 %).</w:t>
      </w:r>
    </w:p>
    <w:p w14:paraId="26F0CB63"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xml:space="preserve">Численность официально зарегистрированных безработных составила </w:t>
      </w:r>
      <w:r w:rsidRPr="008B166E">
        <w:rPr>
          <w:rFonts w:ascii="Times New Roman" w:hAnsi="Times New Roman"/>
          <w:sz w:val="28"/>
          <w:szCs w:val="28"/>
          <w:lang w:eastAsia="ru-RU"/>
        </w:rPr>
        <w:br/>
        <w:t>32 тыс. человек, что на 74,4 тыс. человек меньше, чем по отчету за 2020 год (106,4 тыс. человек).</w:t>
      </w:r>
    </w:p>
    <w:p w14:paraId="7EB75806"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b/>
          <w:bCs/>
          <w:color w:val="002060"/>
          <w:sz w:val="28"/>
          <w:szCs w:val="28"/>
          <w:lang w:eastAsia="ru-RU"/>
        </w:rPr>
        <w:t>2.</w:t>
      </w:r>
      <w:r w:rsidRPr="008B166E">
        <w:rPr>
          <w:rFonts w:ascii="Times New Roman" w:hAnsi="Times New Roman"/>
          <w:sz w:val="28"/>
          <w:szCs w:val="28"/>
          <w:lang w:eastAsia="ru-RU"/>
        </w:rPr>
        <w:t xml:space="preserve"> За 2021 год з</w:t>
      </w:r>
      <w:r w:rsidRPr="008B166E">
        <w:rPr>
          <w:rFonts w:ascii="Times New Roman" w:hAnsi="Times New Roman"/>
          <w:bCs/>
          <w:sz w:val="28"/>
          <w:szCs w:val="28"/>
          <w:lang w:eastAsia="ru-RU"/>
        </w:rPr>
        <w:t>начения п</w:t>
      </w:r>
      <w:r w:rsidRPr="008B166E">
        <w:rPr>
          <w:rFonts w:ascii="Times New Roman" w:hAnsi="Times New Roman"/>
          <w:sz w:val="28"/>
          <w:szCs w:val="28"/>
          <w:lang w:eastAsia="ru-RU"/>
        </w:rPr>
        <w:t>о 8 показателям социально-экономического развития не достигли параметров, запланированные Прогнозом СЭР РД на 2021 год</w:t>
      </w:r>
      <w:r w:rsidRPr="008B166E">
        <w:rPr>
          <w:rFonts w:ascii="Times New Roman" w:hAnsi="Times New Roman"/>
          <w:color w:val="000000"/>
          <w:sz w:val="28"/>
          <w:szCs w:val="28"/>
          <w:lang w:eastAsia="ru-RU"/>
        </w:rPr>
        <w:t>, в частности по</w:t>
      </w:r>
      <w:r w:rsidRPr="008B166E">
        <w:rPr>
          <w:rFonts w:ascii="Times New Roman" w:hAnsi="Times New Roman"/>
          <w:sz w:val="28"/>
          <w:szCs w:val="20"/>
          <w:lang w:eastAsia="ru-RU"/>
        </w:rPr>
        <w:t>:</w:t>
      </w:r>
    </w:p>
    <w:p w14:paraId="5AB8CDD2"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ВРП – на 0,4 % (процентных пунктов);</w:t>
      </w:r>
    </w:p>
    <w:p w14:paraId="7EBCE400"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индексу потребительских цен – на 6,0 %;</w:t>
      </w:r>
    </w:p>
    <w:p w14:paraId="2F83D7B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объему промышленной продукции – на 0,4 %;</w:t>
      </w:r>
    </w:p>
    <w:p w14:paraId="6FF7BAA2"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0"/>
          <w:lang w:eastAsia="ru-RU"/>
        </w:rPr>
        <w:t xml:space="preserve">- объему продукции сельского хозяйства </w:t>
      </w:r>
      <w:r w:rsidRPr="008B166E">
        <w:rPr>
          <w:rFonts w:ascii="Times New Roman" w:hAnsi="Times New Roman"/>
          <w:sz w:val="28"/>
          <w:szCs w:val="28"/>
          <w:lang w:eastAsia="ru-RU"/>
        </w:rPr>
        <w:t>– на 1,9 %;</w:t>
      </w:r>
    </w:p>
    <w:p w14:paraId="0DBFBE4F"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объему инвестиций – 14,5 %;</w:t>
      </w:r>
    </w:p>
    <w:p w14:paraId="0FF48E15"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8B166E">
        <w:rPr>
          <w:rFonts w:ascii="Times New Roman" w:hAnsi="Times New Roman"/>
          <w:sz w:val="28"/>
          <w:szCs w:val="28"/>
          <w:lang w:eastAsia="ru-RU"/>
        </w:rPr>
        <w:t>- обороту розничной торговли – на 0,5 %;</w:t>
      </w:r>
    </w:p>
    <w:p w14:paraId="33FB63A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среднемесячной номинальной начисленной заработной платы – 1,2 %.</w:t>
      </w:r>
    </w:p>
    <w:p w14:paraId="4E2A644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реальным располагаемым денежным доходам населения – на 4,1 %;</w:t>
      </w:r>
    </w:p>
    <w:p w14:paraId="4B556EC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b/>
          <w:bCs/>
          <w:color w:val="002060"/>
          <w:sz w:val="28"/>
          <w:szCs w:val="28"/>
          <w:lang w:eastAsia="ru-RU"/>
        </w:rPr>
        <w:t xml:space="preserve">3. </w:t>
      </w:r>
      <w:r w:rsidRPr="008B166E">
        <w:rPr>
          <w:rFonts w:ascii="Times New Roman" w:hAnsi="Times New Roman"/>
          <w:sz w:val="28"/>
          <w:szCs w:val="20"/>
          <w:lang w:eastAsia="ru-RU"/>
        </w:rPr>
        <w:t>Республиканский бюджет Республики Дагестан за 2021 год исполнен:</w:t>
      </w:r>
    </w:p>
    <w:p w14:paraId="2788901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по доходам в сумме 172 846 816,3 тыс. рублей, что составляет 100,5 % к уточненным бюджетным назначениям (171 990 428,9 тыс. рублей);</w:t>
      </w:r>
    </w:p>
    <w:p w14:paraId="3D0D2949"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xml:space="preserve">- по расходам – в сумме 169 203 793,6 тыс. рублей, или 92,5 % к уточненным назначениям (182 954 728,2 тыс. рублей). </w:t>
      </w:r>
    </w:p>
    <w:p w14:paraId="3CF5A851"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hAnsi="Times New Roman"/>
          <w:sz w:val="28"/>
          <w:szCs w:val="20"/>
          <w:lang w:eastAsia="ru-RU"/>
        </w:rPr>
      </w:pPr>
      <w:r w:rsidRPr="008B166E">
        <w:rPr>
          <w:rFonts w:ascii="Times New Roman" w:hAnsi="Times New Roman"/>
          <w:sz w:val="28"/>
          <w:szCs w:val="20"/>
          <w:lang w:eastAsia="ru-RU"/>
        </w:rPr>
        <w:t xml:space="preserve">В 2021 году республиканский бюджет Республики Дагестан исполнен с </w:t>
      </w:r>
      <w:r w:rsidRPr="008B166E">
        <w:rPr>
          <w:rFonts w:ascii="Times New Roman" w:hAnsi="Times New Roman"/>
          <w:sz w:val="28"/>
          <w:szCs w:val="20"/>
          <w:lang w:eastAsia="ru-RU"/>
        </w:rPr>
        <w:lastRenderedPageBreak/>
        <w:t xml:space="preserve">профицитом в сумме 3 643 022,7 тыс. рублей. </w:t>
      </w:r>
    </w:p>
    <w:p w14:paraId="3746FA40"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hAnsi="Times New Roman"/>
          <w:b/>
          <w:bCs/>
          <w:color w:val="002060"/>
          <w:sz w:val="28"/>
          <w:szCs w:val="20"/>
          <w:lang w:eastAsia="ru-RU"/>
        </w:rPr>
        <w:t xml:space="preserve">4. </w:t>
      </w:r>
      <w:r w:rsidRPr="008B166E">
        <w:rPr>
          <w:rFonts w:ascii="Times New Roman" w:eastAsia="Times New Roman" w:hAnsi="Times New Roman" w:cs="Times New Roman"/>
          <w:sz w:val="28"/>
          <w:szCs w:val="28"/>
          <w:lang w:eastAsia="ru-RU"/>
        </w:rPr>
        <w:t xml:space="preserve">По данным годового отчета об исполнении республиканского бюджета Республики Дагестан доходы республиканского бюджета Республики Дагестан за 2021 год фактически составили 172 846 816,3 тыс. рублей, или 100,5 % от утвержденных (уточненных) назначений (171 990 429,0 тыс. рублей), в том числе: </w:t>
      </w:r>
    </w:p>
    <w:p w14:paraId="38FB4663"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highlight w:val="yellow"/>
          <w:lang w:eastAsia="ru-RU"/>
        </w:rPr>
      </w:pPr>
      <w:r w:rsidRPr="008B166E">
        <w:rPr>
          <w:rFonts w:ascii="Times New Roman" w:eastAsia="Times New Roman" w:hAnsi="Times New Roman" w:cs="Times New Roman"/>
          <w:sz w:val="28"/>
          <w:szCs w:val="28"/>
          <w:lang w:eastAsia="ru-RU"/>
        </w:rPr>
        <w:t>- безвозмездные поступления (межбюджетные трансферты, получаемые из федерального бюджета) – 131 112 300,6 тыс. рублей, или 100,3 % от уточненных назначений;</w:t>
      </w:r>
    </w:p>
    <w:p w14:paraId="1AC81557"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налоговые и неналоговые доходы – 41 734 515,7 тыс. рублей, или </w:t>
      </w:r>
      <w:r w:rsidRPr="008B166E">
        <w:rPr>
          <w:rFonts w:ascii="Times New Roman" w:eastAsia="Times New Roman" w:hAnsi="Times New Roman" w:cs="Times New Roman"/>
          <w:sz w:val="28"/>
          <w:szCs w:val="28"/>
          <w:lang w:eastAsia="ru-RU"/>
        </w:rPr>
        <w:br/>
        <w:t>101,2 % от уточненных назначений, в том числе налоговые доходы – 38 965 793,0 тыс. рублей (101,2%) и неналоговые доходы – 2 768 722,7 тыс. рублей (123,4 %).</w:t>
      </w:r>
    </w:p>
    <w:p w14:paraId="08E76820" w14:textId="1A5792FB"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Дотационность республиканского бюджета Республики Дагестан за 2021 год составила 44,8 % против 47,9 % за 2020 год.</w:t>
      </w:r>
    </w:p>
    <w:p w14:paraId="30924BF9"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По отношению к уровню 2020 года доходы республиканского бюджета Республики Дагестан увеличились на 3 173 487,2 тыс. рублей, или на 1,9 %, за счет увеличения поступлений налоговых и неналоговых доходов – на </w:t>
      </w:r>
      <w:r w:rsidRPr="008B166E">
        <w:rPr>
          <w:rFonts w:ascii="Times New Roman" w:eastAsia="Times New Roman" w:hAnsi="Times New Roman" w:cs="Times New Roman"/>
          <w:sz w:val="28"/>
          <w:szCs w:val="28"/>
          <w:lang w:eastAsia="ru-RU"/>
        </w:rPr>
        <w:br/>
        <w:t>7 207 592,8 тыс. рублей, или на 20,9 %. При этом, объем безвозмездных поступлений уменьшился по отношению к уровню 2020 года на 4 034 105,6 тыс. рублей, или на 3 %.</w:t>
      </w:r>
    </w:p>
    <w:p w14:paraId="777959B5"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5.</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В структуре доходов республиканского бюджета Республики Дагестан доля безвозмездных поступлений составляет 75,9 % против 79,7 % в 2020 году.</w:t>
      </w:r>
    </w:p>
    <w:p w14:paraId="0573752F"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По отношению к уровню 2020 года объем безвозмездных поступлений уменьшился на 4 034 105,6 тыс. рублей, или на 3 %, в том числе за счет уменьшения объемов: дотации – на 2 631 217,1 тыс. рублей, или на 3,3 %; субвенции</w:t>
      </w:r>
      <w:r w:rsidRPr="008B166E">
        <w:rPr>
          <w:rFonts w:ascii="Times New Roman" w:eastAsia="Times New Roman" w:hAnsi="Times New Roman" w:cs="Times New Roman"/>
          <w:sz w:val="24"/>
          <w:szCs w:val="24"/>
          <w:lang w:eastAsia="ru-RU"/>
        </w:rPr>
        <w:t xml:space="preserve"> – </w:t>
      </w:r>
      <w:r w:rsidRPr="008B166E">
        <w:rPr>
          <w:rFonts w:ascii="Times New Roman" w:eastAsia="Times New Roman" w:hAnsi="Times New Roman" w:cs="Times New Roman"/>
          <w:sz w:val="28"/>
          <w:szCs w:val="28"/>
          <w:lang w:eastAsia="ru-RU"/>
        </w:rPr>
        <w:t>на 1 118 505,0 тыс. рублей, или на 8 %; иные межбюджетные трансферты – на 2 022 729,6 тыс. рублей, или на 18,4 %.</w:t>
      </w:r>
    </w:p>
    <w:p w14:paraId="39634C70"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В составе безвозмездных поступлений за 2021 год (131 112 300,6 тыс. рублей) 99,2 % составляют поступления из федерального бюджета – </w:t>
      </w:r>
      <w:r w:rsidRPr="008B166E">
        <w:rPr>
          <w:rFonts w:ascii="Times New Roman" w:eastAsia="Times New Roman" w:hAnsi="Times New Roman" w:cs="Times New Roman"/>
          <w:sz w:val="28"/>
          <w:szCs w:val="28"/>
          <w:lang w:eastAsia="ru-RU"/>
        </w:rPr>
        <w:br/>
        <w:t xml:space="preserve">130 016 254,9 тыс. рублей. </w:t>
      </w:r>
    </w:p>
    <w:p w14:paraId="31783FA7"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В общем объеме поступлений из федерального бюджета поступления в виде дотаций бюджетам субъектов Российской Федерации составили 59,6 %, или 77 492 684,6 тыс. рублей, субсидий – 23,6 %, или 30 723 300,2 тыс. рублей, субвенций – 9,8 %, или 12 805 432,5 тыс. рублей, иные межбюджетные трансферты – 6,9 %, или 8 994 837,6 тыс. рублей.</w:t>
      </w:r>
    </w:p>
    <w:p w14:paraId="6D2EB0C6" w14:textId="2DA6C43F"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6. </w:t>
      </w:r>
      <w:r w:rsidRPr="008B166E">
        <w:rPr>
          <w:rFonts w:ascii="Times New Roman" w:eastAsia="Times New Roman" w:hAnsi="Times New Roman" w:cs="Times New Roman"/>
          <w:sz w:val="28"/>
          <w:szCs w:val="28"/>
          <w:lang w:eastAsia="ru-RU"/>
        </w:rPr>
        <w:t>Утвержденные задания выполнены по шести доходным источникам, в том числе по:</w:t>
      </w:r>
    </w:p>
    <w:p w14:paraId="3340843B"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налогу на прибыль организаций – 112,4 % (план – 5 307 712,9 тыс. рублей, факт – 5 964 578,4 тыс. рублей);</w:t>
      </w:r>
    </w:p>
    <w:p w14:paraId="4D1D9F47"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акцизам на ГСМ – 101,9 % (план – 7 249 906,0 тыс. рублей, факт – 7 389 313, тыс. рублей);</w:t>
      </w:r>
    </w:p>
    <w:p w14:paraId="04744A74"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lastRenderedPageBreak/>
        <w:t>- налогу на имущество организаций – 101,2 % (план – 3 659 417,3 тыс. рублей, факт – 3 702 483,9 тыс. рублей);</w:t>
      </w:r>
    </w:p>
    <w:p w14:paraId="7C58E794"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транспортному налогу – 114,8 % (план – 1 353 120,0тыс. рублей, факт – 1 553 829,0тыс. рублей);</w:t>
      </w:r>
    </w:p>
    <w:p w14:paraId="79B915BE"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налогу на игорный бизнес – 110,3 % (план – 10 000,0 тыс. рублей; факт – 11 030,4 тыс. рублей);</w:t>
      </w:r>
    </w:p>
    <w:p w14:paraId="4C841953"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неналоговым доходам – 123,4 % (план –</w:t>
      </w:r>
      <w:r w:rsidRPr="008B166E">
        <w:rPr>
          <w:rFonts w:ascii="Times New Roman" w:eastAsia="Times New Roman" w:hAnsi="Times New Roman" w:cs="Times New Roman"/>
          <w:sz w:val="24"/>
          <w:szCs w:val="24"/>
          <w:lang w:eastAsia="ru-RU"/>
        </w:rPr>
        <w:t xml:space="preserve"> </w:t>
      </w:r>
      <w:r w:rsidRPr="008B166E">
        <w:rPr>
          <w:rFonts w:ascii="Times New Roman" w:eastAsia="Times New Roman" w:hAnsi="Times New Roman" w:cs="Times New Roman"/>
          <w:sz w:val="28"/>
          <w:szCs w:val="28"/>
          <w:lang w:eastAsia="ru-RU"/>
        </w:rPr>
        <w:t>2 242 820,7 тыс. рублей, факт – 2 768 722,7 тыс. рублей).</w:t>
      </w:r>
    </w:p>
    <w:p w14:paraId="02CC7660"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При этом, утвержденные назначения не выполнены по:</w:t>
      </w:r>
    </w:p>
    <w:p w14:paraId="78E5DF98"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налогу на доходы физических лиц – 94,6 % (план –19 672 593,8 тыс. рублей, факт – 18 619 577,8 тыс. рублей); </w:t>
      </w:r>
    </w:p>
    <w:p w14:paraId="25BFB632"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акцизам на алкогольную продукцию – 99,1 % (план – 1 552 323,0 тыс. рублей, факт – 1 538 284,0 тыс. рублей);</w:t>
      </w:r>
    </w:p>
    <w:p w14:paraId="46BD5CD4"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налогам, сборам и регулярным платежам за пользование природными ресурсами – 51,5 % (план – 4 999,8 тыс. рублей, факт – 23 170,2 тыс. рублей);</w:t>
      </w:r>
    </w:p>
    <w:p w14:paraId="699F017D"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государственной пошлине – 99,9 % (план – 128 456,4 тыс. рублей, факт – 128 356,6 тыс. рублей);</w:t>
      </w:r>
    </w:p>
    <w:p w14:paraId="1408F566"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задолженности и перерасчетам по отмененным налогам, сборам и иным обязательным платежам – 94,9 % (план – 11 472,0 тыс. рублей, факт – 10 884,0 тыс. рублей.</w:t>
      </w:r>
    </w:p>
    <w:p w14:paraId="36BB0D7E" w14:textId="77777777" w:rsidR="008B166E" w:rsidRPr="008B166E" w:rsidRDefault="008B166E" w:rsidP="008B166E">
      <w:pPr>
        <w:spacing w:after="0" w:line="34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
          <w:bCs/>
          <w:color w:val="002060"/>
          <w:sz w:val="28"/>
          <w:szCs w:val="28"/>
          <w:lang w:eastAsia="ru-RU"/>
        </w:rPr>
        <w:t>7.</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 xml:space="preserve">В общей сумме налоговых и неналоговых доходов республиканского бюджета Республики Дагестан за 2021 год </w:t>
      </w:r>
      <w:r w:rsidRPr="008B166E">
        <w:rPr>
          <w:rFonts w:ascii="Times New Roman" w:eastAsia="Times New Roman" w:hAnsi="Times New Roman" w:cs="Times New Roman"/>
          <w:bCs/>
          <w:iCs/>
          <w:sz w:val="28"/>
          <w:szCs w:val="28"/>
          <w:lang w:eastAsia="ru-RU"/>
        </w:rPr>
        <w:t>доля налоговых доходов</w:t>
      </w:r>
      <w:r w:rsidRPr="008B166E">
        <w:rPr>
          <w:rFonts w:ascii="Times New Roman" w:eastAsia="Times New Roman" w:hAnsi="Times New Roman" w:cs="Times New Roman"/>
          <w:bCs/>
          <w:sz w:val="28"/>
          <w:szCs w:val="28"/>
          <w:lang w:eastAsia="ru-RU"/>
        </w:rPr>
        <w:t xml:space="preserve"> составляет 93,4 % (38 965 793,0 тыс. рублей). </w:t>
      </w:r>
    </w:p>
    <w:p w14:paraId="41016088" w14:textId="77777777" w:rsidR="008B166E" w:rsidRPr="008B166E" w:rsidRDefault="008B166E" w:rsidP="008B166E">
      <w:pPr>
        <w:spacing w:after="0" w:line="34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Наибольший удельный вес в структуре налоговых доходов (99,5 %) составляют налог на прибыль организаций, налог на доходы физических лиц, акцизы на алкогольную продукцию, акцизы на ГСМ, налог на имущество организаций и транспортный налог.</w:t>
      </w:r>
    </w:p>
    <w:p w14:paraId="6CE11F5D" w14:textId="77777777" w:rsidR="008B166E" w:rsidRPr="008B166E" w:rsidRDefault="008B166E" w:rsidP="008B166E">
      <w:pPr>
        <w:widowControl w:val="0"/>
        <w:spacing w:after="0" w:line="340" w:lineRule="exact"/>
        <w:ind w:firstLine="709"/>
        <w:jc w:val="both"/>
        <w:rPr>
          <w:rFonts w:ascii="Times New Roman" w:eastAsia="Calibri"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8.</w:t>
      </w:r>
      <w:r w:rsidRPr="008B166E">
        <w:rPr>
          <w:rFonts w:ascii="Times New Roman" w:eastAsia="Times New Roman" w:hAnsi="Times New Roman" w:cs="Times New Roman"/>
          <w:b/>
          <w:bCs/>
          <w:sz w:val="28"/>
          <w:szCs w:val="28"/>
          <w:lang w:eastAsia="ru-RU"/>
        </w:rPr>
        <w:t xml:space="preserve"> </w:t>
      </w:r>
      <w:r w:rsidRPr="008B166E">
        <w:rPr>
          <w:rFonts w:ascii="Times New Roman" w:eastAsia="Calibri" w:hAnsi="Times New Roman" w:cs="Times New Roman"/>
          <w:sz w:val="28"/>
          <w:szCs w:val="28"/>
          <w:lang w:eastAsia="ru-RU"/>
        </w:rPr>
        <w:t xml:space="preserve">Удельный вес </w:t>
      </w:r>
      <w:r w:rsidRPr="008B166E">
        <w:rPr>
          <w:rFonts w:ascii="Times New Roman" w:eastAsia="Calibri" w:hAnsi="Times New Roman" w:cs="Times New Roman"/>
          <w:iCs/>
          <w:sz w:val="28"/>
          <w:szCs w:val="28"/>
          <w:lang w:eastAsia="ru-RU"/>
        </w:rPr>
        <w:t>неналоговых доходов</w:t>
      </w:r>
      <w:r w:rsidRPr="008B166E">
        <w:rPr>
          <w:rFonts w:ascii="Times New Roman" w:eastAsia="Calibri" w:hAnsi="Times New Roman" w:cs="Times New Roman"/>
          <w:sz w:val="28"/>
          <w:szCs w:val="28"/>
          <w:lang w:eastAsia="ru-RU"/>
        </w:rPr>
        <w:t xml:space="preserve"> в общем объеме налоговых и неналоговых доходов составил 6,6 % против 3,1 % за 2020 год.</w:t>
      </w:r>
    </w:p>
    <w:p w14:paraId="137D2A73" w14:textId="77777777" w:rsidR="008B166E" w:rsidRPr="008B166E" w:rsidRDefault="008B166E" w:rsidP="008B166E">
      <w:pPr>
        <w:widowControl w:val="0"/>
        <w:spacing w:after="0" w:line="34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b/>
          <w:bCs/>
          <w:color w:val="002060"/>
          <w:sz w:val="28"/>
          <w:szCs w:val="28"/>
          <w:lang w:eastAsia="ru-RU"/>
        </w:rPr>
        <w:t xml:space="preserve">9. </w:t>
      </w:r>
      <w:r w:rsidRPr="008B166E">
        <w:rPr>
          <w:rFonts w:ascii="Times New Roman" w:eastAsia="Calibri" w:hAnsi="Times New Roman" w:cs="Times New Roman"/>
          <w:sz w:val="28"/>
          <w:szCs w:val="28"/>
          <w:lang w:eastAsia="ru-RU"/>
        </w:rPr>
        <w:t>За 2021 год поступление неналоговых доходов составило 2 768 722,7 тыс. рублей, что 1 710 631,1 тыс. рублей, или в 2,6 раза больше уровня 2020 года (1 058 091,6 тыс. рублей).</w:t>
      </w:r>
    </w:p>
    <w:p w14:paraId="43D23466" w14:textId="77777777" w:rsidR="008B166E" w:rsidRPr="008B166E" w:rsidRDefault="008B166E" w:rsidP="00CB3DC3">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8B166E">
        <w:rPr>
          <w:rFonts w:ascii="Times New Roman" w:hAnsi="Times New Roman" w:cs="Times New Roman"/>
          <w:b/>
          <w:color w:val="002060"/>
          <w:sz w:val="28"/>
          <w:szCs w:val="28"/>
        </w:rPr>
        <w:t>10.</w:t>
      </w:r>
      <w:r w:rsidRPr="008B166E">
        <w:rPr>
          <w:rFonts w:ascii="Times New Roman" w:hAnsi="Times New Roman" w:cs="Times New Roman"/>
          <w:bCs/>
          <w:color w:val="002060"/>
          <w:sz w:val="28"/>
          <w:szCs w:val="28"/>
        </w:rPr>
        <w:t xml:space="preserve"> </w:t>
      </w:r>
      <w:r w:rsidRPr="008B166E">
        <w:rPr>
          <w:rFonts w:ascii="Times New Roman" w:hAnsi="Times New Roman" w:cs="Times New Roman"/>
          <w:bCs/>
          <w:sz w:val="28"/>
          <w:szCs w:val="28"/>
        </w:rPr>
        <w:t xml:space="preserve">В ходе проверки эффективности управления и распоряжения государственным имуществом Республики Дагестан, проведенной в рамках внешней проверки годового отчета об исполнении республиканского бюджета Республики Дагестан за 2021 год, установлен ряд нарушений и недостатков, свидетельствующих о неэффективном использовании государственного имущества Республики Дагестан, а также о наличии значительных резервов по увеличению доходов за счет повышения эффективности его использования (при использовании земель и объектов недвижимого имущества, а также в деятельности государственных предприятий и акционерных обществ с государственной долей в уставных капиталах). </w:t>
      </w:r>
    </w:p>
    <w:p w14:paraId="723116DA" w14:textId="77777777" w:rsidR="008B166E" w:rsidRPr="008B166E" w:rsidRDefault="008B166E" w:rsidP="00CB3DC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Calibri" w:hAnsi="Times New Roman" w:cs="Times New Roman"/>
          <w:b/>
          <w:bCs/>
          <w:color w:val="002060"/>
          <w:sz w:val="28"/>
          <w:szCs w:val="28"/>
          <w:lang w:eastAsia="ru-RU"/>
        </w:rPr>
        <w:t xml:space="preserve">10.1. </w:t>
      </w:r>
      <w:r w:rsidRPr="008B166E">
        <w:rPr>
          <w:rFonts w:ascii="Times New Roman" w:eastAsia="Times New Roman" w:hAnsi="Times New Roman" w:cs="Times New Roman"/>
          <w:sz w:val="28"/>
          <w:szCs w:val="28"/>
          <w:lang w:eastAsia="ru-RU"/>
        </w:rPr>
        <w:t xml:space="preserve">В 2021 году в республиканский бюджет Республики Дагестан </w:t>
      </w:r>
      <w:r w:rsidRPr="008B166E">
        <w:rPr>
          <w:rFonts w:ascii="Times New Roman" w:eastAsia="Times New Roman" w:hAnsi="Times New Roman" w:cs="Times New Roman"/>
          <w:sz w:val="28"/>
          <w:szCs w:val="28"/>
          <w:lang w:eastAsia="ru-RU"/>
        </w:rPr>
        <w:lastRenderedPageBreak/>
        <w:t>поступило доходов от использования государственного имущества в сумме 185 237,1 тыс. рублей, или 35,2 % от утвержденных назначений (525 500,0 тыс. рублей).</w:t>
      </w:r>
    </w:p>
    <w:p w14:paraId="60469551"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10.2. </w:t>
      </w:r>
      <w:r w:rsidRPr="008B166E">
        <w:rPr>
          <w:rFonts w:ascii="Times New Roman" w:eastAsia="Times New Roman" w:hAnsi="Times New Roman" w:cs="Times New Roman"/>
          <w:sz w:val="28"/>
          <w:szCs w:val="28"/>
          <w:lang w:eastAsia="ru-RU"/>
        </w:rPr>
        <w:t>Утвержденные назначения на 2021 год не выполнены по двум доходным источникам на 357 913,2 тыс. рублей (из которых 352 566,8 тыс. рублей, доходы от сдачи в аренду объектов газораспределительных сетей).</w:t>
      </w:r>
    </w:p>
    <w:p w14:paraId="0EDB2277"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10.3. </w:t>
      </w:r>
      <w:r w:rsidRPr="008B166E">
        <w:rPr>
          <w:rFonts w:ascii="Times New Roman" w:eastAsia="Times New Roman" w:hAnsi="Times New Roman" w:cs="Times New Roman"/>
          <w:sz w:val="28"/>
          <w:szCs w:val="28"/>
          <w:lang w:eastAsia="ru-RU"/>
        </w:rPr>
        <w:t>На 1 января 2022 года Минимуществом РД заключено 77 договоров о предоставлении в аренду объектов государственного нежилого фонда Республики Дагестан, общей площадью 47 900,3 кв. м.</w:t>
      </w:r>
    </w:p>
    <w:p w14:paraId="07C5E123" w14:textId="77777777" w:rsidR="008B166E" w:rsidRPr="008B166E" w:rsidRDefault="008B166E" w:rsidP="008B166E">
      <w:pPr>
        <w:tabs>
          <w:tab w:val="left" w:pos="2550"/>
        </w:tabs>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В 2021 году расторгнуты 19 договоров аренды объектов нежилого фонда общей площадью 14 072,1 кв. м, из которых имущество по 2 договорам площадью 1 629,4 кв. м не возвращено собственнику.</w:t>
      </w:r>
    </w:p>
    <w:p w14:paraId="4D5AAE24" w14:textId="77777777" w:rsidR="008B166E" w:rsidRPr="008B166E" w:rsidRDefault="008B166E" w:rsidP="008B166E">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10.4. </w:t>
      </w:r>
      <w:r w:rsidRPr="008B166E">
        <w:rPr>
          <w:rFonts w:ascii="Times New Roman" w:eastAsia="Times New Roman" w:hAnsi="Times New Roman" w:cs="Times New Roman"/>
          <w:sz w:val="28"/>
          <w:szCs w:val="28"/>
          <w:lang w:eastAsia="ru-RU"/>
        </w:rPr>
        <w:t>На 1 января 2022 года, с учетом претензионной работы и решений арбитражных судов, задолженность за аренду объектов нежилого фонда, составляет 327 831,9 рублей, из которых 195 078,0 млн рублей – задолженность за ООО «Газпром газораспределение Дагестан».</w:t>
      </w:r>
    </w:p>
    <w:p w14:paraId="2AD77E49" w14:textId="77777777" w:rsidR="008B166E" w:rsidRPr="008B166E" w:rsidRDefault="008B166E" w:rsidP="008B166E">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10.5. </w:t>
      </w:r>
      <w:r w:rsidRPr="008B166E">
        <w:rPr>
          <w:rFonts w:ascii="Times New Roman" w:eastAsia="Times New Roman" w:hAnsi="Times New Roman" w:cs="Times New Roman"/>
          <w:sz w:val="28"/>
          <w:szCs w:val="28"/>
          <w:lang w:eastAsia="ru-RU"/>
        </w:rPr>
        <w:t>Задолженность аренду объектов государственного нежилого фонда</w:t>
      </w:r>
      <w:r w:rsidRPr="008B166E">
        <w:rPr>
          <w:rFonts w:ascii="Times New Roman" w:eastAsia="Times New Roman" w:hAnsi="Times New Roman" w:cs="Times New Roman"/>
          <w:b/>
          <w:sz w:val="28"/>
          <w:szCs w:val="28"/>
          <w:lang w:eastAsia="ru-RU"/>
        </w:rPr>
        <w:t xml:space="preserve"> </w:t>
      </w:r>
      <w:r w:rsidRPr="008B166E">
        <w:rPr>
          <w:rFonts w:ascii="Times New Roman" w:eastAsia="Times New Roman" w:hAnsi="Times New Roman" w:cs="Times New Roman"/>
          <w:sz w:val="28"/>
          <w:szCs w:val="28"/>
          <w:lang w:eastAsia="ru-RU"/>
        </w:rPr>
        <w:t xml:space="preserve">числится за 292 арендаторами, из которых наиболее крупная задолженность (более 300 тыс. рублей) числится за 50 арендаторами, из них более чем 1 млн рублей – за 14 арендаторами (в том числе: </w:t>
      </w:r>
      <w:r w:rsidRPr="008B166E">
        <w:rPr>
          <w:rFonts w:ascii="Times New Roman" w:eastAsia="Times New Roman" w:hAnsi="Times New Roman" w:cs="Times New Roman"/>
          <w:bCs/>
          <w:sz w:val="28"/>
          <w:szCs w:val="28"/>
          <w:lang w:eastAsia="ru-RU"/>
        </w:rPr>
        <w:t>195 078,0</w:t>
      </w:r>
      <w:r w:rsidRPr="008B166E">
        <w:rPr>
          <w:rFonts w:ascii="Times New Roman" w:eastAsia="Times New Roman" w:hAnsi="Times New Roman" w:cs="Times New Roman"/>
          <w:sz w:val="28"/>
          <w:szCs w:val="28"/>
          <w:lang w:eastAsia="ru-RU"/>
        </w:rPr>
        <w:t xml:space="preserve"> тыс. рублей  – за ООО «Газпром газораспределение Дагестан», 59 012,5 тыс. рублей – за ООО «Агро-Инвест», 24 114,0 тыс. рублей – за АО «Авиакомпания «KazAirTrans», </w:t>
      </w:r>
      <w:r w:rsidRPr="008B166E">
        <w:rPr>
          <w:rFonts w:ascii="Times New Roman" w:eastAsia="Times New Roman" w:hAnsi="Times New Roman" w:cs="Times New Roman"/>
          <w:sz w:val="28"/>
          <w:szCs w:val="28"/>
          <w:lang w:eastAsia="ru-RU"/>
        </w:rPr>
        <w:br/>
        <w:t>16 461,9 тыс. рублей – за ООО «Абам» и др.).</w:t>
      </w:r>
    </w:p>
    <w:p w14:paraId="28147CE1" w14:textId="77777777" w:rsidR="008B166E" w:rsidRPr="008B166E" w:rsidRDefault="008B166E" w:rsidP="008B166E">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10.6. </w:t>
      </w:r>
      <w:r w:rsidRPr="008B166E">
        <w:rPr>
          <w:rFonts w:ascii="Times New Roman" w:eastAsia="Times New Roman" w:hAnsi="Times New Roman" w:cs="Times New Roman"/>
          <w:sz w:val="28"/>
          <w:szCs w:val="28"/>
          <w:lang w:eastAsia="ru-RU"/>
        </w:rPr>
        <w:t>В результате несвоевременного принятия претензионных мер по взысканию задолженности на 1 января 2022 года за 23 ликвидированными контрагентами числится непогашенная задолженность в сумме 4 210,4 тыс. рублей.</w:t>
      </w:r>
    </w:p>
    <w:p w14:paraId="35078CB8" w14:textId="77777777" w:rsidR="008B166E" w:rsidRPr="008B166E" w:rsidRDefault="008B166E" w:rsidP="008B166E">
      <w:pPr>
        <w:tabs>
          <w:tab w:val="left" w:pos="1080"/>
          <w:tab w:val="left" w:pos="7740"/>
        </w:tabs>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10.7. </w:t>
      </w:r>
      <w:r w:rsidRPr="008B166E">
        <w:rPr>
          <w:rFonts w:ascii="Times New Roman" w:eastAsia="Times New Roman" w:hAnsi="Times New Roman" w:cs="Times New Roman"/>
          <w:sz w:val="28"/>
          <w:szCs w:val="28"/>
          <w:lang w:eastAsia="ru-RU"/>
        </w:rPr>
        <w:t>На 1 января 2022 года, из 519 объектов имущества общей площадью 266,5 тыс. кв. м, в аренду предоставлены только 72 объекта общей площадью 62,0 тыс. кв. м, что составляет 13,9 % от общего количества объектов и 23,4 % от общей площади.</w:t>
      </w:r>
    </w:p>
    <w:p w14:paraId="7DAE4588" w14:textId="77777777" w:rsidR="008B166E" w:rsidRPr="008B166E" w:rsidRDefault="008B166E" w:rsidP="008B166E">
      <w:pPr>
        <w:spacing w:after="0" w:line="240" w:lineRule="auto"/>
        <w:ind w:firstLine="709"/>
        <w:contextualSpacing/>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10.8. </w:t>
      </w:r>
      <w:r w:rsidRPr="008B166E">
        <w:rPr>
          <w:rFonts w:ascii="Times New Roman" w:eastAsia="Times New Roman" w:hAnsi="Times New Roman" w:cs="Times New Roman"/>
          <w:sz w:val="28"/>
          <w:szCs w:val="28"/>
          <w:lang w:eastAsia="ru-RU"/>
        </w:rPr>
        <w:t xml:space="preserve">На 1 января 2021 года в Реестре государственного имущества Республики Дагестан учтено 829 объектов газораспределительной системы общей протяженностью 7 717,4 км. </w:t>
      </w:r>
    </w:p>
    <w:p w14:paraId="21AE78AE"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10.9. </w:t>
      </w:r>
      <w:r w:rsidRPr="008B166E">
        <w:rPr>
          <w:rFonts w:ascii="Times New Roman" w:eastAsia="Times New Roman" w:hAnsi="Times New Roman" w:cs="Times New Roman"/>
          <w:sz w:val="28"/>
          <w:szCs w:val="28"/>
          <w:lang w:eastAsia="ru-RU"/>
        </w:rPr>
        <w:t xml:space="preserve">На 1 января 2022 года общее количество земельных участков, включенное в Реестр государственной имущества Республики Дагестан, составляет 5 133 земельных участков общей площадью 1 858,2 тыс. га, в том числе: </w:t>
      </w:r>
    </w:p>
    <w:p w14:paraId="3D5871DE"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земли сельскохозяйственного назначения – 1843,1 тыс. га (из них земли отгонного животноводства – 1 666,7 тыс. га, из них скотопрогоны – 126,3 тыс. га); </w:t>
      </w:r>
    </w:p>
    <w:p w14:paraId="05153681"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земли населенных пунктов (поселений) – 5,5 тыс. га; земли промышленности– 3,6 тыс. га; земли особо охраняемых территорий – 2,5 тыс. га;</w:t>
      </w:r>
    </w:p>
    <w:p w14:paraId="19D8B913"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lastRenderedPageBreak/>
        <w:t xml:space="preserve">- земли лесного фонда – 0,02 тыс. га; </w:t>
      </w:r>
    </w:p>
    <w:p w14:paraId="2A40C8F3"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земли запаса – 1,14 ты. га; </w:t>
      </w:r>
    </w:p>
    <w:p w14:paraId="1269CADA"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земли, категория на которые не установлена – 1,4 тыс. га.</w:t>
      </w:r>
    </w:p>
    <w:p w14:paraId="7F97C5FD"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10.10. </w:t>
      </w:r>
      <w:r w:rsidRPr="008B166E">
        <w:rPr>
          <w:rFonts w:ascii="Times New Roman" w:eastAsia="Times New Roman" w:hAnsi="Times New Roman" w:cs="Times New Roman"/>
          <w:sz w:val="28"/>
          <w:szCs w:val="28"/>
          <w:lang w:eastAsia="ru-RU"/>
        </w:rPr>
        <w:t>По состоянию на 1 января 2022 года заключено 1 550 договоров аренды земельных участков, в том числе в 2021 году заключены 14 договоров.</w:t>
      </w:r>
    </w:p>
    <w:p w14:paraId="7C936EF9"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В адрес 881 арендаторов направлены уведомления (в том числе в 2021 году – 144) об изменении размера арендной платы с учетом результатов кадастровой стоимости. При этом, в нарушение статьей 190 и 192 Гражданского кодекса Российской Федерации, пунктов 3.4 и 3.5 договоров аренды в адрес 669 арендаторов (43 %) уведомления об изменении размера арендной платы не направлены.</w:t>
      </w:r>
    </w:p>
    <w:p w14:paraId="3F152E3C"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За 2021 год начислено платежей за аренду земельных участков в сумме 62 729,9 тыс. рублей. При этом арендаторами фактически уплачено 82 233,1 тыс. рублей, или 131 %, с учетом частичного погашения задолженности.</w:t>
      </w:r>
    </w:p>
    <w:p w14:paraId="2A9B7D4E"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По состоянию на 1 января 2022 года задолженность по платежам за аренду земельных участков составляет 221 648,6 тыс. рублей. </w:t>
      </w:r>
    </w:p>
    <w:p w14:paraId="2A22D415"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Проверка показала, что в результате невыполнения Минимуществом РД </w:t>
      </w:r>
      <w:r w:rsidRPr="008B166E">
        <w:rPr>
          <w:rFonts w:ascii="Times New Roman" w:eastAsia="Times New Roman" w:hAnsi="Times New Roman" w:cs="Times New Roman"/>
          <w:bCs/>
          <w:sz w:val="28"/>
          <w:szCs w:val="28"/>
          <w:lang w:eastAsia="ru-RU"/>
        </w:rPr>
        <w:t>полномочий главного администратора доходов (</w:t>
      </w:r>
      <w:r w:rsidRPr="008B166E">
        <w:rPr>
          <w:rFonts w:ascii="Times New Roman" w:eastAsia="Times New Roman" w:hAnsi="Times New Roman" w:cs="Times New Roman"/>
          <w:sz w:val="28"/>
          <w:szCs w:val="28"/>
          <w:lang w:eastAsia="ru-RU"/>
        </w:rPr>
        <w:t>статья 160.1 Бюджетного кодекса Российской Федерации</w:t>
      </w:r>
      <w:r w:rsidRPr="008B166E">
        <w:rPr>
          <w:rFonts w:ascii="Times New Roman" w:eastAsia="Times New Roman" w:hAnsi="Times New Roman" w:cs="Times New Roman"/>
          <w:bCs/>
          <w:sz w:val="28"/>
          <w:szCs w:val="28"/>
          <w:lang w:eastAsia="ru-RU"/>
        </w:rPr>
        <w:t xml:space="preserve">) в части осуществления начисления платежей в 2021 году, на 1 января 2022 года </w:t>
      </w:r>
      <w:r w:rsidRPr="008B166E">
        <w:rPr>
          <w:rFonts w:ascii="Times New Roman" w:eastAsia="Times New Roman" w:hAnsi="Times New Roman" w:cs="Times New Roman"/>
          <w:sz w:val="28"/>
          <w:szCs w:val="28"/>
          <w:lang w:eastAsia="ru-RU"/>
        </w:rPr>
        <w:t>образовалась несанкционированная кредиторская задолженность из-за переплаты платежей за аренду земельных участков в сумме 60 998,0 ты. рублей.</w:t>
      </w:r>
    </w:p>
    <w:p w14:paraId="152EECB1"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10.11. </w:t>
      </w:r>
      <w:r w:rsidRPr="008B166E">
        <w:rPr>
          <w:rFonts w:ascii="Times New Roman" w:eastAsia="Times New Roman" w:hAnsi="Times New Roman" w:cs="Times New Roman"/>
          <w:sz w:val="28"/>
          <w:szCs w:val="28"/>
          <w:lang w:eastAsia="ru-RU"/>
        </w:rPr>
        <w:t>Задолженность по платежам за аренду земельных участков числится за 1 259 арендаторами, из них наибольшие суммы задолженности числятся за:</w:t>
      </w:r>
    </w:p>
    <w:p w14:paraId="443B0B95"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- 74 арендаторами – от 200,0 тыс. рублей до 500,0 тыс. рублей;</w:t>
      </w:r>
    </w:p>
    <w:p w14:paraId="28381F55"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- 32 арендаторами – от 500,0 тыс. рублей до 1 000,0 тыс. рублей;</w:t>
      </w:r>
    </w:p>
    <w:p w14:paraId="0C16CF4E"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- 10 арендаторами – свыше 1 000,0 тыс. рублей.</w:t>
      </w:r>
    </w:p>
    <w:p w14:paraId="621BAB7D" w14:textId="77777777" w:rsidR="008B166E" w:rsidRPr="008B166E" w:rsidRDefault="008B166E" w:rsidP="008B166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10.12. </w:t>
      </w:r>
      <w:r w:rsidRPr="008B166E">
        <w:rPr>
          <w:rFonts w:ascii="Times New Roman" w:eastAsia="Times New Roman" w:hAnsi="Times New Roman" w:cs="Times New Roman"/>
          <w:sz w:val="28"/>
          <w:szCs w:val="28"/>
          <w:lang w:eastAsia="ru-RU"/>
        </w:rPr>
        <w:t>С</w:t>
      </w:r>
      <w:r w:rsidRPr="008B166E">
        <w:rPr>
          <w:rFonts w:ascii="Times New Roman" w:eastAsia="Times New Roman" w:hAnsi="Times New Roman" w:cs="Times New Roman"/>
          <w:iCs/>
          <w:sz w:val="28"/>
          <w:szCs w:val="28"/>
          <w:lang w:eastAsia="ru-RU"/>
        </w:rPr>
        <w:t>огласно условиям договоров аренды за несвоевременное внесение</w:t>
      </w:r>
      <w:r w:rsidRPr="008B166E">
        <w:rPr>
          <w:rFonts w:ascii="Times New Roman" w:eastAsia="Times New Roman" w:hAnsi="Times New Roman" w:cs="Times New Roman"/>
          <w:sz w:val="28"/>
          <w:szCs w:val="28"/>
          <w:lang w:eastAsia="ru-RU"/>
        </w:rPr>
        <w:t xml:space="preserve"> арендной платы предусмотрено начисление пени в размере </w:t>
      </w:r>
      <w:r w:rsidRPr="008B166E">
        <w:rPr>
          <w:rFonts w:ascii="Times New Roman" w:eastAsia="Times New Roman" w:hAnsi="Times New Roman" w:cs="Times New Roman"/>
          <w:sz w:val="28"/>
          <w:szCs w:val="28"/>
          <w:lang w:eastAsia="ru-RU"/>
        </w:rPr>
        <w:br/>
        <w:t>0,03-0,5 % за каждый день просрочки. Однако, указанная мера применяется только при составлении исковых заявлений.</w:t>
      </w:r>
    </w:p>
    <w:p w14:paraId="5A8ED78A"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По расчетам, произведенным на основании данных о задолженности по платежам за аренду земельных участков на 1 января 2021 года, сумма пени к начислению за 2021 год ориентировочно могла составить 148 791,9 тыс. рублей (расчет: задолженность на 1 января 2021 года – 271 766,0 тыс. рублей х 0,3 % х 365 дней х 50 %). </w:t>
      </w:r>
    </w:p>
    <w:p w14:paraId="34EFB003"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10.12</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На землях отгонного животноводства общей площадью 10 467 га, предоставленных в аренду различным сельскохозяйственным товаропроизводителям, без соответствующих правоустанавливающих документов образованы 199 населенных пунктов, в которых проживают 78 616 человек, в том числе на земельных участках, расположенных на территориях 12 муниципальных образований.</w:t>
      </w:r>
    </w:p>
    <w:p w14:paraId="6A4025A0"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10.13. </w:t>
      </w:r>
      <w:r w:rsidRPr="008B166E">
        <w:rPr>
          <w:rFonts w:ascii="Times New Roman" w:eastAsia="Times New Roman" w:hAnsi="Times New Roman" w:cs="Times New Roman"/>
          <w:sz w:val="28"/>
          <w:szCs w:val="28"/>
          <w:lang w:eastAsia="ru-RU"/>
        </w:rPr>
        <w:t xml:space="preserve">В рамках контрольного мероприятия проведено обследование </w:t>
      </w:r>
      <w:r w:rsidRPr="008B166E">
        <w:rPr>
          <w:rFonts w:ascii="Times New Roman" w:eastAsia="Times New Roman" w:hAnsi="Times New Roman" w:cs="Times New Roman"/>
          <w:sz w:val="28"/>
          <w:szCs w:val="28"/>
          <w:lang w:eastAsia="ru-RU"/>
        </w:rPr>
        <w:lastRenderedPageBreak/>
        <w:t>использования 30 земельных участков общей площадью 24 877 га (земли сельскохозяйственного назначения, земли отгонного животноводства», земли особо охраняемых территорий), находящихся в государственной собственности Республики Дагестан и переданных в аренду. Проверкой установлено, что земельные участки используются с нарушением условий договоров аренды, в том числе не по целевому назначению.</w:t>
      </w:r>
    </w:p>
    <w:p w14:paraId="39F0505B"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10.14. </w:t>
      </w:r>
      <w:r w:rsidRPr="008B166E">
        <w:rPr>
          <w:rFonts w:ascii="Times New Roman" w:eastAsia="Times New Roman" w:hAnsi="Times New Roman" w:cs="Times New Roman"/>
          <w:sz w:val="28"/>
          <w:szCs w:val="28"/>
          <w:lang w:eastAsia="ru-RU"/>
        </w:rPr>
        <w:t>Не реализованы мероприятия, предусмотренные Прогнозным планом (программой) приватизации государственного имущества Республики Дагестан на 2021 год.</w:t>
      </w:r>
    </w:p>
    <w:p w14:paraId="534775BE"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10.15. </w:t>
      </w:r>
      <w:r w:rsidRPr="008B166E">
        <w:rPr>
          <w:rFonts w:ascii="Times New Roman" w:eastAsia="Times New Roman" w:hAnsi="Times New Roman" w:cs="Times New Roman"/>
          <w:sz w:val="28"/>
          <w:szCs w:val="28"/>
          <w:lang w:eastAsia="ru-RU"/>
        </w:rPr>
        <w:t xml:space="preserve">На 1 января 2022 года в Реестре государственного имущества Республики Дагестан значится 63 акционерных обществ с государственной долей в уставном капитале, из которых 44 действующих акционерных обществ, 6 – находятся в процессе банкротства, 6 – не осуществляют деятельность, по 4 акционерным обществам отсутствует информация о ведении финансово-хозяйственной деятельности, 3 ранее ликвидированные акционерные общества.  </w:t>
      </w:r>
    </w:p>
    <w:p w14:paraId="777CED2F"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По итогам работы за 2020 год 38 акционерных обществ завершили с чистой прибылью в сумме 36 930,4 тыс. рублей и 10 акционерных обществ – </w:t>
      </w:r>
      <w:r w:rsidRPr="008B166E">
        <w:rPr>
          <w:rFonts w:ascii="Times New Roman" w:eastAsia="Times New Roman" w:hAnsi="Times New Roman" w:cs="Times New Roman"/>
          <w:sz w:val="28"/>
          <w:szCs w:val="28"/>
          <w:lang w:eastAsia="ru-RU"/>
        </w:rPr>
        <w:br/>
        <w:t xml:space="preserve">с убытком в сумме 36 310,0 тыс. рублей. </w:t>
      </w:r>
    </w:p>
    <w:p w14:paraId="0EA42B40"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По расчетам с контрагентами Минимущества РД, сумма начисленных дивидендов составляет 10 934,9 тыс. рублей, что на 1 385,3 тыс. рублей больше, чем по решениям акционерных обществ. Фактически в 2021 году оплата произведена в сумме 11 262,6 тыс. рублей.</w:t>
      </w:r>
    </w:p>
    <w:p w14:paraId="4B1BDD70"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В нарушение статьи 42 Федерального закона от 26 декабря 1995 года </w:t>
      </w:r>
      <w:r w:rsidRPr="008B166E">
        <w:rPr>
          <w:rFonts w:ascii="Times New Roman" w:eastAsia="Times New Roman" w:hAnsi="Times New Roman" w:cs="Times New Roman"/>
          <w:sz w:val="28"/>
          <w:szCs w:val="28"/>
          <w:lang w:eastAsia="ru-RU"/>
        </w:rPr>
        <w:br/>
        <w:t>№ 208-ФЗ «Об акционерных обществах», не оплачены дивиденды в общей сумме 1 432,4 тыс. рублей.</w:t>
      </w:r>
    </w:p>
    <w:p w14:paraId="070AEB75" w14:textId="77777777" w:rsidR="008B166E" w:rsidRPr="008B166E" w:rsidRDefault="008B166E" w:rsidP="00CB3DC3">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10.16. </w:t>
      </w:r>
      <w:r w:rsidRPr="008B166E">
        <w:rPr>
          <w:rFonts w:ascii="Times New Roman" w:eastAsia="Times New Roman" w:hAnsi="Times New Roman" w:cs="Times New Roman"/>
          <w:sz w:val="28"/>
          <w:szCs w:val="28"/>
          <w:lang w:eastAsia="ru-RU"/>
        </w:rPr>
        <w:t>По состоянию на 1 января 2022 года в Реестре государственного имущества Республики Дагестан значатся 12 обществ с ограниченной ответственностью (ООО), которые находятся в ведомственном подчинении 3 министерств.</w:t>
      </w:r>
    </w:p>
    <w:p w14:paraId="48F78BD8" w14:textId="77777777" w:rsidR="008B166E" w:rsidRPr="008B166E" w:rsidRDefault="008B166E" w:rsidP="00CB3DC3">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По итогам финансово-хозяйственной деятельности за 2020 год чистая прибыль получена 9 обществами на общую сумму 1 384, 0 тыс. рублей и одно общество завершило с убытком в сумме 562,0 тыс. рублей (ООО «Ботлихская Фабрика Народных Промыслов»). </w:t>
      </w:r>
    </w:p>
    <w:p w14:paraId="5BBCBAFA"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В 2021 году, по итогам работы за 2020 год сумма дивидендов (ООО), подлежащих уплате в республиканский бюджет Республики Дагестан из расчета до 35 % чистой прибыли составляет 484,4 тыс. рублей, фактически поступило 459,2 тыс. рублей, задолженность на 1 января 2022 года – 25,2 тыс. рублей. </w:t>
      </w:r>
    </w:p>
    <w:p w14:paraId="725DFD08"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10.17. </w:t>
      </w:r>
      <w:r w:rsidRPr="008B166E">
        <w:rPr>
          <w:rFonts w:ascii="Times New Roman" w:eastAsia="Times New Roman" w:hAnsi="Times New Roman" w:cs="Times New Roman"/>
          <w:sz w:val="28"/>
          <w:szCs w:val="28"/>
          <w:lang w:eastAsia="ru-RU"/>
        </w:rPr>
        <w:t xml:space="preserve">По состоянию на 1 января 2022 года в Реестре государственного имущества Республики Дагестан значится 43 государственных унитарных предприятий, в том числе 37 унитарных и 6 казенных предприятий. Из них 9 предприятий, находятся на стадии ликвидации (в том числе 2 – казенных), 8 предприятий находятся в процессе банкротства, 23 предприятия являются </w:t>
      </w:r>
      <w:r w:rsidRPr="008B166E">
        <w:rPr>
          <w:rFonts w:ascii="Times New Roman" w:eastAsia="Times New Roman" w:hAnsi="Times New Roman" w:cs="Times New Roman"/>
          <w:sz w:val="28"/>
          <w:szCs w:val="28"/>
          <w:lang w:eastAsia="ru-RU"/>
        </w:rPr>
        <w:lastRenderedPageBreak/>
        <w:t>действующими и осуществляют финансово-хозяйственную деятельность, из них 3 предприятия находятся на стадии реорганизации, в форме преобразования в общества ограниченной ответственностью, 3 – не осуществляют деятельность (по 1 предприятию подготовлен проект постановления Правительства Республики Дагестан о ликвидации).</w:t>
      </w:r>
    </w:p>
    <w:p w14:paraId="1AC1118C"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На 1 января 2022 года за ликвидируемыми и находящимися на стадии банкротства предприятиями значится: движимое имущество в количестве 641 единиц остаточной стоимостью 438 405,6 тыс. рублей; объекты нежилого фонда в количестве 703 единиц, с общей площадью 147 452,7 тыс. кв. м; 85 земельных участка с общей площадью 14 733,91 га.</w:t>
      </w:r>
    </w:p>
    <w:p w14:paraId="7BCAE23A"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В результате не обеспечения контроля за использованием переданного хозяйствующим субъектам имущества, земельные участки находятся в пользовании иных лиц (физических и юридических лиц), а объекты нежилого фонда – в состоянии не пригодном для эксплуатации. </w:t>
      </w:r>
    </w:p>
    <w:p w14:paraId="3155B804"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В крайне неудовлетворительном состоянии находятся объекты нежилого фонда, закрепленные за 3 предприятиями (ГУП «Дагестанлес»; </w:t>
      </w:r>
      <w:r w:rsidRPr="008B166E">
        <w:rPr>
          <w:rFonts w:ascii="Times New Roman" w:eastAsia="Times New Roman" w:hAnsi="Times New Roman" w:cs="Times New Roman"/>
          <w:sz w:val="28"/>
          <w:szCs w:val="28"/>
          <w:lang w:eastAsia="ru-RU"/>
        </w:rPr>
        <w:br/>
        <w:t>КП РД «Дирекция государственного заказчика-застройщика»; ГУП «Мелиоратор»).</w:t>
      </w:r>
    </w:p>
    <w:p w14:paraId="40814F7D"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Из действующих предприятий финансовый год завершили с чистой прибылью 13 государственных унитарных предприятий (62 030 тыс. рублей), и 8 предприятия – с убытками в сумме 156 701 тыс. рублей.</w:t>
      </w:r>
    </w:p>
    <w:p w14:paraId="3BD346AD"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По состоянию на 1 января 2021 года кредиторская задолженность действующих ГУП составила 979 421 тыс. рублей, что в сравнении с началом года увеличилась на 141 571 тыс. рублей или на 14,4 %.  </w:t>
      </w:r>
    </w:p>
    <w:p w14:paraId="334B33A4"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Дебиторская задолженность действующих составила 968 377 тыс. рублей, что в сравнении с началом года увеличилась на 115 881 тыс. рублей, или на 11,9 %. </w:t>
      </w:r>
    </w:p>
    <w:p w14:paraId="6708D76B"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10.18. </w:t>
      </w:r>
      <w:r w:rsidRPr="008B166E">
        <w:rPr>
          <w:rFonts w:ascii="Times New Roman" w:eastAsia="Times New Roman" w:hAnsi="Times New Roman" w:cs="Times New Roman"/>
          <w:sz w:val="28"/>
          <w:szCs w:val="28"/>
          <w:lang w:eastAsia="ru-RU"/>
        </w:rPr>
        <w:t>Отраслевыми органами исполнительной власти Республики Дагестан, в том числе Минимуществом РД, не обеспечивается сохранность имущества, закрепленного за государственными унитарными предприятиями, не принимаются меры по обеспечению финансового оздоровления предприятий в целях восстановления платежеспособности и погашения задолженности, отсутствует координация и взаимодействие с арбитражными управляющими.</w:t>
      </w:r>
    </w:p>
    <w:p w14:paraId="593D1097" w14:textId="77777777" w:rsidR="008B166E" w:rsidRPr="008B166E" w:rsidRDefault="008B166E" w:rsidP="008B166E">
      <w:pPr>
        <w:spacing w:after="0" w:line="240" w:lineRule="auto"/>
        <w:ind w:firstLine="851"/>
        <w:jc w:val="both"/>
        <w:rPr>
          <w:rFonts w:ascii="Times New Roman" w:eastAsia="Times New Roman" w:hAnsi="Times New Roman" w:cs="Times New Roman"/>
          <w:sz w:val="28"/>
          <w:szCs w:val="28"/>
          <w:lang w:eastAsia="ar-SA"/>
        </w:rPr>
      </w:pPr>
      <w:r w:rsidRPr="008B166E">
        <w:rPr>
          <w:rFonts w:ascii="Times New Roman" w:eastAsia="Calibri" w:hAnsi="Times New Roman" w:cs="Times New Roman"/>
          <w:b/>
          <w:bCs/>
          <w:color w:val="002060"/>
          <w:sz w:val="28"/>
          <w:szCs w:val="28"/>
          <w:lang w:eastAsia="ru-RU"/>
        </w:rPr>
        <w:t xml:space="preserve">11. </w:t>
      </w:r>
      <w:r w:rsidRPr="008B166E">
        <w:rPr>
          <w:rFonts w:ascii="Times New Roman" w:eastAsia="Times New Roman" w:hAnsi="Times New Roman" w:cs="Times New Roman"/>
          <w:sz w:val="28"/>
          <w:szCs w:val="28"/>
          <w:lang w:eastAsia="ar-SA"/>
        </w:rPr>
        <w:t>По состоянию на 1 января 2022 года задолженность по налогам и сборам в консолидированный бюджет Российской Федерации (без учета задолженности во внебюджетные фонды) составила 15 441 743,0 тыс. рублей, в том числе по:</w:t>
      </w:r>
    </w:p>
    <w:p w14:paraId="16B26034" w14:textId="77777777" w:rsidR="008B166E" w:rsidRPr="008B166E" w:rsidRDefault="008B166E" w:rsidP="008B166E">
      <w:pPr>
        <w:spacing w:after="0" w:line="240" w:lineRule="auto"/>
        <w:ind w:firstLine="851"/>
        <w:jc w:val="both"/>
        <w:rPr>
          <w:rFonts w:ascii="Times New Roman" w:eastAsia="Times New Roman" w:hAnsi="Times New Roman" w:cs="Times New Roman"/>
          <w:sz w:val="28"/>
          <w:szCs w:val="28"/>
          <w:lang w:eastAsia="ar-SA"/>
        </w:rPr>
      </w:pPr>
      <w:r w:rsidRPr="008B166E">
        <w:rPr>
          <w:rFonts w:ascii="Times New Roman" w:eastAsia="Times New Roman" w:hAnsi="Times New Roman" w:cs="Times New Roman"/>
          <w:sz w:val="28"/>
          <w:szCs w:val="28"/>
          <w:lang w:eastAsia="ar-SA"/>
        </w:rPr>
        <w:t>-</w:t>
      </w:r>
      <w:r w:rsidRPr="008B166E">
        <w:rPr>
          <w:rFonts w:ascii="Times New Roman" w:eastAsia="Times New Roman" w:hAnsi="Times New Roman" w:cs="Times New Roman"/>
          <w:sz w:val="24"/>
          <w:szCs w:val="24"/>
          <w:lang w:eastAsia="ru-RU"/>
        </w:rPr>
        <w:t xml:space="preserve"> </w:t>
      </w:r>
      <w:r w:rsidRPr="008B166E">
        <w:rPr>
          <w:rFonts w:ascii="Times New Roman" w:eastAsia="Times New Roman" w:hAnsi="Times New Roman" w:cs="Times New Roman"/>
          <w:sz w:val="28"/>
          <w:szCs w:val="28"/>
          <w:lang w:eastAsia="ar-SA"/>
        </w:rPr>
        <w:t>федеральным налогам и сборам – 6 158 351,0 тыс. рублей;</w:t>
      </w:r>
    </w:p>
    <w:p w14:paraId="54215B38" w14:textId="77777777" w:rsidR="008B166E" w:rsidRPr="008B166E" w:rsidRDefault="008B166E" w:rsidP="008B166E">
      <w:pPr>
        <w:spacing w:after="0" w:line="240" w:lineRule="auto"/>
        <w:ind w:firstLine="851"/>
        <w:jc w:val="both"/>
        <w:rPr>
          <w:rFonts w:ascii="Times New Roman" w:eastAsia="Times New Roman" w:hAnsi="Times New Roman" w:cs="Times New Roman"/>
          <w:sz w:val="28"/>
          <w:szCs w:val="28"/>
          <w:lang w:eastAsia="ar-SA"/>
        </w:rPr>
      </w:pPr>
      <w:r w:rsidRPr="008B166E">
        <w:rPr>
          <w:rFonts w:ascii="Times New Roman" w:eastAsia="Times New Roman" w:hAnsi="Times New Roman" w:cs="Times New Roman"/>
          <w:sz w:val="28"/>
          <w:szCs w:val="28"/>
          <w:lang w:eastAsia="ar-SA"/>
        </w:rPr>
        <w:t>- региональным налогам и сборам – 5 892 179,0 тыс. рублей;</w:t>
      </w:r>
    </w:p>
    <w:p w14:paraId="1EB55341" w14:textId="77777777" w:rsidR="008B166E" w:rsidRPr="008B166E" w:rsidRDefault="008B166E" w:rsidP="008B166E">
      <w:pPr>
        <w:spacing w:after="0" w:line="240" w:lineRule="auto"/>
        <w:ind w:firstLine="851"/>
        <w:jc w:val="both"/>
        <w:rPr>
          <w:rFonts w:ascii="Times New Roman" w:eastAsia="Times New Roman" w:hAnsi="Times New Roman" w:cs="Times New Roman"/>
          <w:sz w:val="28"/>
          <w:szCs w:val="28"/>
          <w:lang w:eastAsia="ar-SA"/>
        </w:rPr>
      </w:pPr>
      <w:r w:rsidRPr="008B166E">
        <w:rPr>
          <w:rFonts w:ascii="Times New Roman" w:eastAsia="Times New Roman" w:hAnsi="Times New Roman" w:cs="Times New Roman"/>
          <w:sz w:val="28"/>
          <w:szCs w:val="28"/>
          <w:lang w:eastAsia="ar-SA"/>
        </w:rPr>
        <w:t>- местным налогам и сборам – 2 962 214,0 тыс. рублей;</w:t>
      </w:r>
    </w:p>
    <w:p w14:paraId="2D47AB46" w14:textId="77777777" w:rsidR="008B166E" w:rsidRPr="008B166E" w:rsidRDefault="008B166E" w:rsidP="008B166E">
      <w:pPr>
        <w:spacing w:after="0" w:line="240" w:lineRule="auto"/>
        <w:ind w:firstLine="851"/>
        <w:jc w:val="both"/>
        <w:rPr>
          <w:rFonts w:ascii="Times New Roman" w:eastAsia="Times New Roman" w:hAnsi="Times New Roman" w:cs="Times New Roman"/>
          <w:sz w:val="28"/>
          <w:szCs w:val="28"/>
          <w:lang w:eastAsia="ar-SA"/>
        </w:rPr>
      </w:pPr>
      <w:r w:rsidRPr="008B166E">
        <w:rPr>
          <w:rFonts w:ascii="Times New Roman" w:eastAsia="Times New Roman" w:hAnsi="Times New Roman" w:cs="Times New Roman"/>
          <w:sz w:val="28"/>
          <w:szCs w:val="28"/>
          <w:lang w:eastAsia="ar-SA"/>
        </w:rPr>
        <w:t>- налогам со специальным налоговым режимом – 428 999,0 тыс. рублей.</w:t>
      </w:r>
    </w:p>
    <w:p w14:paraId="31825AEC" w14:textId="77777777" w:rsidR="008B166E" w:rsidRPr="008B166E" w:rsidRDefault="008B166E" w:rsidP="008B166E">
      <w:pPr>
        <w:spacing w:after="0" w:line="240" w:lineRule="auto"/>
        <w:ind w:firstLine="709"/>
        <w:jc w:val="both"/>
        <w:rPr>
          <w:rFonts w:ascii="Times New Roman" w:eastAsia="Times New Roman" w:hAnsi="Times New Roman" w:cs="Times New Roman"/>
          <w:sz w:val="28"/>
          <w:szCs w:val="28"/>
          <w:lang w:eastAsia="ar-SA"/>
        </w:rPr>
      </w:pPr>
      <w:r w:rsidRPr="008B166E">
        <w:rPr>
          <w:rFonts w:ascii="Times New Roman" w:eastAsia="Calibri" w:hAnsi="Times New Roman" w:cs="Times New Roman"/>
          <w:b/>
          <w:bCs/>
          <w:color w:val="002060"/>
          <w:sz w:val="28"/>
          <w:szCs w:val="28"/>
          <w:lang w:eastAsia="ru-RU"/>
        </w:rPr>
        <w:t>12.</w:t>
      </w:r>
      <w:r w:rsidRPr="008B166E">
        <w:rPr>
          <w:rFonts w:ascii="Times New Roman" w:eastAsia="Calibri"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ar-SA"/>
        </w:rPr>
        <w:t xml:space="preserve">Согласно Закону Республики Дагестан «О республиканском бюджете Республики Дагестан на 2021 год и на плановый период 2022 и 2023 </w:t>
      </w:r>
      <w:r w:rsidRPr="008B166E">
        <w:rPr>
          <w:rFonts w:ascii="Times New Roman" w:eastAsia="Times New Roman" w:hAnsi="Times New Roman" w:cs="Times New Roman"/>
          <w:sz w:val="28"/>
          <w:szCs w:val="28"/>
          <w:lang w:eastAsia="ar-SA"/>
        </w:rPr>
        <w:lastRenderedPageBreak/>
        <w:t>годов» администраторами доходов республиканского бюджета Республики Дагестан определены 25 министерств и ведомств Республики Дагестан, при этом бюджетные назначения утверждены только по 19 администраторам.</w:t>
      </w:r>
    </w:p>
    <w:p w14:paraId="70E6D5F1" w14:textId="77777777" w:rsidR="008B166E" w:rsidRPr="008B166E" w:rsidRDefault="008B166E" w:rsidP="008B166E">
      <w:pPr>
        <w:spacing w:after="0" w:line="240" w:lineRule="auto"/>
        <w:ind w:firstLine="708"/>
        <w:jc w:val="both"/>
        <w:rPr>
          <w:rFonts w:ascii="Times New Roman" w:eastAsia="Times New Roman" w:hAnsi="Times New Roman" w:cs="Times New Roman"/>
          <w:sz w:val="28"/>
          <w:szCs w:val="28"/>
          <w:lang w:eastAsia="ar-SA"/>
        </w:rPr>
      </w:pPr>
      <w:r w:rsidRPr="008B166E">
        <w:rPr>
          <w:rFonts w:ascii="Times New Roman" w:eastAsia="Times New Roman" w:hAnsi="Times New Roman" w:cs="Times New Roman"/>
          <w:sz w:val="28"/>
          <w:szCs w:val="28"/>
          <w:lang w:eastAsia="ar-SA"/>
        </w:rPr>
        <w:t>В нарушение приказа Министерства финансов Российской Федерации от 6 июня 2019 года № 85н «О порядке формирования и применения кодов бюджетной классификации Российской Федерации, их структуре и принципах назначения» Министерством финансов Республики Дагестан по администратору  доходов «Министерство имущественных и земельных отношений Республики Дагестан» учтены не все коды бюджетной классификации для зачисления доходов от сдачи в аренду имущества, в частности «Доходы от сдачи в аренду имущества, составляющего государственную (муниципальную) казну».</w:t>
      </w:r>
    </w:p>
    <w:p w14:paraId="62AA5FF5" w14:textId="77777777" w:rsidR="008B166E" w:rsidRPr="008B166E" w:rsidRDefault="008B166E" w:rsidP="008B166E">
      <w:pPr>
        <w:spacing w:after="0" w:line="240" w:lineRule="auto"/>
        <w:ind w:firstLine="708"/>
        <w:jc w:val="both"/>
        <w:rPr>
          <w:rFonts w:ascii="Times New Roman" w:eastAsia="Times New Roman" w:hAnsi="Times New Roman" w:cs="Times New Roman"/>
          <w:sz w:val="28"/>
          <w:szCs w:val="28"/>
          <w:lang w:eastAsia="ar-SA"/>
        </w:rPr>
      </w:pPr>
      <w:r w:rsidRPr="008B166E">
        <w:rPr>
          <w:rFonts w:ascii="Times New Roman" w:eastAsia="Times New Roman" w:hAnsi="Times New Roman" w:cs="Times New Roman"/>
          <w:sz w:val="28"/>
          <w:szCs w:val="28"/>
          <w:lang w:eastAsia="ar-SA"/>
        </w:rPr>
        <w:t xml:space="preserve">В связи с чем доходы от сдачи в аренду объектов имущества казны Республики Дагестан, а также имущества, находящегося в оперативном управлении (71 853,8 тыс. рублей) полностью отнесены на код бюджетной классификации «Доходы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 При этом, большая часть суммы, отраженная на данном коде бюджетной классификации, составляют доходы от аренды имущества, составляющего государственную казну Республики Дагестан. </w:t>
      </w:r>
    </w:p>
    <w:p w14:paraId="3D3018F0" w14:textId="77777777" w:rsidR="008B166E" w:rsidRPr="008B166E" w:rsidRDefault="008B166E" w:rsidP="008B166E">
      <w:pPr>
        <w:widowControl w:val="0"/>
        <w:tabs>
          <w:tab w:val="left" w:pos="1518"/>
        </w:tabs>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ar-SA"/>
        </w:rPr>
        <w:t>13.</w:t>
      </w:r>
      <w:r w:rsidRPr="008B166E">
        <w:rPr>
          <w:rFonts w:ascii="Times New Roman" w:eastAsia="Times New Roman" w:hAnsi="Times New Roman" w:cs="Times New Roman"/>
          <w:b/>
          <w:bCs/>
          <w:sz w:val="28"/>
          <w:szCs w:val="28"/>
          <w:lang w:eastAsia="ar-SA"/>
        </w:rPr>
        <w:t xml:space="preserve"> </w:t>
      </w:r>
      <w:r w:rsidRPr="008B166E">
        <w:rPr>
          <w:rFonts w:ascii="Times New Roman" w:eastAsia="Calibri" w:hAnsi="Times New Roman" w:cs="Times New Roman"/>
          <w:sz w:val="28"/>
          <w:szCs w:val="28"/>
        </w:rPr>
        <w:t xml:space="preserve">За 2021 год </w:t>
      </w:r>
      <w:r w:rsidRPr="008B166E">
        <w:rPr>
          <w:rFonts w:ascii="Times New Roman" w:eastAsia="Times New Roman" w:hAnsi="Times New Roman" w:cs="Times New Roman"/>
          <w:sz w:val="28"/>
          <w:szCs w:val="28"/>
          <w:lang w:eastAsia="ru-RU"/>
        </w:rPr>
        <w:t>расходы республиканского бюджета Республики Дагестан фактически профинансированы в сумме 181 735 590,5 тыс. рублей, или на 99,3 %. от утвержденных назначений (182 954 728,2 тыс. рублей).</w:t>
      </w:r>
    </w:p>
    <w:p w14:paraId="79398E58"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Общий объем недофинансирования за 2021 год составил 1 219 137,7 тыс. рублей, в том числе по разделам:</w:t>
      </w:r>
    </w:p>
    <w:p w14:paraId="3016BA09" w14:textId="77777777" w:rsidR="008B166E" w:rsidRPr="008B166E" w:rsidRDefault="008B166E" w:rsidP="008B166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«Общегосударственные вопросы» (0100) – 113 056,5 тыс. рублей;</w:t>
      </w:r>
    </w:p>
    <w:p w14:paraId="72EBACAE" w14:textId="77777777" w:rsidR="008B166E" w:rsidRPr="008B166E" w:rsidRDefault="008B166E" w:rsidP="008B166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«Национальная безопасность и правоохранительная деятельность» – 61 862,5 тыс. рублей;</w:t>
      </w:r>
    </w:p>
    <w:p w14:paraId="564C7F01" w14:textId="77777777" w:rsidR="008B166E" w:rsidRPr="008B166E" w:rsidRDefault="008B166E" w:rsidP="008B166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«Национальная экономика» (0400) – 318 840,2 тыс. рублей;</w:t>
      </w:r>
    </w:p>
    <w:p w14:paraId="4FB12380" w14:textId="77777777" w:rsidR="008B166E" w:rsidRPr="008B166E" w:rsidRDefault="008B166E" w:rsidP="008B166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«Жилищно-коммунальное хозяйство» (0500) – 40 000,0 тыс. рублей; </w:t>
      </w:r>
    </w:p>
    <w:p w14:paraId="59ABD30B" w14:textId="77777777" w:rsidR="008B166E" w:rsidRPr="008B166E" w:rsidRDefault="008B166E" w:rsidP="008B166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«Образование» (0700) – 565 376,3 тыс. рублей;</w:t>
      </w:r>
    </w:p>
    <w:p w14:paraId="2FCC3C44" w14:textId="77777777" w:rsidR="008B166E" w:rsidRPr="008B166E" w:rsidRDefault="008B166E" w:rsidP="008B166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«Здравоохранение» (0900) – 120 002,1 тыс. рублей. </w:t>
      </w:r>
    </w:p>
    <w:p w14:paraId="4930CC6D" w14:textId="77777777" w:rsidR="008B166E" w:rsidRPr="008B166E" w:rsidRDefault="008B166E" w:rsidP="008B166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14.</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Кассовые расходы за 2021 год составили 169 203 793,6 тыс. рублей, или 93,1 % к объему профинансированных расходов. Не исполнены бюджетные назначения в сумме 12 531 796,9 тыс. рублей, из них по разделам:</w:t>
      </w:r>
    </w:p>
    <w:p w14:paraId="701F55A0"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«Общегосударственные вопросы» (0100) – 123 475,2 тыс. рублей;</w:t>
      </w:r>
    </w:p>
    <w:p w14:paraId="7D24C7C5"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«Национальная безопасность и правоохранительная деятельность» (0300) – 32 936,9 тыс. рублей;</w:t>
      </w:r>
    </w:p>
    <w:p w14:paraId="0710B918"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«Национальная экономика» (0400) – 2 245 219,0 тыс. рублей;</w:t>
      </w:r>
    </w:p>
    <w:p w14:paraId="2799902F"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«Жилищно-коммунальное хозяйство» (0500) – 749 837,3 тыс. рублей; </w:t>
      </w:r>
    </w:p>
    <w:p w14:paraId="493D12F8"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«Охрана окружающей среды» (0600) – 65 721,1 тыс. рублей; </w:t>
      </w:r>
    </w:p>
    <w:p w14:paraId="470DA144"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«Образование» (0700) – 7 918 734,9 тыс. рублей;</w:t>
      </w:r>
    </w:p>
    <w:p w14:paraId="70F07A21"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lastRenderedPageBreak/>
        <w:t>- «Культура и кинематография» (0800) – 55 908,2 тыс. рублей;</w:t>
      </w:r>
    </w:p>
    <w:p w14:paraId="548A2851"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 «Здравоохранение» (0900) – 889 965,8 тыс. рублей; </w:t>
      </w:r>
    </w:p>
    <w:p w14:paraId="53398DA8"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«Социальная политика» (1000) – 204 458,0 тыс. рублей;</w:t>
      </w:r>
    </w:p>
    <w:p w14:paraId="61FC44E4"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«Физическая культур и спорт» (1100) – 235 398,5тыс. рублей;</w:t>
      </w:r>
    </w:p>
    <w:p w14:paraId="25EBB705"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«Средства массовой информации» (1200) – 10 142,3 тыс. рублей.</w:t>
      </w:r>
    </w:p>
    <w:p w14:paraId="5ED90CA3"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15. </w:t>
      </w:r>
      <w:r w:rsidRPr="008B166E">
        <w:rPr>
          <w:rFonts w:ascii="Times New Roman" w:eastAsia="Times New Roman" w:hAnsi="Times New Roman" w:cs="Times New Roman"/>
          <w:sz w:val="28"/>
          <w:szCs w:val="28"/>
          <w:lang w:eastAsia="ru-RU"/>
        </w:rPr>
        <w:t>Наибольший удельный вес в структуре расходов республиканского бюджета Республики Дагестан в 2021 году составили расходы по разделам «Социальная политика» (32,8 %), «Образование» (30 %), «Национальная экономика» (10,8 %), «Здравоохранение» (8,7 %), «Межбюджетные трансферты» (5,8 %), «Жилищно-коммунальное хозяйство» (4,2 %).</w:t>
      </w:r>
    </w:p>
    <w:p w14:paraId="47C6B08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16.</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 xml:space="preserve">Наибольшую долю в экономической структуре расходов республиканского бюджета Республики Дагестан по отчету за 2021 год составили расходы на безвозмездные перечисления бюджетам – 36,5 %, на социальное обеспечение – 31,2 %, на безвозмездные перечисления организациям – 13,2 %, на увеличение стоимости основных средств – 9,0 %, на оплату работ, услуг – 4,3 %, на оплату труда с начислениями – 3,9%. </w:t>
      </w:r>
    </w:p>
    <w:p w14:paraId="2C6F8A7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По сравнению с 2020 годом доля расходов на оплату работ, услуг в общем объеме расходов республиканского бюджета Республики Дагестан за 2021 год уменьшилась на 0,2 процентного пункта, безвозмездные перечисления организациям – на 3,8 процентного пункта, на увеличение стоимости основных средств – на 4,1 процентного пункта. Доля расходов на безвозмездные перечисления бюджетам увеличилась на 5,9 процентного пункта, на социальное обеспечение – на 2,9 процентных пункта, на оплату труда с начислениями – на 0,2 процентного пункта. </w:t>
      </w:r>
    </w:p>
    <w:p w14:paraId="4E205D2F"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17. </w:t>
      </w:r>
      <w:r w:rsidRPr="008B166E">
        <w:rPr>
          <w:rFonts w:ascii="Times New Roman" w:eastAsia="Times New Roman" w:hAnsi="Times New Roman" w:cs="Times New Roman"/>
          <w:sz w:val="28"/>
          <w:szCs w:val="28"/>
          <w:lang w:eastAsia="ru-RU"/>
        </w:rPr>
        <w:t>По состоянию на 1 января 2021 года на балансе исполнения республиканского бюджета Республики Дагестан значились остатки неиспользованных бюджетных средств в общей сумме 13 770 526,8 тыс. рублей, в том числе:</w:t>
      </w:r>
    </w:p>
    <w:p w14:paraId="4AA3BF5F"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текущем счете исполнения республиканского бюджета Республики Дагестан – 1 985 899,8 тыс. рублей;</w:t>
      </w:r>
    </w:p>
    <w:p w14:paraId="06F17D8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лицевых счетах главных распорядителей республиканского бюджета Республики Дагестан – 11 784 627,0 тыс. рублей, из них: средства федерального бюджета – 7 633 639,6 тыс. рублей и средства республиканского бюджета Республики Дагестан – 4 150 987,4 тыс. рублей.</w:t>
      </w:r>
    </w:p>
    <w:p w14:paraId="796A3C1F"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По сравнению с началом 2021 года объем остатков неиспользованных средств на конец года увеличился на 3 206 664,1 тыс. рублей, или на 23,3 %.</w:t>
      </w:r>
    </w:p>
    <w:p w14:paraId="7B917069"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18.</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На лицевых счетах бюджетных и автономных учреждений в органе Федерального казначейства на 1 января 2021 года значились остатки неиспользованных бюджетных средств в общей сумме 5 619 660,8 тыс. рублей.</w:t>
      </w:r>
    </w:p>
    <w:p w14:paraId="159275C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sz w:val="28"/>
          <w:szCs w:val="28"/>
          <w:lang w:eastAsia="ru-RU"/>
        </w:rPr>
        <w:t>19.</w:t>
      </w:r>
      <w:r w:rsidRPr="008B166E">
        <w:rPr>
          <w:rFonts w:ascii="Times New Roman" w:eastAsia="Times New Roman" w:hAnsi="Times New Roman" w:cs="Times New Roman"/>
          <w:sz w:val="28"/>
          <w:szCs w:val="28"/>
          <w:lang w:eastAsia="ru-RU"/>
        </w:rPr>
        <w:t xml:space="preserve"> На счетах бюджетов муниципальных образований на </w:t>
      </w:r>
      <w:r w:rsidRPr="008B166E">
        <w:rPr>
          <w:rFonts w:ascii="Times New Roman" w:eastAsia="Times New Roman" w:hAnsi="Times New Roman" w:cs="Times New Roman"/>
          <w:sz w:val="28"/>
          <w:szCs w:val="28"/>
          <w:lang w:eastAsia="ru-RU"/>
        </w:rPr>
        <w:br/>
        <w:t xml:space="preserve">1 января 2021 года значились остатки неиспользованных бюджетных средств в общей сумме 5 495 500,0 тыс. рублей. По сравнению с началом года остатки неиспользованных бюджетных средств на конец 2021 года увеличились на </w:t>
      </w:r>
      <w:r w:rsidRPr="008B166E">
        <w:rPr>
          <w:rFonts w:ascii="Times New Roman" w:eastAsia="Times New Roman" w:hAnsi="Times New Roman" w:cs="Times New Roman"/>
          <w:sz w:val="28"/>
          <w:szCs w:val="28"/>
          <w:lang w:eastAsia="ru-RU"/>
        </w:rPr>
        <w:lastRenderedPageBreak/>
        <w:t>1 167 699,1 тыс. рублей, или на 21,2 %, и на 1 января 2022 года составили 6 663 849,1 тыс. рублей.</w:t>
      </w:r>
    </w:p>
    <w:p w14:paraId="2EBD93C9"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20.</w:t>
      </w:r>
      <w:r w:rsidRPr="008B166E">
        <w:rPr>
          <w:rFonts w:ascii="Times New Roman" w:eastAsia="Times New Roman" w:hAnsi="Times New Roman" w:cs="Times New Roman"/>
          <w:sz w:val="28"/>
          <w:szCs w:val="28"/>
          <w:lang w:eastAsia="ru-RU"/>
        </w:rPr>
        <w:t xml:space="preserve"> Таким образом, общая сумма неиспользованных остатков бюджетных средств, в целом по консолидированному бюджету Республики Дагестан по состоянию на 1 января 2021 года составила 28 628 751,8 тыс. рублей. По сравнению с началом 2020 года сумма неиспользованных остатков бюджетных средств увеличилась на 5 926 910,2 тыс. рублей, или на 26,1 % (22 701 841,6 тыс. рублей).</w:t>
      </w:r>
    </w:p>
    <w:p w14:paraId="39DB51D9"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21. </w:t>
      </w:r>
      <w:r w:rsidRPr="008B166E">
        <w:rPr>
          <w:rFonts w:ascii="Times New Roman" w:eastAsia="Times New Roman" w:hAnsi="Times New Roman" w:cs="Times New Roman"/>
          <w:bCs/>
          <w:sz w:val="28"/>
          <w:szCs w:val="28"/>
          <w:lang w:eastAsia="ru-RU"/>
        </w:rPr>
        <w:t>Неиспользованные остатки</w:t>
      </w:r>
      <w:r w:rsidRPr="008B166E">
        <w:rPr>
          <w:rFonts w:ascii="Times New Roman" w:eastAsia="Times New Roman" w:hAnsi="Times New Roman" w:cs="Times New Roman"/>
          <w:b/>
          <w:bCs/>
          <w:color w:val="002060"/>
          <w:sz w:val="28"/>
          <w:szCs w:val="28"/>
          <w:lang w:eastAsia="ru-RU"/>
        </w:rPr>
        <w:t xml:space="preserve"> </w:t>
      </w:r>
      <w:r w:rsidRPr="008B166E">
        <w:rPr>
          <w:rFonts w:ascii="Times New Roman" w:eastAsia="Times New Roman" w:hAnsi="Times New Roman" w:cs="Times New Roman"/>
          <w:bCs/>
          <w:sz w:val="28"/>
          <w:szCs w:val="28"/>
          <w:lang w:eastAsia="ru-RU"/>
        </w:rPr>
        <w:t xml:space="preserve">целевых бюджетных средств в общей сумме 127 303,5 тыс. рублей </w:t>
      </w:r>
      <w:r w:rsidRPr="008B166E">
        <w:rPr>
          <w:rFonts w:ascii="Times New Roman" w:eastAsia="Times New Roman" w:hAnsi="Times New Roman" w:cs="Times New Roman"/>
          <w:sz w:val="28"/>
          <w:szCs w:val="28"/>
          <w:lang w:eastAsia="ru-RU"/>
        </w:rPr>
        <w:t>Министерством финансов Республики Дагестан в полном объеме возвращены в федеральный бюджет.</w:t>
      </w:r>
    </w:p>
    <w:p w14:paraId="2DDFC4C7"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22. </w:t>
      </w:r>
      <w:r w:rsidRPr="008B166E">
        <w:rPr>
          <w:rFonts w:ascii="Times New Roman" w:eastAsia="Times New Roman" w:hAnsi="Times New Roman" w:cs="Times New Roman"/>
          <w:sz w:val="28"/>
          <w:szCs w:val="28"/>
          <w:lang w:eastAsia="ru-RU"/>
        </w:rPr>
        <w:t>На лицевых счетах 44 главных распорядителей бюджетных средств остатки неиспользованных бюджетных средств составили 12 531 796,6 тыс. рублей (средства федерального бюджета – 6 961 449,7 тыс. рублей и средства республиканского бюджета Республики Дагестан – 5 570 346,9 тыс. рублей).</w:t>
      </w:r>
    </w:p>
    <w:p w14:paraId="7C8CE30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Наибольший объем остатков неиспользованных бюджетных средств значится на лицевых счетах следующих главных распорядителей:</w:t>
      </w:r>
    </w:p>
    <w:p w14:paraId="43EF64F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 xml:space="preserve">- </w:t>
      </w:r>
      <w:r w:rsidRPr="008B166E">
        <w:rPr>
          <w:rFonts w:ascii="Times New Roman" w:eastAsia="Times New Roman" w:hAnsi="Times New Roman" w:cs="Times New Roman"/>
          <w:sz w:val="28"/>
          <w:szCs w:val="28"/>
          <w:lang w:eastAsia="ru-RU"/>
        </w:rPr>
        <w:t>Управление Правительства Республики Дагестан по капитальному строительству – 7 269 221,4 тыс. рублей;</w:t>
      </w:r>
    </w:p>
    <w:p w14:paraId="5201C361"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bCs/>
          <w:sz w:val="28"/>
          <w:szCs w:val="28"/>
          <w:lang w:eastAsia="ru-RU"/>
        </w:rPr>
        <w:t>Министерства транспорта и дорожного хозяйства Республики Дагестан</w:t>
      </w:r>
      <w:r w:rsidRPr="008B166E">
        <w:rPr>
          <w:rFonts w:ascii="Times New Roman" w:eastAsia="Times New Roman" w:hAnsi="Times New Roman" w:cs="Times New Roman"/>
          <w:sz w:val="28"/>
          <w:szCs w:val="28"/>
          <w:lang w:eastAsia="ru-RU"/>
        </w:rPr>
        <w:t xml:space="preserve"> – 1 680 612,5 тыс. рублей;</w:t>
      </w:r>
    </w:p>
    <w:p w14:paraId="28B1440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bCs/>
          <w:sz w:val="28"/>
          <w:szCs w:val="28"/>
          <w:lang w:eastAsia="ru-RU"/>
        </w:rPr>
        <w:t>Министерство здравоохранения Республики Дагестан</w:t>
      </w:r>
      <w:r w:rsidRPr="008B166E">
        <w:rPr>
          <w:rFonts w:ascii="Times New Roman" w:eastAsia="Times New Roman" w:hAnsi="Times New Roman" w:cs="Times New Roman"/>
          <w:sz w:val="28"/>
          <w:szCs w:val="28"/>
          <w:lang w:eastAsia="ru-RU"/>
        </w:rPr>
        <w:t xml:space="preserve"> – 862 648,8 тыс. рублей;</w:t>
      </w:r>
    </w:p>
    <w:p w14:paraId="338C31B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bCs/>
          <w:sz w:val="28"/>
          <w:szCs w:val="28"/>
          <w:lang w:eastAsia="ru-RU"/>
        </w:rPr>
        <w:t>Министерство экономики и территориального развития Республики Дагестан</w:t>
      </w:r>
      <w:r w:rsidRPr="008B166E">
        <w:rPr>
          <w:rFonts w:ascii="Times New Roman" w:eastAsia="Times New Roman" w:hAnsi="Times New Roman" w:cs="Times New Roman"/>
          <w:sz w:val="28"/>
          <w:szCs w:val="28"/>
          <w:lang w:eastAsia="ru-RU"/>
        </w:rPr>
        <w:t xml:space="preserve"> – 613,9 млн рублей;</w:t>
      </w:r>
    </w:p>
    <w:p w14:paraId="245CEE0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bCs/>
          <w:sz w:val="28"/>
          <w:szCs w:val="28"/>
          <w:lang w:eastAsia="ru-RU"/>
        </w:rPr>
        <w:t>Министерство образования и науки Республики Дагестан</w:t>
      </w:r>
      <w:r w:rsidRPr="008B166E">
        <w:rPr>
          <w:rFonts w:ascii="Times New Roman" w:eastAsia="Times New Roman" w:hAnsi="Times New Roman" w:cs="Times New Roman"/>
          <w:sz w:val="28"/>
          <w:szCs w:val="28"/>
          <w:lang w:eastAsia="ru-RU"/>
        </w:rPr>
        <w:t xml:space="preserve"> – 539 210,1 тыс. рублей;</w:t>
      </w:r>
    </w:p>
    <w:p w14:paraId="1C24A8F6"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bCs/>
          <w:sz w:val="28"/>
          <w:szCs w:val="28"/>
          <w:lang w:eastAsia="ru-RU"/>
        </w:rPr>
        <w:t>Министерство энергетики и жилищно-коммунального хозяйства Республики Дагестан</w:t>
      </w:r>
      <w:r w:rsidRPr="008B166E">
        <w:rPr>
          <w:rFonts w:ascii="Times New Roman" w:eastAsia="Times New Roman" w:hAnsi="Times New Roman" w:cs="Times New Roman"/>
          <w:sz w:val="28"/>
          <w:szCs w:val="28"/>
          <w:lang w:eastAsia="ru-RU"/>
        </w:rPr>
        <w:t xml:space="preserve"> – 344 586,4 тыс. рублей;</w:t>
      </w:r>
    </w:p>
    <w:p w14:paraId="4572A91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w:t>
      </w:r>
      <w:r w:rsidRPr="008B166E">
        <w:rPr>
          <w:rFonts w:ascii="Times New Roman" w:eastAsia="Times New Roman" w:hAnsi="Times New Roman" w:cs="Times New Roman"/>
          <w:b/>
          <w:bCs/>
          <w:color w:val="002060"/>
          <w:sz w:val="28"/>
          <w:szCs w:val="28"/>
          <w:lang w:eastAsia="ru-RU"/>
        </w:rPr>
        <w:t xml:space="preserve"> </w:t>
      </w:r>
      <w:r w:rsidRPr="008B166E">
        <w:rPr>
          <w:rFonts w:ascii="Times New Roman" w:eastAsia="Times New Roman" w:hAnsi="Times New Roman" w:cs="Times New Roman"/>
          <w:bCs/>
          <w:sz w:val="28"/>
          <w:szCs w:val="28"/>
          <w:lang w:eastAsia="ru-RU"/>
        </w:rPr>
        <w:t>Министерство земельных и имущественных отношений Республики Дагестан</w:t>
      </w:r>
      <w:r w:rsidRPr="008B166E">
        <w:rPr>
          <w:rFonts w:ascii="Times New Roman" w:eastAsia="Times New Roman" w:hAnsi="Times New Roman" w:cs="Times New Roman"/>
          <w:sz w:val="28"/>
          <w:szCs w:val="28"/>
          <w:lang w:eastAsia="ru-RU"/>
        </w:rPr>
        <w:t xml:space="preserve"> – 264 476,9 тыс. рублей;</w:t>
      </w:r>
    </w:p>
    <w:p w14:paraId="5ACE2C13"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bCs/>
          <w:sz w:val="28"/>
          <w:szCs w:val="28"/>
          <w:lang w:eastAsia="ru-RU"/>
        </w:rPr>
        <w:t>Министерство труда и социального развития Республики Дагестан</w:t>
      </w:r>
      <w:r w:rsidRPr="008B166E">
        <w:rPr>
          <w:rFonts w:ascii="Times New Roman" w:eastAsia="Times New Roman" w:hAnsi="Times New Roman" w:cs="Times New Roman"/>
          <w:sz w:val="28"/>
          <w:szCs w:val="28"/>
          <w:lang w:eastAsia="ru-RU"/>
        </w:rPr>
        <w:t xml:space="preserve"> – 160 458,4 тыс. рублей;</w:t>
      </w:r>
    </w:p>
    <w:p w14:paraId="327DC8BE"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bCs/>
          <w:sz w:val="28"/>
          <w:szCs w:val="28"/>
          <w:lang w:eastAsia="ru-RU"/>
        </w:rPr>
        <w:t>Министерства строительства Республики Дагестан</w:t>
      </w:r>
      <w:r w:rsidRPr="008B166E">
        <w:rPr>
          <w:rFonts w:ascii="Times New Roman" w:eastAsia="Times New Roman" w:hAnsi="Times New Roman" w:cs="Times New Roman"/>
          <w:sz w:val="28"/>
          <w:szCs w:val="28"/>
          <w:lang w:eastAsia="ru-RU"/>
        </w:rPr>
        <w:t xml:space="preserve"> – 125 513,8 тыс. рублей.</w:t>
      </w:r>
    </w:p>
    <w:p w14:paraId="1E8AF3D2"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23. </w:t>
      </w:r>
      <w:r w:rsidRPr="008B166E">
        <w:rPr>
          <w:rFonts w:ascii="Times New Roman" w:eastAsia="Times New Roman" w:hAnsi="Times New Roman" w:cs="Times New Roman"/>
          <w:sz w:val="28"/>
          <w:szCs w:val="28"/>
          <w:lang w:eastAsia="ru-RU"/>
        </w:rPr>
        <w:t>Расходы по резервным фондам первоначально были утверждены в сумме 2 200 000,0 тыс. рублей (резервный фонд Правительства Республики Дагестан – 100 000,0 тыс. рублей, резервный фонд Правительства Республики Дагестан по предупреждению и ликвидации чрезвычайных ситуаций и последствий стихийных бедствий – 100 000,0 тыс. рублей, резервный фонд Республики Дагестан – 2 000 000,0 тыс. рублей).</w:t>
      </w:r>
    </w:p>
    <w:p w14:paraId="53B88E1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23.1.</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 xml:space="preserve">В течение 2021 года, с учетом внесенных изменений уточненной сводной бюджетной росписью объем резервных фондов утвержден в сумме </w:t>
      </w:r>
      <w:bookmarkStart w:id="50" w:name="_Hlk104580979"/>
      <w:r w:rsidRPr="008B166E">
        <w:rPr>
          <w:rFonts w:ascii="Times New Roman" w:eastAsia="Times New Roman" w:hAnsi="Times New Roman" w:cs="Times New Roman"/>
          <w:sz w:val="28"/>
          <w:szCs w:val="28"/>
          <w:lang w:eastAsia="ru-RU"/>
        </w:rPr>
        <w:t xml:space="preserve">1 142 000,0 </w:t>
      </w:r>
      <w:bookmarkEnd w:id="50"/>
      <w:r w:rsidRPr="008B166E">
        <w:rPr>
          <w:rFonts w:ascii="Times New Roman" w:eastAsia="Times New Roman" w:hAnsi="Times New Roman" w:cs="Times New Roman"/>
          <w:sz w:val="28"/>
          <w:szCs w:val="28"/>
          <w:lang w:eastAsia="ru-RU"/>
        </w:rPr>
        <w:t xml:space="preserve">тыс. рублей (резервный фонд Правительства Республики Дагестан </w:t>
      </w:r>
      <w:r w:rsidRPr="008B166E">
        <w:rPr>
          <w:rFonts w:ascii="Times New Roman" w:eastAsia="Times New Roman" w:hAnsi="Times New Roman" w:cs="Times New Roman"/>
          <w:sz w:val="28"/>
          <w:szCs w:val="28"/>
          <w:lang w:eastAsia="ru-RU"/>
        </w:rPr>
        <w:lastRenderedPageBreak/>
        <w:t xml:space="preserve">– </w:t>
      </w:r>
      <w:bookmarkStart w:id="51" w:name="_Hlk104580993"/>
      <w:r w:rsidRPr="008B166E">
        <w:rPr>
          <w:rFonts w:ascii="Times New Roman" w:eastAsia="Times New Roman" w:hAnsi="Times New Roman" w:cs="Times New Roman"/>
          <w:sz w:val="28"/>
          <w:szCs w:val="28"/>
          <w:lang w:eastAsia="ru-RU"/>
        </w:rPr>
        <w:t xml:space="preserve">1 042 000,0 </w:t>
      </w:r>
      <w:bookmarkEnd w:id="51"/>
      <w:r w:rsidRPr="008B166E">
        <w:rPr>
          <w:rFonts w:ascii="Times New Roman" w:eastAsia="Times New Roman" w:hAnsi="Times New Roman" w:cs="Times New Roman"/>
          <w:sz w:val="28"/>
          <w:szCs w:val="28"/>
          <w:lang w:eastAsia="ru-RU"/>
        </w:rPr>
        <w:t>тыс. рублей, резервный фонд Правительства Республики Дагестан по предупреждению и ликвидации чрезвычайных ситуаций и последствий стихийных бедствий – 100 000,0 тыс. рублей).</w:t>
      </w:r>
    </w:p>
    <w:p w14:paraId="6A30CBA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23.2.</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Фактически в 2021 году осуществлены расходы в сумме 1 061 157,4 тыс. рублей, что составляет 92,9 % к утвержденным назначениям (за счет резервного фонда Правительства Республики Дагестан – 1 041 641,4 тыс. рублей, или 99,9 % к утвержденным назначениям, за счет резервного фонда Правительства Республики Дагестан по предупреждению и ликвидации чрезвычайных ситуаций и последствий стихийных бедствий – 19 516,0 тыс. рублей, или 19,5 % к утвержденным назначениям).</w:t>
      </w:r>
    </w:p>
    <w:p w14:paraId="6D0256D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23.4.</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 xml:space="preserve">Остаток неиспользованных средств резервных фондов на 1 января 2022 года составил 80 842,6 тыс. рублей (резервный фонд Правительства Республики Дагестан – 358,6 тыс. рублей, резервный фонд Правительства Республики Дагестан по предупреждению и ликвидации чрезвычайных ситуаций и последствий стихийных бедствий – 80 484,0 тыс. рублей). </w:t>
      </w:r>
    </w:p>
    <w:p w14:paraId="0DCAF371"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B166E">
        <w:rPr>
          <w:rFonts w:ascii="Times New Roman" w:eastAsia="Times New Roman" w:hAnsi="Times New Roman" w:cs="Times New Roman"/>
          <w:spacing w:val="-1"/>
          <w:sz w:val="28"/>
          <w:szCs w:val="28"/>
          <w:lang w:eastAsia="ru-RU"/>
        </w:rPr>
        <w:t xml:space="preserve">Анализ расходования средств резервных фондов показал, что в 2021 году основной объем выделенных средств </w:t>
      </w:r>
      <w:r w:rsidRPr="008B166E">
        <w:rPr>
          <w:rFonts w:ascii="Times New Roman" w:eastAsia="Times New Roman" w:hAnsi="Times New Roman" w:cs="Times New Roman"/>
          <w:spacing w:val="2"/>
          <w:sz w:val="28"/>
          <w:szCs w:val="28"/>
          <w:lang w:eastAsia="ru-RU"/>
        </w:rPr>
        <w:t>направлен на:</w:t>
      </w:r>
    </w:p>
    <w:p w14:paraId="3DE9EE79"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pacing w:val="2"/>
          <w:sz w:val="28"/>
          <w:szCs w:val="28"/>
          <w:lang w:eastAsia="ru-RU"/>
        </w:rPr>
        <w:t xml:space="preserve">- </w:t>
      </w:r>
      <w:r w:rsidRPr="008B166E">
        <w:rPr>
          <w:rFonts w:ascii="Times New Roman" w:eastAsia="Times New Roman" w:hAnsi="Times New Roman" w:cs="Times New Roman"/>
          <w:sz w:val="28"/>
          <w:szCs w:val="28"/>
          <w:lang w:eastAsia="ru-RU"/>
        </w:rPr>
        <w:t>реализацию мер, направленных на предотвращение распространения новой коронавирусной инфекции – 172 184,3 тыс. рублей;</w:t>
      </w:r>
    </w:p>
    <w:p w14:paraId="526E692E"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закупку</w:t>
      </w:r>
      <w:r w:rsidRPr="008B166E">
        <w:rPr>
          <w:rFonts w:ascii="Times New Roman" w:eastAsia="Times New Roman" w:hAnsi="Times New Roman" w:cs="Times New Roman"/>
          <w:spacing w:val="2"/>
          <w:sz w:val="28"/>
          <w:szCs w:val="28"/>
          <w:lang w:eastAsia="ru-RU"/>
        </w:rPr>
        <w:t xml:space="preserve"> лекарственных препаратов для предотвращения новой коронавирусной инфекции</w:t>
      </w:r>
      <w:r w:rsidRPr="008B166E">
        <w:rPr>
          <w:rFonts w:ascii="Times New Roman" w:eastAsia="Times New Roman" w:hAnsi="Times New Roman" w:cs="Times New Roman"/>
          <w:sz w:val="28"/>
          <w:szCs w:val="28"/>
          <w:lang w:eastAsia="ru-RU"/>
        </w:rPr>
        <w:t xml:space="preserve"> – 123 445,5 тыс. рублей;</w:t>
      </w:r>
    </w:p>
    <w:p w14:paraId="70C5DFA7"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дополнительные выплаты стимулирующего характера работникам медицинских учреждений – 204 721,5 тыс. рублей;</w:t>
      </w:r>
    </w:p>
    <w:p w14:paraId="7221F09E"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проведение работ по дезинфекции в очагах новой коронавирусной инфекции – 135 391,2 тыс. рублей;</w:t>
      </w:r>
    </w:p>
    <w:p w14:paraId="1B18CD6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обеспечение социальных выплат детям от 3-х до 7 лет – 38 326,7 тыс. рублей;</w:t>
      </w:r>
    </w:p>
    <w:p w14:paraId="218D4AA1"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ликвидацию последствий пожара – 19 516,0 тыс. рублей;</w:t>
      </w:r>
    </w:p>
    <w:p w14:paraId="4474C446"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предоставление субсидии АО «Корпорация развития Дагестана» – 250 000,0 тыс. рублей. </w:t>
      </w:r>
    </w:p>
    <w:p w14:paraId="4E9A9DB3"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24.</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 xml:space="preserve">Расходы за счет средств дорожного фонда Республики Дагестан </w:t>
      </w:r>
      <w:r w:rsidRPr="008B166E">
        <w:rPr>
          <w:rFonts w:ascii="Times New Roman" w:eastAsia="Times New Roman" w:hAnsi="Times New Roman" w:cs="Times New Roman"/>
          <w:bCs/>
          <w:sz w:val="28"/>
          <w:szCs w:val="28"/>
          <w:lang w:eastAsia="ru-RU"/>
        </w:rPr>
        <w:t xml:space="preserve">профинансированы в сумме 13 054 398,8 </w:t>
      </w:r>
      <w:r w:rsidRPr="008B166E">
        <w:rPr>
          <w:rFonts w:ascii="Times New Roman" w:eastAsia="Times New Roman" w:hAnsi="Times New Roman" w:cs="Times New Roman"/>
          <w:sz w:val="28"/>
          <w:szCs w:val="28"/>
          <w:lang w:eastAsia="ru-RU"/>
        </w:rPr>
        <w:t xml:space="preserve">тыс. рублей, или на 100 % к утвержденным назначениям. </w:t>
      </w:r>
      <w:r w:rsidRPr="008B166E">
        <w:rPr>
          <w:rFonts w:ascii="Times New Roman" w:eastAsia="Times New Roman" w:hAnsi="Times New Roman" w:cs="Times New Roman"/>
          <w:bCs/>
          <w:sz w:val="28"/>
          <w:szCs w:val="28"/>
          <w:lang w:eastAsia="ru-RU"/>
        </w:rPr>
        <w:t>Кассовое</w:t>
      </w:r>
      <w:r w:rsidRPr="008B166E">
        <w:rPr>
          <w:rFonts w:ascii="Times New Roman" w:eastAsia="Times New Roman" w:hAnsi="Times New Roman" w:cs="Times New Roman"/>
          <w:sz w:val="28"/>
          <w:szCs w:val="28"/>
          <w:lang w:eastAsia="ru-RU"/>
        </w:rPr>
        <w:t xml:space="preserve"> исполнение составило 11 267 478,6 тыс. рублей, или 86,3 % к объему профинансированных расходо</w:t>
      </w:r>
      <w:r w:rsidRPr="008B166E">
        <w:rPr>
          <w:rFonts w:ascii="Times New Roman" w:eastAsia="Times New Roman" w:hAnsi="Times New Roman" w:cs="Times New Roman"/>
          <w:sz w:val="28"/>
          <w:szCs w:val="28"/>
          <w:shd w:val="clear" w:color="auto" w:fill="FFFFFF"/>
          <w:lang w:eastAsia="ru-RU"/>
        </w:rPr>
        <w:t>в. Н</w:t>
      </w:r>
      <w:r w:rsidRPr="008B166E">
        <w:rPr>
          <w:rFonts w:ascii="Times New Roman" w:eastAsia="Times New Roman" w:hAnsi="Times New Roman" w:cs="Times New Roman"/>
          <w:sz w:val="28"/>
          <w:szCs w:val="28"/>
          <w:lang w:eastAsia="ru-RU"/>
        </w:rPr>
        <w:t>е исполнены назначения в сумме 1 786 920,2 тыс. рублей.</w:t>
      </w:r>
    </w:p>
    <w:p w14:paraId="1CA0C7E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За счет указанных средств профинансированы расходы следующих главных распорядителей бюджетных средств:</w:t>
      </w:r>
    </w:p>
    <w:p w14:paraId="5F229827"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Calibri"/>
          <w:sz w:val="28"/>
          <w:szCs w:val="28"/>
          <w:lang w:eastAsia="ru-RU"/>
        </w:rPr>
        <w:t>Министерство транспорта и дорожного хозяйства Республики Дагестан – в сумме 12 475 559,6 тыс. рублей, или на 100 %, кассовое исполнение составило 10 800 873,5 тыс. рублей, или 86,6 % к объему профинансированных расходов. Неиспользованные остатки средств дорожного фонда в сумме 1 674 686,1 тыс. рублей возвращены в республиканский бюджет Республики Дагестан;</w:t>
      </w:r>
    </w:p>
    <w:p w14:paraId="4D33EDD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8B166E">
        <w:rPr>
          <w:rFonts w:ascii="Times New Roman" w:eastAsia="Times New Roman" w:hAnsi="Times New Roman" w:cs="Calibri"/>
          <w:sz w:val="28"/>
          <w:szCs w:val="28"/>
          <w:lang w:eastAsia="ru-RU"/>
        </w:rPr>
        <w:t xml:space="preserve">- Министерство экономики и территориального развития Республики </w:t>
      </w:r>
      <w:r w:rsidRPr="008B166E">
        <w:rPr>
          <w:rFonts w:ascii="Times New Roman" w:eastAsia="Times New Roman" w:hAnsi="Times New Roman" w:cs="Calibri"/>
          <w:sz w:val="28"/>
          <w:szCs w:val="28"/>
          <w:lang w:eastAsia="ru-RU"/>
        </w:rPr>
        <w:lastRenderedPageBreak/>
        <w:t>Дагестан – в сумме 518 011,9 тыс. рублей, или на 100 %, кассовое исполнение составило 419 111,9 тыс. рублей, или 80,9 % к объему профинансированных расходов. Неиспользованные остатки средств в сумме 98 900,0 тыс. рублей возвращены в республиканский бюджет Республики Дагестан;</w:t>
      </w:r>
    </w:p>
    <w:p w14:paraId="5C37B9C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Calibri"/>
          <w:sz w:val="28"/>
          <w:szCs w:val="28"/>
          <w:lang w:eastAsia="ru-RU"/>
        </w:rPr>
        <w:t xml:space="preserve">- Управление Правительства Республики Дагестан по капитальному </w:t>
      </w:r>
      <w:r w:rsidRPr="008B166E">
        <w:rPr>
          <w:rFonts w:ascii="Times New Roman" w:eastAsia="Times New Roman" w:hAnsi="Times New Roman" w:cs="Times New Roman"/>
          <w:sz w:val="28"/>
          <w:szCs w:val="28"/>
          <w:lang w:eastAsia="ru-RU"/>
        </w:rPr>
        <w:t xml:space="preserve">строительству – 20 914,0 тыс. рублей, или на 100 %, кассовое исполнение составило 19 233,2 тыс. рублей, или 92,0 % к объему профинансированных расходов. Неиспользованные остатки средств в сумме 1 680,8 тыс. рублей возвращены в республиканский бюджет </w:t>
      </w:r>
      <w:r w:rsidRPr="008B166E">
        <w:rPr>
          <w:rFonts w:ascii="Times New Roman" w:eastAsia="Times New Roman" w:hAnsi="Times New Roman" w:cs="Calibri"/>
          <w:sz w:val="28"/>
          <w:szCs w:val="28"/>
          <w:lang w:eastAsia="ru-RU"/>
        </w:rPr>
        <w:t>Республики Дагестан</w:t>
      </w:r>
      <w:r w:rsidRPr="008B166E">
        <w:rPr>
          <w:rFonts w:ascii="Times New Roman" w:eastAsia="Times New Roman" w:hAnsi="Times New Roman" w:cs="Times New Roman"/>
          <w:sz w:val="28"/>
          <w:szCs w:val="28"/>
          <w:lang w:eastAsia="ru-RU"/>
        </w:rPr>
        <w:t>;</w:t>
      </w:r>
    </w:p>
    <w:p w14:paraId="60DFDADE"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Управление Правительства Республики Дагестан по вопросам переселения лакского населения Новолакского района и восстановление Ауховского района – 39 913,3 тыс. рублей, </w:t>
      </w:r>
      <w:r w:rsidRPr="008B166E">
        <w:rPr>
          <w:rFonts w:ascii="Times New Roman" w:eastAsia="Times New Roman" w:hAnsi="Times New Roman" w:cs="Calibri"/>
          <w:sz w:val="28"/>
          <w:szCs w:val="28"/>
          <w:lang w:eastAsia="ru-RU"/>
        </w:rPr>
        <w:t xml:space="preserve">или на 100 %, кассовое исполнение составило 28 259,9 тыс. рублей, </w:t>
      </w:r>
      <w:r w:rsidRPr="008B166E">
        <w:rPr>
          <w:rFonts w:ascii="Times New Roman" w:eastAsia="Times New Roman" w:hAnsi="Times New Roman" w:cs="Times New Roman"/>
          <w:sz w:val="28"/>
          <w:szCs w:val="28"/>
          <w:lang w:eastAsia="ru-RU"/>
        </w:rPr>
        <w:t xml:space="preserve">или 70,8 % к объему профинансированных расходов. Неиспользованные остатки средств в сумме 11 653,4 тыс. рублей возвращены в республиканский бюджет </w:t>
      </w:r>
      <w:r w:rsidRPr="008B166E">
        <w:rPr>
          <w:rFonts w:ascii="Times New Roman" w:eastAsia="Times New Roman" w:hAnsi="Times New Roman" w:cs="Calibri"/>
          <w:sz w:val="28"/>
          <w:szCs w:val="28"/>
          <w:lang w:eastAsia="ru-RU"/>
        </w:rPr>
        <w:t>Республики Дагестан</w:t>
      </w:r>
      <w:r w:rsidRPr="008B166E">
        <w:rPr>
          <w:rFonts w:ascii="Times New Roman" w:eastAsia="Times New Roman" w:hAnsi="Times New Roman" w:cs="Times New Roman"/>
          <w:sz w:val="28"/>
          <w:szCs w:val="28"/>
          <w:lang w:eastAsia="ru-RU"/>
        </w:rPr>
        <w:t>.</w:t>
      </w:r>
    </w:p>
    <w:p w14:paraId="06DC57FC"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С учетом фактических поступлений доходов уточненный объем бюджетных ассигнований дорожного фонда Республики Дагестан на 2021 год составил 13 168 360,0 тыс. рублей. Фактически за счет средств дорожного фонда в 2021 году осуществлены расходы в сумме 10 800 873,5 тыс. рублей.</w:t>
      </w:r>
    </w:p>
    <w:p w14:paraId="4E281026"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Таким образом, остаток неиспользованных бюджетных ассигнований дорожного фонда на 1 января 2022 года составляет 2 367 486,5 тыс. рублей. Вместе с тем, последней редакцией Закона Республики Дагестан от 30 апреля 2022 года № 32 «О республиканском бюджета Республики Дагестан на 2022 год и на плановый период 2023 и 2024 годов» при формировании бюджетных ассигнований дорожного фонда на 2022 год учтены неиспользованные бюджетные ассигнования дорожного фонда 2021 года в сумме 2 348 235,6 тыс. рублей, или меньше на 19 250,9 тыс. рублей. </w:t>
      </w:r>
    </w:p>
    <w:p w14:paraId="72006515"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25. </w:t>
      </w:r>
      <w:r w:rsidRPr="008B166E">
        <w:rPr>
          <w:rFonts w:ascii="Times New Roman" w:eastAsia="Times New Roman" w:hAnsi="Times New Roman" w:cs="Times New Roman"/>
          <w:sz w:val="28"/>
          <w:szCs w:val="28"/>
          <w:lang w:eastAsia="ru-RU"/>
        </w:rPr>
        <w:t>На реализацию мер, направленных на предотвращение распространения новой коронавирусной инфекции на территории Республики Дагестан, в 2021 году было направлено бюджетных средств в общей сумме 4 788 977,3 тыс. рублей, в том числе: 4 137 317,8 тыс. рублей – средства федерального бюджета; 651 659,5 тыс. рублей – средства республиканского бюджета Республики Дагестан.</w:t>
      </w:r>
    </w:p>
    <w:p w14:paraId="1432CA52"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В 2021 году за счет указанных средств были профинансированы расходы следующих министерств и ведомств:</w:t>
      </w:r>
    </w:p>
    <w:p w14:paraId="7B8870A5"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Министерству здравоохранения Республики Дагестан выделено 4 661 428,8 тыс. рублей, в том числе: 4 130 705,1 тыс. рублей – средства федерального бюджета; 530 723,7 тыс. рублей – средства республиканского бюджета Республики Дагестан;</w:t>
      </w:r>
    </w:p>
    <w:p w14:paraId="3C56675F"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Министерству по делам гражданской обороны, ЧС и ликвидации последствий стихийных бедствий Республики Дагестан – 120 935,8 тыс. рублей (средства республиканского бюджета Республика Дагестан);</w:t>
      </w:r>
    </w:p>
    <w:p w14:paraId="59C8840C"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Министерству труда и социального развития Республики Дагестан – 6 612,7 тыс. рублей (средства федерального бюджета).</w:t>
      </w:r>
    </w:p>
    <w:p w14:paraId="7C7EA6B5"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lastRenderedPageBreak/>
        <w:t>Указанные средства были направлен на обеспечение следующих основных мероприятий:</w:t>
      </w:r>
    </w:p>
    <w:p w14:paraId="21CE729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осуществление расходов, связанных с оплатой отпусков и компенсаций медицинским работникам, которым предоставлялись выплаты стимулирующего характера за выполнение особо важных работ, особые условия труда и дополнительную нагрузку – 58 958,6 тыс. рублей (средства федерального бюджета);</w:t>
      </w:r>
    </w:p>
    <w:p w14:paraId="080F59BC"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обеспечение осуществления оплаты отпусков и выплаты компенсации за неиспользованные отпуска работникам стационарных организаций социального обслуживания – 6 612,7 тыс. рублей (средства федерального бюджета);</w:t>
      </w:r>
    </w:p>
    <w:p w14:paraId="4FF2485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осуществление выплат стимулирующего характера за дополнительную нагрузку медицинским работникам, участвующим в проведении вакцинации взрослого населения – 289 443,0 тыс. рублей, в том числе: средства федерального бюджета – 204 721,5 тыс. рублей, средства республиканского бюджета Республики Дагестан – 84 721,5 тыс. рублей;</w:t>
      </w:r>
    </w:p>
    <w:p w14:paraId="1CCD9FD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приобретение лекарственных препаратов – 439 071,6 тыс. рублей, из которых средства федерального бюджета – 219 585,3 тыс. рублей, средства республиканского бюджета Республики Дагестан – 219 486,3 тыс. рублей;</w:t>
      </w:r>
    </w:p>
    <w:p w14:paraId="177A1FCD"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приобретение оборудования – 243 642,0 тыс. рублей, в том числе: средства федерального бюджета – 194 126,5 тыс. рублей; средства республиканского бюджета Республики Дагестан – 49 515,5 тыс. рублей;</w:t>
      </w:r>
    </w:p>
    <w:p w14:paraId="4322B86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проведение лабораторного обследования на новую коронавирусную инфекцию – 137 650,0 тыс. рублей (средства республиканского бюджета Республики Дагестан);</w:t>
      </w:r>
    </w:p>
    <w:p w14:paraId="2608A1A8"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реализацию мер, направленных на предотвращение распространения новой коронавирусной инфекции, в том числе на закупку полуприцепа цистерны транспортной криогенной модификации для перевозки медицинского кислорода и обеспечение расходов по оплате услуг, связанных с содержанием пункта временного размещения иностранных граждан – 120 935,8 тыс. рублей (средства республиканского бюджета Республики Дагестан);</w:t>
      </w:r>
    </w:p>
    <w:p w14:paraId="342E6EE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на проведение медикаментозной профилактики и проведение работ по дезинфекции в очагах новой коронавирусной инфекции – 39 350,4 тыс. рублей (средства республиканского бюджета Республики Дагестан);</w:t>
      </w:r>
    </w:p>
    <w:p w14:paraId="7460F7E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межбюджетный трансферт бюджету Территориального фонда ОМС РД на дополнительное финансовое обеспечение оказания медицинской помощи, в том числе лицам с заболеваниями и (или) подозрением на заболевание новой коронавирусной инфекцией, а также проведение углубленной диспансеризации лиц, перенесших новую коронавирусной инфекцию, в рамках реализации территориальной программы ОМС – 3 453 313,2 тыс. рублей (средства федерального бюджета).</w:t>
      </w:r>
    </w:p>
    <w:p w14:paraId="4712E89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26. </w:t>
      </w:r>
      <w:r w:rsidRPr="008B166E">
        <w:rPr>
          <w:rFonts w:ascii="Times New Roman" w:eastAsia="Times New Roman" w:hAnsi="Times New Roman" w:cs="Times New Roman"/>
          <w:sz w:val="28"/>
          <w:szCs w:val="28"/>
          <w:lang w:eastAsia="ru-RU"/>
        </w:rPr>
        <w:t xml:space="preserve">На предоставление мер социальной поддержки отдельным категориям граждан за счет средств республиканского бюджета Республики </w:t>
      </w:r>
      <w:r w:rsidRPr="008B166E">
        <w:rPr>
          <w:rFonts w:ascii="Times New Roman" w:eastAsia="Times New Roman" w:hAnsi="Times New Roman" w:cs="Times New Roman"/>
          <w:sz w:val="28"/>
          <w:szCs w:val="28"/>
          <w:lang w:eastAsia="ru-RU"/>
        </w:rPr>
        <w:lastRenderedPageBreak/>
        <w:t xml:space="preserve">Дагестан на 2021 год были предусмотрены средства в сумме 1 800 308,9 тыс. рублей. Фактически были профинансированы расходы в сумме 1 800 308,9 тыс. рублей, или на 100 %. Кассовое исполнение составило 1 768 123,3 тыс. рублей, или 98,2 % к объему профинансированных расходов. Остаток неиспользованных средств на обеспечение указанных выплат на 1 января 2022 года составляет 32 185,7 тыс. рублей. </w:t>
      </w:r>
    </w:p>
    <w:p w14:paraId="3B714E42"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27. </w:t>
      </w:r>
      <w:r w:rsidRPr="008B166E">
        <w:rPr>
          <w:rFonts w:ascii="Times New Roman" w:eastAsia="Times New Roman" w:hAnsi="Times New Roman" w:cs="Times New Roman"/>
          <w:sz w:val="28"/>
          <w:szCs w:val="28"/>
          <w:lang w:eastAsia="ru-RU"/>
        </w:rPr>
        <w:t>Анализ исполнения расходов республиканского бюджета Республики Дагестан за 2021 год в части распределения (предоставления) дотаций из республиканского фонда финансовой поддержки муниципальных районов (городских округов, городского округа с внутригородским делением) показал, что принятые Министерством финансов Республики Дагестан объемы налогового потенциала муниципалитетов при расчете дотаций соответствуют показателям, определенным (установленным) Межведомственной комиссией (МВК).</w:t>
      </w:r>
    </w:p>
    <w:p w14:paraId="04D40150"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27.1. </w:t>
      </w:r>
      <w:r w:rsidRPr="008B166E">
        <w:rPr>
          <w:rFonts w:ascii="Times New Roman" w:eastAsia="Times New Roman" w:hAnsi="Times New Roman" w:cs="Times New Roman"/>
          <w:sz w:val="28"/>
          <w:szCs w:val="28"/>
          <w:lang w:eastAsia="ru-RU"/>
        </w:rPr>
        <w:t xml:space="preserve">Общий объем налогового потенциала муниципальных образований, рассчитанный МВК на 2021 год составлял в сумме 11 123 949,0 тыс. рублей, который принят Министерством финансов Республики Дагестан при расчете дотаций для местных бюджетов в 2021 году. </w:t>
      </w:r>
    </w:p>
    <w:p w14:paraId="54430A8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Следует отметить, что поступления налоговых и неналоговых доходов в бюджеты муниципальных районов и городских округов в 2020 году составили в сумме 11 452 249,0 тыс. рублей (без учета акцизов), что на 328 300,0 тыс. рублей больше налогового потенциала, рассчитанного и принятого Министерством финансов Республики Дагестан при расчете и распределении дотаций местным бюджетам в 2021 году.</w:t>
      </w:r>
    </w:p>
    <w:p w14:paraId="2AF83DFB"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Кроме того, объем налогового потенциала муниципальных образований Республики Дагестан на 2021 год ниже показателя значений фактического исполнения доходной части бюджетов муниципальных районов и городских округов за 2020 году (12 146 039,0 тыс. рублей).</w:t>
      </w:r>
    </w:p>
    <w:p w14:paraId="106E849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Практически по всем муниципалитетам доходы муниципальных районов и городских округов Республики Дагестан в 2020 году превышают налоговый потенциал на 2021 год.</w:t>
      </w:r>
    </w:p>
    <w:p w14:paraId="7AE1C72E"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27.2. </w:t>
      </w:r>
      <w:r w:rsidRPr="008B166E">
        <w:rPr>
          <w:rFonts w:ascii="Times New Roman" w:eastAsia="Calibri" w:hAnsi="Times New Roman" w:cs="Times New Roman"/>
          <w:sz w:val="28"/>
          <w:szCs w:val="28"/>
          <w:lang w:eastAsia="ru-RU"/>
        </w:rPr>
        <w:t xml:space="preserve">Анализ исполнения местных бюджетов за 2021 год показывает, что муниципальными образованиями не в полном объеме обеспечивается выполнение расходных обязательств по вопросам местного значения, а также переданных государственных полномочий, в результате чего допускается не освоение бюджетных ассигнований и их аккумулирование в остатках на единых счетах муниципалитетов по учету бюджетных средств. </w:t>
      </w:r>
    </w:p>
    <w:p w14:paraId="42A33B9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На 1 января 2022 года общая сумма неиспользованных бюджетных средств, находящихся на счетах муниципальных образований в виде остатков средств, составила в сумме 6 663 849,1 тыс. рублей, в том числе средств, имеющих целевое назначение – 3 168 800,0 тыс. рублей, или 47,6 % от общего объема остатков.</w:t>
      </w:r>
    </w:p>
    <w:p w14:paraId="0B326195"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27.3.</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 xml:space="preserve">Объем средств, передаваемых бюджетам муниципальных районов и городских округов для компенсации дополнительных расходов, возникших </w:t>
      </w:r>
      <w:r w:rsidRPr="008B166E">
        <w:rPr>
          <w:rFonts w:ascii="Times New Roman" w:eastAsia="Times New Roman" w:hAnsi="Times New Roman" w:cs="Times New Roman"/>
          <w:sz w:val="28"/>
          <w:szCs w:val="28"/>
          <w:lang w:eastAsia="ru-RU"/>
        </w:rPr>
        <w:lastRenderedPageBreak/>
        <w:t>в результате решений, принятых органами власти другого уровня в 2021 году, составил 80 659,6 тыс. рублей.</w:t>
      </w:r>
    </w:p>
    <w:p w14:paraId="26D6546B"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
          <w:bCs/>
          <w:sz w:val="28"/>
          <w:szCs w:val="28"/>
          <w:lang w:eastAsia="ru-RU"/>
        </w:rPr>
      </w:pPr>
      <w:r w:rsidRPr="008B166E">
        <w:rPr>
          <w:rFonts w:ascii="Times New Roman" w:eastAsia="Times New Roman" w:hAnsi="Times New Roman" w:cs="Times New Roman"/>
          <w:b/>
          <w:bCs/>
          <w:color w:val="002060"/>
          <w:sz w:val="28"/>
          <w:szCs w:val="28"/>
          <w:lang w:eastAsia="ru-RU"/>
        </w:rPr>
        <w:t xml:space="preserve">27.3. </w:t>
      </w:r>
      <w:r w:rsidRPr="008B166E">
        <w:rPr>
          <w:rFonts w:ascii="Times New Roman" w:eastAsia="Times New Roman" w:hAnsi="Times New Roman" w:cs="Times New Roman"/>
          <w:sz w:val="28"/>
          <w:szCs w:val="28"/>
          <w:lang w:eastAsia="ru-RU"/>
        </w:rPr>
        <w:t>В отдельных муниципальных образованиях допущено не освоение целевых средств, выделенных из федерального бюджета на общую сумму 15 854,7 тыс. рублей.</w:t>
      </w:r>
    </w:p>
    <w:p w14:paraId="077144B2"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
          <w:bCs/>
          <w:sz w:val="28"/>
          <w:szCs w:val="28"/>
          <w:lang w:eastAsia="ru-RU"/>
        </w:rPr>
      </w:pPr>
      <w:r w:rsidRPr="00526DEF">
        <w:rPr>
          <w:rFonts w:ascii="Times New Roman" w:eastAsia="Times New Roman" w:hAnsi="Times New Roman" w:cs="Times New Roman"/>
          <w:b/>
          <w:bCs/>
          <w:color w:val="002060"/>
          <w:sz w:val="28"/>
          <w:szCs w:val="28"/>
          <w:lang w:eastAsia="ru-RU"/>
        </w:rPr>
        <w:t>28.</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Анализ реализации государственных программ Республики Дагестан показал следующее.</w:t>
      </w:r>
    </w:p>
    <w:p w14:paraId="1F652081" w14:textId="77777777" w:rsidR="008B166E" w:rsidRPr="008B166E" w:rsidRDefault="008B166E" w:rsidP="003E7672">
      <w:pPr>
        <w:autoSpaceDE w:val="0"/>
        <w:autoSpaceDN w:val="0"/>
        <w:adjustRightInd w:val="0"/>
        <w:spacing w:after="0" w:line="360" w:lineRule="exact"/>
        <w:ind w:firstLine="709"/>
        <w:jc w:val="both"/>
        <w:rPr>
          <w:rFonts w:ascii="Times New Roman" w:eastAsia="Calibri" w:hAnsi="Times New Roman" w:cs="Times New Roman"/>
          <w:spacing w:val="2"/>
          <w:sz w:val="28"/>
          <w:szCs w:val="28"/>
          <w:lang w:eastAsia="ru-RU"/>
        </w:rPr>
      </w:pPr>
      <w:r w:rsidRPr="008B166E">
        <w:rPr>
          <w:rFonts w:ascii="Times New Roman" w:eastAsia="Times New Roman" w:hAnsi="Times New Roman" w:cs="Times New Roman"/>
          <w:b/>
          <w:bCs/>
          <w:color w:val="002060"/>
          <w:sz w:val="28"/>
          <w:szCs w:val="28"/>
          <w:lang w:eastAsia="ru-RU"/>
        </w:rPr>
        <w:t>28.1.</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 xml:space="preserve">В 2021 году расходы на реализацию 46 государственных программ Республики Дагестан, профинансированы в сумме </w:t>
      </w:r>
      <w:r w:rsidRPr="008B166E">
        <w:rPr>
          <w:rFonts w:ascii="Times New Roman" w:eastAsia="Calibri" w:hAnsi="Times New Roman" w:cs="Times New Roman"/>
          <w:spacing w:val="2"/>
          <w:sz w:val="28"/>
          <w:szCs w:val="28"/>
          <w:lang w:eastAsia="ru-RU"/>
        </w:rPr>
        <w:t>174 462 010,2 тыс. рублей, или 99,75 % к уточненным назначениям (174 893 385,7 тыс. рублей).</w:t>
      </w:r>
    </w:p>
    <w:p w14:paraId="059CC56A" w14:textId="77777777" w:rsidR="008B166E" w:rsidRPr="008B166E" w:rsidRDefault="008B166E" w:rsidP="003E7672">
      <w:pPr>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b/>
          <w:bCs/>
          <w:color w:val="002060"/>
          <w:spacing w:val="2"/>
          <w:sz w:val="28"/>
          <w:szCs w:val="28"/>
          <w:lang w:eastAsia="ru-RU"/>
        </w:rPr>
        <w:t xml:space="preserve">28.2. </w:t>
      </w:r>
      <w:r w:rsidRPr="008B166E">
        <w:rPr>
          <w:rFonts w:ascii="Times New Roman" w:eastAsia="Calibri" w:hAnsi="Times New Roman" w:cs="Times New Roman"/>
          <w:spacing w:val="2"/>
          <w:sz w:val="28"/>
          <w:szCs w:val="28"/>
          <w:lang w:eastAsia="ru-RU"/>
        </w:rPr>
        <w:t>В</w:t>
      </w:r>
      <w:r w:rsidRPr="008B166E">
        <w:rPr>
          <w:rFonts w:ascii="Times New Roman" w:eastAsia="Calibri" w:hAnsi="Times New Roman" w:cs="Times New Roman"/>
          <w:sz w:val="28"/>
          <w:szCs w:val="28"/>
          <w:lang w:eastAsia="ru-RU"/>
        </w:rPr>
        <w:t xml:space="preserve"> нарушение статьи 179 Бюджетного кодекса Российской Федерации в 33 государственные программы не внесены изменения в части уточнения объемов финансирования, либо изменения внесены, при этом они не соответствуют объемам, утвержденным в Законе Республики Дагестан «О республиканском бюджете Республики Дагестан на 2021 год и на плановый период 2022 и 2023 годов». Кроме того, не осуществлена корректировка целей, мероприятий и индикативных показателей.</w:t>
      </w:r>
    </w:p>
    <w:p w14:paraId="6A4E3119"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b/>
          <w:bCs/>
          <w:color w:val="002060"/>
          <w:sz w:val="28"/>
          <w:szCs w:val="28"/>
          <w:lang w:eastAsia="ru-RU"/>
        </w:rPr>
        <w:t xml:space="preserve">28.3. </w:t>
      </w:r>
      <w:r w:rsidRPr="008B166E">
        <w:rPr>
          <w:rFonts w:ascii="Times New Roman" w:eastAsia="Calibri" w:hAnsi="Times New Roman" w:cs="Times New Roman"/>
          <w:sz w:val="28"/>
          <w:szCs w:val="28"/>
          <w:lang w:eastAsia="ru-RU"/>
        </w:rPr>
        <w:t>Не освоены бюджетные ассигнования по 36 государственным программам Республики Дагестан в сумме 11 876 673,9 тыс. рублей, из них наиболее низкий уровень освоения отмечается по следующим государственным программам Республики Дагестан:</w:t>
      </w:r>
    </w:p>
    <w:p w14:paraId="54BE71C2"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«Развитие территориальных автомобильных дорог республиканского, межмуниципального и местного значения Республики Дагестан» – 1 675 93,9 тыс. рублей;</w:t>
      </w:r>
    </w:p>
    <w:p w14:paraId="291F0BF9"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«Развитие жилищного строительства в Республике Дагестан» – 462 222,2 тыс. рублей;</w:t>
      </w:r>
    </w:p>
    <w:p w14:paraId="271B29E6"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«Развитие образования в Республике Дагестан» – 7 210 308,1 тыс. рублей;</w:t>
      </w:r>
    </w:p>
    <w:p w14:paraId="5823193F"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«Развитие здравоохранения в Республике Дагестан» – 408 152,9 тыс. рублей</w:t>
      </w:r>
    </w:p>
    <w:p w14:paraId="558C64AC"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«Комплексное территориальное развитие муниципального образования городской округ «город Дербент» – 574 488,2 тыс. рублей;</w:t>
      </w:r>
    </w:p>
    <w:p w14:paraId="05FEEBB6"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«Модернизация первичного звена здравоохранения Республики Дагестан» – 377 764,8 тыс. рублей.</w:t>
      </w:r>
    </w:p>
    <w:p w14:paraId="1FA554B3"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b/>
          <w:bCs/>
          <w:color w:val="002060"/>
          <w:sz w:val="28"/>
          <w:szCs w:val="28"/>
          <w:lang w:eastAsia="ru-RU"/>
        </w:rPr>
        <w:t>28.4.</w:t>
      </w:r>
      <w:r w:rsidRPr="008B166E">
        <w:rPr>
          <w:rFonts w:ascii="Times New Roman" w:eastAsia="Calibri" w:hAnsi="Times New Roman" w:cs="Times New Roman"/>
          <w:color w:val="002060"/>
          <w:sz w:val="28"/>
          <w:szCs w:val="28"/>
          <w:lang w:eastAsia="ru-RU"/>
        </w:rPr>
        <w:t xml:space="preserve"> </w:t>
      </w:r>
      <w:r w:rsidRPr="008B166E">
        <w:rPr>
          <w:rFonts w:ascii="Times New Roman" w:eastAsia="Calibri" w:hAnsi="Times New Roman" w:cs="Times New Roman"/>
          <w:sz w:val="28"/>
          <w:szCs w:val="28"/>
          <w:lang w:eastAsia="ru-RU"/>
        </w:rPr>
        <w:t>В 2021 году на территории Республики Дагестан реализовывались мероприятия государственной программы Российской Федерации «Обеспечение доступным и комфортным жильем и коммунальными услугами граждан Российской Федерации» на финансирование которой в 2021 году предусмотрены и профинансированы средства в сумме 149 773,5 тыс. рублей.</w:t>
      </w:r>
    </w:p>
    <w:p w14:paraId="24AF179E"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hAnsi="Times New Roman" w:cs="Times New Roman"/>
          <w:sz w:val="28"/>
          <w:szCs w:val="28"/>
        </w:rPr>
      </w:pPr>
      <w:r w:rsidRPr="008B166E">
        <w:rPr>
          <w:rFonts w:ascii="Times New Roman" w:eastAsia="Calibri" w:hAnsi="Times New Roman" w:cs="Times New Roman"/>
          <w:b/>
          <w:bCs/>
          <w:color w:val="002060"/>
          <w:sz w:val="28"/>
          <w:szCs w:val="28"/>
          <w:lang w:eastAsia="ru-RU"/>
        </w:rPr>
        <w:lastRenderedPageBreak/>
        <w:t xml:space="preserve">29. </w:t>
      </w:r>
      <w:r w:rsidRPr="008B166E">
        <w:rPr>
          <w:rFonts w:ascii="Times New Roman" w:eastAsia="Calibri" w:hAnsi="Times New Roman" w:cs="Times New Roman"/>
          <w:sz w:val="28"/>
          <w:szCs w:val="28"/>
          <w:lang w:eastAsia="ru-RU"/>
        </w:rPr>
        <w:t>В 2021 году</w:t>
      </w:r>
      <w:r w:rsidRPr="008B166E">
        <w:rPr>
          <w:rFonts w:ascii="Times New Roman" w:eastAsia="Calibri" w:hAnsi="Times New Roman" w:cs="Times New Roman"/>
          <w:b/>
          <w:bCs/>
          <w:sz w:val="28"/>
          <w:szCs w:val="28"/>
          <w:lang w:eastAsia="ru-RU"/>
        </w:rPr>
        <w:t xml:space="preserve"> </w:t>
      </w:r>
      <w:r w:rsidRPr="008B166E">
        <w:rPr>
          <w:rFonts w:ascii="Times New Roman" w:hAnsi="Times New Roman" w:cs="Times New Roman"/>
          <w:sz w:val="28"/>
          <w:szCs w:val="28"/>
        </w:rPr>
        <w:t>государственными и муниципальными заказчиками Республики Дагестан за 2021 год заключено 15 559 государственных (муниципальных) контрактов на общую сумму 67,4 млрд. рублей, из них с единственным поставщиком – 2 819 контрактов на общую сумму 8,59 млрд. рублей</w:t>
      </w:r>
    </w:p>
    <w:p w14:paraId="6C29D1E7"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hAnsi="Times New Roman" w:cs="Times New Roman"/>
          <w:sz w:val="28"/>
          <w:szCs w:val="28"/>
        </w:rPr>
      </w:pPr>
      <w:r w:rsidRPr="008B166E">
        <w:rPr>
          <w:rFonts w:ascii="Times New Roman" w:hAnsi="Times New Roman" w:cs="Times New Roman"/>
          <w:b/>
          <w:bCs/>
          <w:color w:val="002060"/>
          <w:sz w:val="28"/>
          <w:szCs w:val="28"/>
        </w:rPr>
        <w:t xml:space="preserve">29.1. </w:t>
      </w:r>
      <w:r w:rsidRPr="008B166E">
        <w:rPr>
          <w:rFonts w:ascii="Times New Roman" w:hAnsi="Times New Roman" w:cs="Times New Roman"/>
          <w:sz w:val="28"/>
          <w:szCs w:val="28"/>
        </w:rPr>
        <w:t>Экономия бюджетных средств по итогам закупок за 2021 год составила 2,46 млрд. рублей, или 3,6 %,</w:t>
      </w:r>
    </w:p>
    <w:p w14:paraId="1B666C07" w14:textId="77777777" w:rsidR="008B166E" w:rsidRPr="008B166E" w:rsidRDefault="008B166E" w:rsidP="003E7672">
      <w:pPr>
        <w:spacing w:after="0" w:line="360" w:lineRule="exact"/>
        <w:ind w:firstLine="709"/>
        <w:jc w:val="both"/>
        <w:rPr>
          <w:rFonts w:ascii="Times New Roman" w:hAnsi="Times New Roman" w:cs="Times New Roman"/>
          <w:sz w:val="28"/>
          <w:szCs w:val="28"/>
        </w:rPr>
      </w:pPr>
      <w:r w:rsidRPr="008B166E">
        <w:rPr>
          <w:rFonts w:ascii="Times New Roman" w:hAnsi="Times New Roman" w:cs="Times New Roman"/>
          <w:b/>
          <w:bCs/>
          <w:color w:val="002060"/>
          <w:sz w:val="28"/>
          <w:szCs w:val="28"/>
        </w:rPr>
        <w:t>29.2.</w:t>
      </w:r>
      <w:r w:rsidRPr="008B166E">
        <w:rPr>
          <w:rFonts w:ascii="Times New Roman" w:hAnsi="Times New Roman" w:cs="Times New Roman"/>
          <w:color w:val="002060"/>
          <w:sz w:val="28"/>
          <w:szCs w:val="28"/>
        </w:rPr>
        <w:t xml:space="preserve"> </w:t>
      </w:r>
      <w:r w:rsidRPr="008B166E">
        <w:rPr>
          <w:rFonts w:ascii="Times New Roman" w:hAnsi="Times New Roman" w:cs="Times New Roman"/>
          <w:sz w:val="28"/>
          <w:szCs w:val="28"/>
        </w:rPr>
        <w:t>Уровень конкуренции в 2021 году сложился на уровне 2,3 заявки на один лот.</w:t>
      </w:r>
    </w:p>
    <w:p w14:paraId="434B0B9B" w14:textId="77777777" w:rsidR="008B166E" w:rsidRPr="008B166E" w:rsidRDefault="008B166E" w:rsidP="003E7672">
      <w:pPr>
        <w:spacing w:after="0" w:line="360" w:lineRule="exact"/>
        <w:ind w:firstLine="709"/>
        <w:jc w:val="both"/>
        <w:rPr>
          <w:rFonts w:ascii="Times New Roman" w:hAnsi="Times New Roman" w:cs="Times New Roman"/>
          <w:sz w:val="28"/>
          <w:szCs w:val="28"/>
        </w:rPr>
      </w:pPr>
      <w:r w:rsidRPr="008B166E">
        <w:rPr>
          <w:rFonts w:ascii="Times New Roman" w:hAnsi="Times New Roman" w:cs="Times New Roman"/>
          <w:sz w:val="28"/>
          <w:szCs w:val="28"/>
        </w:rPr>
        <w:t>Наивысший уровень конкуренции наблюдается в следующих сферах: услуги по проектно-изыскательным работам (в среднем 3,2 заявки на 1 закупку), закупка строительных работ и закупок продуктов питания (2,6 заявок на 1 закупку); закупка медицинского оборудования (2,3 заявки на 1 закупку).</w:t>
      </w:r>
    </w:p>
    <w:p w14:paraId="31090297" w14:textId="77777777" w:rsidR="008B166E" w:rsidRPr="008B166E" w:rsidRDefault="008B166E" w:rsidP="003E7672">
      <w:pPr>
        <w:spacing w:after="0" w:line="360" w:lineRule="exact"/>
        <w:ind w:firstLine="709"/>
        <w:jc w:val="both"/>
        <w:rPr>
          <w:rFonts w:ascii="Times New Roman" w:hAnsi="Times New Roman" w:cs="Times New Roman"/>
          <w:sz w:val="28"/>
          <w:szCs w:val="28"/>
        </w:rPr>
      </w:pPr>
      <w:r w:rsidRPr="008B166E">
        <w:rPr>
          <w:rFonts w:ascii="Times New Roman" w:hAnsi="Times New Roman" w:cs="Times New Roman"/>
          <w:b/>
          <w:bCs/>
          <w:sz w:val="28"/>
          <w:szCs w:val="28"/>
        </w:rPr>
        <w:t xml:space="preserve">29.3. </w:t>
      </w:r>
      <w:r w:rsidRPr="008B166E">
        <w:rPr>
          <w:rFonts w:ascii="Times New Roman" w:hAnsi="Times New Roman" w:cs="Times New Roman"/>
          <w:sz w:val="28"/>
          <w:szCs w:val="28"/>
        </w:rPr>
        <w:t xml:space="preserve">Среди республиканских органов исполнительной власти (с учетом их подведомственных учреждений) наибольший объем закупок осуществлен следующими министерствами и ведомствами Республики Дагестан: Министерство здравоохранения Республики Дагестан – 17,7 млрд. рублей, Управление капитального строительства Республики Дагестан – </w:t>
      </w:r>
      <w:r w:rsidRPr="008B166E">
        <w:rPr>
          <w:rFonts w:ascii="Times New Roman" w:hAnsi="Times New Roman" w:cs="Times New Roman"/>
          <w:sz w:val="28"/>
          <w:szCs w:val="28"/>
        </w:rPr>
        <w:br/>
        <w:t>10,2 млрд. рублей, Министерство транспорта и дорожного хозяйства Республики Дагестан – 6,9 млрд. рублей, Министерство по делам гражданской обороны, чрезвычайным ситуациям и ликвидации последствий стихийных бедствий Республики Дагестан – 3,2 млрд. рублей,  Министерство образования и науки Республики Дагестан – 2,3 млрд. рублей.</w:t>
      </w:r>
    </w:p>
    <w:p w14:paraId="41B5270F"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hAnsi="Times New Roman" w:cs="Times New Roman"/>
          <w:b/>
          <w:bCs/>
          <w:color w:val="002060"/>
          <w:sz w:val="28"/>
          <w:szCs w:val="28"/>
        </w:rPr>
        <w:t xml:space="preserve">30. </w:t>
      </w:r>
      <w:r w:rsidRPr="008B166E">
        <w:rPr>
          <w:rFonts w:ascii="Times New Roman" w:eastAsia="Times New Roman" w:hAnsi="Times New Roman" w:cs="Times New Roman"/>
          <w:sz w:val="28"/>
          <w:szCs w:val="28"/>
          <w:lang w:eastAsia="ru-RU"/>
        </w:rPr>
        <w:t>Дефицит республиканского бюджета Республики Дагестан на 2021 год утвержден (с учетом изменений) в сумме 3 995 945,1 тыс. рублей.</w:t>
      </w:r>
    </w:p>
    <w:p w14:paraId="5DA839DF"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color w:val="000000"/>
          <w:spacing w:val="2"/>
          <w:sz w:val="28"/>
          <w:szCs w:val="28"/>
          <w:lang w:eastAsia="ru-RU"/>
        </w:rPr>
      </w:pPr>
      <w:r w:rsidRPr="008B166E">
        <w:rPr>
          <w:rFonts w:ascii="Times New Roman" w:eastAsia="Times New Roman" w:hAnsi="Times New Roman" w:cs="Times New Roman"/>
          <w:color w:val="000000"/>
          <w:spacing w:val="2"/>
          <w:sz w:val="28"/>
          <w:szCs w:val="28"/>
          <w:lang w:eastAsia="ru-RU"/>
        </w:rPr>
        <w:t xml:space="preserve">Фактически в 2021 году республиканский бюджет </w:t>
      </w:r>
      <w:r w:rsidRPr="008B166E">
        <w:rPr>
          <w:rFonts w:ascii="Times New Roman" w:eastAsia="Times New Roman" w:hAnsi="Times New Roman" w:cs="Times New Roman"/>
          <w:sz w:val="28"/>
          <w:szCs w:val="28"/>
          <w:lang w:eastAsia="ru-RU"/>
        </w:rPr>
        <w:t>Республики Дагестан</w:t>
      </w:r>
      <w:r w:rsidRPr="008B166E">
        <w:rPr>
          <w:rFonts w:ascii="Times New Roman" w:eastAsia="Times New Roman" w:hAnsi="Times New Roman" w:cs="Times New Roman"/>
          <w:color w:val="000000"/>
          <w:spacing w:val="2"/>
          <w:sz w:val="28"/>
          <w:szCs w:val="28"/>
          <w:lang w:eastAsia="ru-RU"/>
        </w:rPr>
        <w:t xml:space="preserve"> исполнен с профицитом в сумме 3 643 022,7 тыс. рублей. </w:t>
      </w:r>
    </w:p>
    <w:p w14:paraId="19C10E89" w14:textId="77777777" w:rsidR="008B166E" w:rsidRPr="008B166E" w:rsidRDefault="008B166E" w:rsidP="003E7672">
      <w:pPr>
        <w:tabs>
          <w:tab w:val="left" w:pos="900"/>
        </w:tabs>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Times New Roman" w:hAnsi="Times New Roman" w:cs="Times New Roman"/>
          <w:b/>
          <w:bCs/>
          <w:color w:val="002060"/>
          <w:spacing w:val="2"/>
          <w:sz w:val="28"/>
          <w:szCs w:val="28"/>
          <w:lang w:eastAsia="ru-RU"/>
        </w:rPr>
        <w:t xml:space="preserve">31. </w:t>
      </w:r>
      <w:r w:rsidRPr="008B166E">
        <w:rPr>
          <w:rFonts w:ascii="Times New Roman" w:eastAsia="Calibri" w:hAnsi="Times New Roman" w:cs="Times New Roman"/>
          <w:sz w:val="28"/>
          <w:szCs w:val="28"/>
          <w:lang w:eastAsia="ru-RU"/>
        </w:rPr>
        <w:t xml:space="preserve">На 1 января 2022 года на балансе исполнения республиканского бюджета Республики Дагестан учтена дебиторская задолженность в сумме </w:t>
      </w:r>
      <w:r w:rsidRPr="008B166E">
        <w:rPr>
          <w:rFonts w:ascii="Times New Roman" w:eastAsia="Calibri" w:hAnsi="Times New Roman" w:cs="Times New Roman"/>
          <w:sz w:val="28"/>
          <w:szCs w:val="28"/>
          <w:lang w:eastAsia="ru-RU"/>
        </w:rPr>
        <w:br/>
      </w:r>
      <w:r w:rsidRPr="008B166E">
        <w:rPr>
          <w:rFonts w:ascii="Times New Roman" w:eastAsia="Times New Roman" w:hAnsi="Times New Roman" w:cs="Times New Roman"/>
          <w:bCs/>
          <w:sz w:val="28"/>
          <w:szCs w:val="28"/>
          <w:lang w:eastAsia="ru-RU"/>
        </w:rPr>
        <w:t xml:space="preserve">117 916 477,6 </w:t>
      </w:r>
      <w:r w:rsidRPr="008B166E">
        <w:rPr>
          <w:rFonts w:ascii="Times New Roman" w:eastAsia="Calibri" w:hAnsi="Times New Roman" w:cs="Times New Roman"/>
          <w:sz w:val="28"/>
          <w:szCs w:val="28"/>
          <w:lang w:eastAsia="ru-RU"/>
        </w:rPr>
        <w:t xml:space="preserve">тыс. рублей, что на </w:t>
      </w:r>
      <w:r w:rsidRPr="008B166E">
        <w:rPr>
          <w:rFonts w:ascii="Times New Roman" w:eastAsia="Times New Roman" w:hAnsi="Times New Roman" w:cs="Times New Roman"/>
          <w:bCs/>
          <w:sz w:val="28"/>
          <w:szCs w:val="28"/>
          <w:lang w:eastAsia="ru-RU"/>
        </w:rPr>
        <w:t xml:space="preserve">22 905 340,1 </w:t>
      </w:r>
      <w:r w:rsidRPr="008B166E">
        <w:rPr>
          <w:rFonts w:ascii="Times New Roman" w:eastAsia="Calibri" w:hAnsi="Times New Roman" w:cs="Times New Roman"/>
          <w:sz w:val="28"/>
          <w:szCs w:val="28"/>
          <w:lang w:eastAsia="ru-RU"/>
        </w:rPr>
        <w:t>тыс. рублей больше в сравнении с началом 2021 года (</w:t>
      </w:r>
      <w:r w:rsidRPr="008B166E">
        <w:rPr>
          <w:rFonts w:ascii="Times New Roman" w:eastAsia="Times New Roman" w:hAnsi="Times New Roman" w:cs="Times New Roman"/>
          <w:bCs/>
          <w:sz w:val="28"/>
          <w:szCs w:val="28"/>
          <w:lang w:eastAsia="ru-RU"/>
        </w:rPr>
        <w:t>95 011 136,6 </w:t>
      </w:r>
      <w:r w:rsidRPr="008B166E">
        <w:rPr>
          <w:rFonts w:ascii="Times New Roman" w:eastAsia="Calibri" w:hAnsi="Times New Roman" w:cs="Times New Roman"/>
          <w:sz w:val="28"/>
          <w:szCs w:val="28"/>
          <w:lang w:eastAsia="ru-RU"/>
        </w:rPr>
        <w:t>тыс. рублей).</w:t>
      </w:r>
    </w:p>
    <w:p w14:paraId="1E574E2D" w14:textId="77777777" w:rsidR="008B166E" w:rsidRPr="008B166E" w:rsidRDefault="008B166E" w:rsidP="003E7672">
      <w:pPr>
        <w:tabs>
          <w:tab w:val="left" w:pos="900"/>
        </w:tabs>
        <w:spacing w:after="0" w:line="360" w:lineRule="exact"/>
        <w:ind w:firstLine="709"/>
        <w:jc w:val="both"/>
        <w:rPr>
          <w:rFonts w:ascii="Times New Roman" w:eastAsia="Calibri" w:hAnsi="Times New Roman" w:cs="Times New Roman"/>
          <w:bCs/>
          <w:sz w:val="28"/>
          <w:szCs w:val="28"/>
        </w:rPr>
      </w:pPr>
      <w:r w:rsidRPr="008B166E">
        <w:rPr>
          <w:rFonts w:ascii="Times New Roman" w:eastAsia="Calibri" w:hAnsi="Times New Roman" w:cs="Times New Roman"/>
          <w:bCs/>
          <w:sz w:val="28"/>
          <w:szCs w:val="28"/>
        </w:rPr>
        <w:t>Наибольшая дебиторская задолженность числится за 9 министерствами и ведомствами Республики Дагестан:</w:t>
      </w:r>
    </w:p>
    <w:p w14:paraId="165ED4DD"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iCs/>
          <w:sz w:val="28"/>
          <w:szCs w:val="28"/>
          <w:lang w:eastAsia="ru-RU"/>
        </w:rPr>
      </w:pPr>
      <w:r w:rsidRPr="008B166E">
        <w:rPr>
          <w:rFonts w:ascii="Times New Roman" w:eastAsia="Times New Roman" w:hAnsi="Times New Roman" w:cs="Times New Roman"/>
          <w:iCs/>
          <w:sz w:val="28"/>
          <w:szCs w:val="28"/>
          <w:lang w:eastAsia="ru-RU"/>
        </w:rPr>
        <w:t>- Министерство труда и социального развития Республики Дагестан – 44 213 449,8 тыс. рублей, что составляет 37,5 % от общей суммы дебиторской задолженности;</w:t>
      </w:r>
    </w:p>
    <w:p w14:paraId="4F18E4D2"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iCs/>
          <w:sz w:val="28"/>
          <w:szCs w:val="28"/>
          <w:lang w:eastAsia="ru-RU"/>
        </w:rPr>
        <w:t xml:space="preserve">- </w:t>
      </w:r>
      <w:r w:rsidRPr="008B166E">
        <w:rPr>
          <w:rFonts w:ascii="Times New Roman" w:eastAsia="Times New Roman" w:hAnsi="Times New Roman" w:cs="Times New Roman"/>
          <w:sz w:val="28"/>
          <w:szCs w:val="28"/>
          <w:lang w:eastAsia="ru-RU"/>
        </w:rPr>
        <w:t>Министерство образования и науки Республики Дагестан – 16 471 645,7 тыс. рублей, что составляет 14,0 %;</w:t>
      </w:r>
    </w:p>
    <w:p w14:paraId="090F3185"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iCs/>
          <w:sz w:val="28"/>
          <w:szCs w:val="28"/>
          <w:lang w:eastAsia="ru-RU"/>
        </w:rPr>
        <w:t xml:space="preserve">Управление Правительства Республики Дагестан по капитальному </w:t>
      </w:r>
      <w:r w:rsidRPr="008B166E">
        <w:rPr>
          <w:rFonts w:ascii="Times New Roman" w:eastAsia="Times New Roman" w:hAnsi="Times New Roman" w:cs="Times New Roman"/>
          <w:iCs/>
          <w:sz w:val="28"/>
          <w:szCs w:val="28"/>
          <w:lang w:eastAsia="ru-RU"/>
        </w:rPr>
        <w:lastRenderedPageBreak/>
        <w:t>строительству (образовано в 2021 году)</w:t>
      </w:r>
      <w:r w:rsidRPr="008B166E">
        <w:rPr>
          <w:rFonts w:ascii="Times New Roman" w:eastAsia="Times New Roman" w:hAnsi="Times New Roman" w:cs="Times New Roman"/>
          <w:sz w:val="28"/>
          <w:szCs w:val="28"/>
          <w:lang w:eastAsia="ru-RU"/>
        </w:rPr>
        <w:t xml:space="preserve"> – 15 588 360,3 тыс. рублей;</w:t>
      </w:r>
    </w:p>
    <w:p w14:paraId="26EB7E01"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Министерство строительства Республики Дагестан – 9 041 071,4 тыс. рублей, или 7,7 %;</w:t>
      </w:r>
    </w:p>
    <w:p w14:paraId="334DB92A"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Управление Федеральной налоговой службы по Республике Дагестан (задолженность по налогам и сборам в республиканский бюджет Республики Дагестан) – 7 464 525,3 тыс. рублей;</w:t>
      </w:r>
    </w:p>
    <w:p w14:paraId="47C56111"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iCs/>
          <w:sz w:val="28"/>
          <w:szCs w:val="28"/>
          <w:lang w:eastAsia="ru-RU"/>
        </w:rPr>
        <w:t xml:space="preserve">- </w:t>
      </w:r>
      <w:r w:rsidRPr="008B166E">
        <w:rPr>
          <w:rFonts w:ascii="Times New Roman" w:eastAsia="Times New Roman" w:hAnsi="Times New Roman" w:cs="Times New Roman"/>
          <w:sz w:val="28"/>
          <w:szCs w:val="28"/>
          <w:lang w:eastAsia="ru-RU"/>
        </w:rPr>
        <w:t>Министерство сельского хозяйства Республики Дагестан – 6 917 642,7 тыс. рублей, что составляет 5,9 %;</w:t>
      </w:r>
    </w:p>
    <w:p w14:paraId="7A2996B9"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Министерство здравоохранения Республики Дагестан – 6 660 446,9 тыс. рублей, что составляет 5,6 %;</w:t>
      </w:r>
    </w:p>
    <w:p w14:paraId="28883756"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Министерство транспорта и дорожного хозяйства Республики Дагестан – 4 232 248,1 тыс. рублей, что составляет 3,6%;</w:t>
      </w:r>
    </w:p>
    <w:p w14:paraId="0CBFA919"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Министерство по земельным и имущественным отношениям Республики Дагестан – 1 776 643,6 тыс. рублей.</w:t>
      </w:r>
    </w:p>
    <w:p w14:paraId="2FC6E92B"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0"/>
          <w:lang w:eastAsia="ru-RU"/>
        </w:rPr>
      </w:pPr>
      <w:r w:rsidRPr="008B166E">
        <w:rPr>
          <w:rFonts w:ascii="Times New Roman" w:eastAsia="Times New Roman" w:hAnsi="Times New Roman" w:cs="Times New Roman"/>
          <w:b/>
          <w:bCs/>
          <w:color w:val="002060"/>
          <w:sz w:val="28"/>
          <w:szCs w:val="28"/>
          <w:lang w:eastAsia="ru-RU"/>
        </w:rPr>
        <w:t xml:space="preserve">32. </w:t>
      </w:r>
      <w:r w:rsidRPr="008B166E">
        <w:rPr>
          <w:rFonts w:ascii="Times New Roman" w:eastAsia="Times New Roman" w:hAnsi="Times New Roman" w:cs="Times New Roman"/>
          <w:bCs/>
          <w:sz w:val="28"/>
          <w:szCs w:val="28"/>
          <w:lang w:eastAsia="ru-RU"/>
        </w:rPr>
        <w:t xml:space="preserve">Общая сумма кредиторской задолженности по состоянию </w:t>
      </w:r>
      <w:r w:rsidRPr="008B166E">
        <w:rPr>
          <w:rFonts w:ascii="Times New Roman" w:eastAsia="Times New Roman" w:hAnsi="Times New Roman" w:cs="Times New Roman"/>
          <w:bCs/>
          <w:sz w:val="28"/>
          <w:szCs w:val="28"/>
          <w:lang w:eastAsia="ru-RU"/>
        </w:rPr>
        <w:br/>
        <w:t xml:space="preserve">на 1 января 2022 года на балансе исполнения республиканского бюджета Республики Дагестан </w:t>
      </w:r>
      <w:r w:rsidRPr="008B166E">
        <w:rPr>
          <w:rFonts w:ascii="Times New Roman" w:eastAsia="Times New Roman" w:hAnsi="Times New Roman" w:cs="Times New Roman"/>
          <w:sz w:val="28"/>
          <w:szCs w:val="20"/>
          <w:lang w:eastAsia="ru-RU"/>
        </w:rPr>
        <w:t>составила 7 581 823,3 тыс. рублей, или увеличилась на 248 196,8 тыс. рублей, в том числе:</w:t>
      </w:r>
    </w:p>
    <w:p w14:paraId="7CEBDC3A"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расчеты по доходам – 5 008 792,3 тыс. рублей (увеличилась на 123 562,7 тыс. рублей, или на 2,4%);</w:t>
      </w:r>
    </w:p>
    <w:p w14:paraId="7F6C9374"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расчеты с подотчетными лицами – 2 458,4 тыс. рублей (уменьшилась на 334,8 тыс. рублей, или на 13,6%); </w:t>
      </w:r>
    </w:p>
    <w:p w14:paraId="0361C90C"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расчеты по ущербу и иным доходам – 13,1 тыс. рублей (на начало года задолженность отсутствовала);</w:t>
      </w:r>
    </w:p>
    <w:p w14:paraId="596A873B"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расчеты по принятым обязательствам – 1 974 056,7 тыс. рублей (увеличилась на 147 904,4 тыс. рублей, или на 8,1%);</w:t>
      </w:r>
    </w:p>
    <w:p w14:paraId="66D2D346"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расчеты по платежам в бюджеты – 596 342,9 тыс. рублей (увеличилась на 224 525,0 тыс. рублей, или на 60,4%); </w:t>
      </w:r>
    </w:p>
    <w:p w14:paraId="41001366"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прочие расчеты с кредиторами – 842,9 тыс. рублей (уменьшилась на 348,2 тыс. рублей, или в 1,7 раза).</w:t>
      </w:r>
    </w:p>
    <w:p w14:paraId="3AF50A45"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Наибольшую кредиторскую задолженность на 1 января 2022 года имеют следующие министерства и ведомства Республики Дагестан:</w:t>
      </w:r>
    </w:p>
    <w:p w14:paraId="6597C737"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Cs/>
          <w:sz w:val="28"/>
          <w:szCs w:val="28"/>
          <w:lang w:eastAsia="ru-RU"/>
        </w:rPr>
        <w:t xml:space="preserve">- </w:t>
      </w:r>
      <w:r w:rsidRPr="008B166E">
        <w:rPr>
          <w:rFonts w:ascii="Times New Roman" w:eastAsia="Times New Roman" w:hAnsi="Times New Roman" w:cs="Times New Roman"/>
          <w:sz w:val="28"/>
          <w:szCs w:val="28"/>
          <w:lang w:eastAsia="ru-RU"/>
        </w:rPr>
        <w:t>Управление Федеральной налоговой службы по Республике Дагестан – 4 865 518,6 тыс. рублей, что составляет 64,2 % от общего объема кредиторской задолженности;</w:t>
      </w:r>
    </w:p>
    <w:p w14:paraId="0AC27422"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iCs/>
          <w:sz w:val="28"/>
          <w:szCs w:val="28"/>
          <w:lang w:eastAsia="ru-RU"/>
        </w:rPr>
        <w:t xml:space="preserve">Министерство труда и социального развития Республики Дагестан – </w:t>
      </w:r>
      <w:r w:rsidRPr="008B166E">
        <w:rPr>
          <w:rFonts w:ascii="Times New Roman" w:eastAsia="Times New Roman" w:hAnsi="Times New Roman" w:cs="Times New Roman"/>
          <w:sz w:val="28"/>
          <w:szCs w:val="28"/>
          <w:lang w:eastAsia="ru-RU"/>
        </w:rPr>
        <w:t>936 502,2 тыс. рублей, что составляет 12,4 %;</w:t>
      </w:r>
    </w:p>
    <w:p w14:paraId="60EDE616"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iCs/>
          <w:sz w:val="28"/>
          <w:szCs w:val="28"/>
          <w:lang w:eastAsia="ru-RU"/>
        </w:rPr>
      </w:pP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iCs/>
          <w:sz w:val="28"/>
          <w:szCs w:val="28"/>
          <w:lang w:eastAsia="ru-RU"/>
        </w:rPr>
        <w:t>Управление Правительства Республики Дагестан по капитальному строительству (образовано в 2021 году) – 603 232,3 тыс. рублей;</w:t>
      </w:r>
    </w:p>
    <w:p w14:paraId="21A0BA81"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iCs/>
          <w:sz w:val="28"/>
          <w:szCs w:val="28"/>
          <w:lang w:eastAsia="ru-RU"/>
        </w:rPr>
        <w:lastRenderedPageBreak/>
        <w:t xml:space="preserve">- </w:t>
      </w:r>
      <w:r w:rsidRPr="008B166E">
        <w:rPr>
          <w:rFonts w:ascii="Times New Roman" w:eastAsia="Times New Roman" w:hAnsi="Times New Roman" w:cs="Times New Roman"/>
          <w:sz w:val="28"/>
          <w:szCs w:val="28"/>
          <w:lang w:eastAsia="ru-RU"/>
        </w:rPr>
        <w:t>Министерство образования и науки Республики Дагестан – 431 128,5 тыс. рублей, что составляет 12,4 %;</w:t>
      </w:r>
    </w:p>
    <w:p w14:paraId="2E1F988B"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Министерство транспорта и дорожного хозяйства Республики Дагестан – 399 833,4 тыс. рублей, что составляет 5,3 %.</w:t>
      </w:r>
    </w:p>
    <w:p w14:paraId="0D2BD062"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0"/>
          <w:lang w:eastAsia="ru-RU"/>
        </w:rPr>
      </w:pPr>
      <w:r w:rsidRPr="008B166E">
        <w:rPr>
          <w:rFonts w:ascii="Times New Roman" w:eastAsia="Times New Roman" w:hAnsi="Times New Roman" w:cs="Times New Roman"/>
          <w:b/>
          <w:bCs/>
          <w:color w:val="002060"/>
          <w:sz w:val="28"/>
          <w:szCs w:val="28"/>
          <w:lang w:eastAsia="ru-RU"/>
        </w:rPr>
        <w:t>33</w:t>
      </w:r>
      <w:r w:rsidRPr="008B166E">
        <w:rPr>
          <w:rFonts w:ascii="Times New Roman" w:eastAsia="Times New Roman" w:hAnsi="Times New Roman" w:cs="Times New Roman"/>
          <w:sz w:val="28"/>
          <w:szCs w:val="28"/>
          <w:lang w:eastAsia="ru-RU"/>
        </w:rPr>
        <w:t>. На балансе государственных бюджетных и автономных учреждений Республики Дагестан, подведомственных главным распорядителям бюджетных средств, по состоянию на 1 января 2022 года значилась дебиторская задолженность в</w:t>
      </w:r>
      <w:r w:rsidRPr="008B166E">
        <w:rPr>
          <w:rFonts w:ascii="Times New Roman" w:eastAsia="Times New Roman" w:hAnsi="Times New Roman" w:cs="Times New Roman"/>
          <w:bCs/>
          <w:sz w:val="28"/>
          <w:szCs w:val="28"/>
          <w:lang w:eastAsia="ru-RU"/>
        </w:rPr>
        <w:t xml:space="preserve"> сумме 2 010 019,7 тыс. рублей и кредиторская задолженность в сумме – </w:t>
      </w:r>
      <w:r w:rsidRPr="008B166E">
        <w:rPr>
          <w:rFonts w:ascii="Times New Roman" w:eastAsia="Times New Roman" w:hAnsi="Times New Roman" w:cs="Times New Roman"/>
          <w:sz w:val="28"/>
          <w:szCs w:val="20"/>
          <w:lang w:eastAsia="ru-RU"/>
        </w:rPr>
        <w:t>2 981 577,9 тыс. рублей.</w:t>
      </w:r>
    </w:p>
    <w:p w14:paraId="64E608CE" w14:textId="77777777" w:rsidR="008B166E" w:rsidRPr="008B166E" w:rsidRDefault="008B166E" w:rsidP="003E7672">
      <w:pPr>
        <w:widowControl w:val="0"/>
        <w:autoSpaceDE w:val="0"/>
        <w:autoSpaceDN w:val="0"/>
        <w:adjustRightInd w:val="0"/>
        <w:spacing w:after="0" w:line="360" w:lineRule="exact"/>
        <w:ind w:firstLine="709"/>
        <w:contextualSpacing/>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0"/>
          <w:lang w:eastAsia="ru-RU"/>
        </w:rPr>
        <w:t>34.</w:t>
      </w:r>
      <w:r w:rsidRPr="008B166E">
        <w:rPr>
          <w:rFonts w:ascii="Times New Roman" w:eastAsia="Times New Roman" w:hAnsi="Times New Roman" w:cs="Times New Roman"/>
          <w:b/>
          <w:bCs/>
          <w:sz w:val="28"/>
          <w:szCs w:val="20"/>
          <w:lang w:eastAsia="ru-RU"/>
        </w:rPr>
        <w:t xml:space="preserve"> </w:t>
      </w:r>
      <w:r w:rsidRPr="008B166E">
        <w:rPr>
          <w:rFonts w:ascii="Times New Roman" w:eastAsia="Times New Roman" w:hAnsi="Times New Roman" w:cs="Times New Roman"/>
          <w:sz w:val="28"/>
          <w:szCs w:val="20"/>
          <w:lang w:eastAsia="ru-RU"/>
        </w:rPr>
        <w:t>В</w:t>
      </w:r>
      <w:r w:rsidRPr="008B166E">
        <w:rPr>
          <w:rFonts w:ascii="Times New Roman" w:eastAsia="Times New Roman" w:hAnsi="Times New Roman" w:cs="Times New Roman"/>
          <w:sz w:val="28"/>
          <w:szCs w:val="28"/>
          <w:lang w:eastAsia="ru-RU"/>
        </w:rPr>
        <w:t xml:space="preserve"> 2021 году бюджетные кредиты были предоставлены </w:t>
      </w:r>
      <w:r w:rsidRPr="008B166E">
        <w:rPr>
          <w:rFonts w:ascii="Times New Roman" w:eastAsia="Times New Roman" w:hAnsi="Times New Roman" w:cs="Times New Roman"/>
          <w:sz w:val="28"/>
          <w:szCs w:val="28"/>
          <w:lang w:eastAsia="ru-RU"/>
        </w:rPr>
        <w:br/>
        <w:t>1 муниципальному образованию сроком погашения до трех лет в сумме 64 963,0 тыс. рублей, что составляет 65 % от запланированного объема.</w:t>
      </w:r>
    </w:p>
    <w:p w14:paraId="67ECB26E"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
          <w:bCs/>
          <w:iCs/>
          <w:sz w:val="28"/>
          <w:szCs w:val="28"/>
          <w:lang w:eastAsia="ru-RU"/>
        </w:rPr>
      </w:pPr>
      <w:r w:rsidRPr="008B166E">
        <w:rPr>
          <w:rFonts w:ascii="Times New Roman" w:hAnsi="Times New Roman"/>
          <w:iCs/>
          <w:sz w:val="28"/>
          <w:szCs w:val="28"/>
          <w:lang w:eastAsia="ru-RU"/>
        </w:rPr>
        <w:t>В 2021 году общая сумма задолженности по бюджетным кредитам по сравнению с задолженностью на начало года уменьшилась на 34 087,5 тыс. рублей, или на 1,2 % и на 1 января 2022 года составила 2 965 752,3 тыс. рублей</w:t>
      </w:r>
    </w:p>
    <w:p w14:paraId="7E861FDE" w14:textId="77777777" w:rsidR="008B166E" w:rsidRPr="008B166E" w:rsidRDefault="008B166E" w:rsidP="003E7672">
      <w:pPr>
        <w:widowControl w:val="0"/>
        <w:autoSpaceDE w:val="0"/>
        <w:autoSpaceDN w:val="0"/>
        <w:adjustRightInd w:val="0"/>
        <w:spacing w:after="0" w:line="360" w:lineRule="exact"/>
        <w:ind w:firstLine="708"/>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35. </w:t>
      </w:r>
      <w:r w:rsidRPr="008B166E">
        <w:rPr>
          <w:rFonts w:ascii="Times New Roman" w:eastAsia="Times New Roman" w:hAnsi="Times New Roman" w:cs="Times New Roman"/>
          <w:sz w:val="28"/>
          <w:szCs w:val="28"/>
          <w:lang w:eastAsia="ru-RU"/>
        </w:rPr>
        <w:t>По состоянию на 1 января 2022 года размер государственного внутреннего долга Республики Дагестан составил 8 342 139,9 тыс. рублей, который полностью учтен в государственной долговой книге Республики Дагестан.</w:t>
      </w:r>
    </w:p>
    <w:p w14:paraId="7A8175CA"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36</w:t>
      </w:r>
      <w:r w:rsidRPr="008B166E">
        <w:rPr>
          <w:rFonts w:ascii="Times New Roman" w:eastAsia="Times New Roman" w:hAnsi="Times New Roman" w:cs="Times New Roman"/>
          <w:color w:val="002060"/>
          <w:sz w:val="28"/>
          <w:szCs w:val="28"/>
          <w:lang w:eastAsia="ru-RU"/>
        </w:rPr>
        <w:t>.</w:t>
      </w:r>
      <w:r w:rsidRPr="008B166E">
        <w:rPr>
          <w:rFonts w:ascii="Times New Roman" w:eastAsia="Times New Roman" w:hAnsi="Times New Roman" w:cs="Times New Roman"/>
          <w:sz w:val="28"/>
          <w:szCs w:val="28"/>
          <w:lang w:eastAsia="ru-RU"/>
        </w:rPr>
        <w:t xml:space="preserve"> На</w:t>
      </w:r>
      <w:r w:rsidRPr="008B166E">
        <w:rPr>
          <w:rFonts w:ascii="Times New Roman" w:eastAsia="Times New Roman" w:hAnsi="Times New Roman" w:cs="Times New Roman"/>
          <w:b/>
          <w:bCs/>
          <w:sz w:val="28"/>
          <w:szCs w:val="28"/>
          <w:lang w:eastAsia="ru-RU"/>
        </w:rPr>
        <w:t xml:space="preserve"> </w:t>
      </w:r>
      <w:r w:rsidRPr="008B166E">
        <w:rPr>
          <w:rFonts w:ascii="Times New Roman" w:eastAsia="Times New Roman" w:hAnsi="Times New Roman" w:cs="Times New Roman"/>
          <w:sz w:val="28"/>
          <w:szCs w:val="28"/>
          <w:lang w:eastAsia="ru-RU"/>
        </w:rPr>
        <w:t xml:space="preserve">1 января 2022 года объем муниципального долга составил 2 509 610,4 тыс. рублей. В отчетном году погашено процентов, начисленных по бюджетным кредитам, выделенным из республиканского бюджета Республики Дагестан муниципальным образованиям в сумме 1 098,8 тыс. рублей. </w:t>
      </w:r>
    </w:p>
    <w:p w14:paraId="5390C72F"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hAnsi="Times New Roman" w:cs="Times New Roman"/>
          <w:sz w:val="28"/>
          <w:szCs w:val="28"/>
        </w:rPr>
      </w:pPr>
      <w:r w:rsidRPr="008B166E">
        <w:rPr>
          <w:rFonts w:ascii="Times New Roman" w:eastAsia="Times New Roman" w:hAnsi="Times New Roman" w:cs="Times New Roman"/>
          <w:sz w:val="28"/>
          <w:szCs w:val="28"/>
          <w:lang w:eastAsia="ru-RU"/>
        </w:rPr>
        <w:t>Как показал проведенный анализ, 2 муниципальных образования не обеспечили соблюдение требований статьи 107 Бюджетного кодекса Российской Федерации (МО «Кулинский район» и МО «город Южно-Сухокумск») в части превышения о</w:t>
      </w:r>
      <w:r w:rsidRPr="008B166E">
        <w:rPr>
          <w:rFonts w:ascii="Times New Roman" w:hAnsi="Times New Roman" w:cs="Times New Roman"/>
          <w:sz w:val="28"/>
          <w:szCs w:val="28"/>
        </w:rPr>
        <w:t>бъема муниципального долга общего объема собственных доходов местного бюджета.</w:t>
      </w:r>
    </w:p>
    <w:p w14:paraId="74363934"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sz w:val="28"/>
          <w:szCs w:val="28"/>
          <w:lang w:eastAsia="ru-RU"/>
        </w:rPr>
        <w:t xml:space="preserve">37. </w:t>
      </w:r>
      <w:r w:rsidRPr="008B166E">
        <w:rPr>
          <w:rFonts w:ascii="Times New Roman" w:eastAsia="Times New Roman" w:hAnsi="Times New Roman" w:cs="Times New Roman"/>
          <w:sz w:val="28"/>
          <w:szCs w:val="28"/>
          <w:lang w:eastAsia="ru-RU"/>
        </w:rPr>
        <w:t xml:space="preserve">На 1 января 2022 года обязательства муниципальных образований по предоставленным муниципальным гарантиям составляли 70 309,9 тыс. рублей, в том числе просроченная задолженность – 675,4 тыс. рублей (МО «Новолакский район» – 164,0 тыс. рублей, МО «Тарумовский район» – 213,6 тыс. рублей, МО «Тляратинский район» – 297,8 тыс. рублей). </w:t>
      </w:r>
    </w:p>
    <w:p w14:paraId="5F3D65A4"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rPr>
      </w:pPr>
      <w:r w:rsidRPr="008B166E">
        <w:rPr>
          <w:rFonts w:ascii="Times New Roman" w:eastAsia="Times New Roman" w:hAnsi="Times New Roman" w:cs="Times New Roman"/>
          <w:b/>
          <w:bCs/>
          <w:color w:val="002060"/>
          <w:sz w:val="28"/>
          <w:szCs w:val="28"/>
          <w:lang w:eastAsia="ru-RU"/>
        </w:rPr>
        <w:t>38.</w:t>
      </w:r>
      <w:r w:rsidRPr="008B166E">
        <w:rPr>
          <w:rFonts w:ascii="Times New Roman" w:eastAsia="Calibri" w:hAnsi="Times New Roman" w:cs="Times New Roman"/>
          <w:sz w:val="28"/>
          <w:szCs w:val="28"/>
        </w:rPr>
        <w:t xml:space="preserve"> Анализ формирования и исполнения </w:t>
      </w:r>
      <w:r w:rsidRPr="008B166E">
        <w:rPr>
          <w:rFonts w:ascii="Times New Roman" w:eastAsia="Calibri" w:hAnsi="Times New Roman" w:cs="Times New Roman"/>
          <w:sz w:val="28"/>
        </w:rPr>
        <w:t>Республиканской инвестиционной программы (РИП) на 2021 год показал следующее.</w:t>
      </w:r>
    </w:p>
    <w:p w14:paraId="51713831"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Calibri" w:hAnsi="Times New Roman" w:cs="Times New Roman"/>
          <w:b/>
          <w:color w:val="002060"/>
          <w:sz w:val="28"/>
        </w:rPr>
        <w:t>38.1.</w:t>
      </w:r>
      <w:r w:rsidRPr="008B166E">
        <w:rPr>
          <w:rFonts w:ascii="Times New Roman" w:eastAsia="Calibri" w:hAnsi="Times New Roman" w:cs="Times New Roman"/>
          <w:color w:val="002060"/>
          <w:sz w:val="28"/>
        </w:rPr>
        <w:t xml:space="preserve"> </w:t>
      </w:r>
      <w:r w:rsidRPr="008B166E">
        <w:rPr>
          <w:rFonts w:ascii="Times New Roman" w:eastAsia="Calibri" w:hAnsi="Times New Roman" w:cs="Times New Roman"/>
          <w:sz w:val="28"/>
          <w:szCs w:val="28"/>
          <w:lang w:eastAsia="ru-RU"/>
        </w:rPr>
        <w:t>В</w:t>
      </w:r>
      <w:r w:rsidRPr="008B166E">
        <w:rPr>
          <w:rFonts w:ascii="Times New Roman" w:eastAsia="Calibri" w:hAnsi="Times New Roman" w:cs="Times New Roman"/>
          <w:bCs/>
          <w:sz w:val="28"/>
          <w:szCs w:val="28"/>
          <w:lang w:eastAsia="ru-RU"/>
        </w:rPr>
        <w:t xml:space="preserve"> 2021 году расходы на финансирование РИП составили 18 437 272,4</w:t>
      </w:r>
      <w:r w:rsidRPr="008B166E">
        <w:rPr>
          <w:rFonts w:ascii="Times New Roman" w:eastAsia="Times New Roman" w:hAnsi="Times New Roman" w:cs="Times New Roman"/>
          <w:sz w:val="28"/>
          <w:szCs w:val="24"/>
          <w:lang w:eastAsia="ru-RU"/>
        </w:rPr>
        <w:t xml:space="preserve"> тыс. рублей, или 95,2 % от запланированного объема в сумме 19 359 967,3 тыс. рублей на строительство 400 объектов, </w:t>
      </w:r>
      <w:r w:rsidRPr="008B166E">
        <w:rPr>
          <w:rFonts w:ascii="Times New Roman" w:eastAsia="Times New Roman" w:hAnsi="Times New Roman" w:cs="Times New Roman"/>
          <w:bCs/>
          <w:sz w:val="28"/>
          <w:szCs w:val="28"/>
          <w:lang w:eastAsia="ru-RU"/>
        </w:rPr>
        <w:t xml:space="preserve">в том числе по </w:t>
      </w:r>
      <w:r w:rsidRPr="008B166E">
        <w:rPr>
          <w:rFonts w:ascii="Times New Roman" w:eastAsia="Times New Roman" w:hAnsi="Times New Roman" w:cs="Times New Roman"/>
          <w:bCs/>
          <w:sz w:val="28"/>
          <w:szCs w:val="28"/>
          <w:lang w:eastAsia="ru-RU"/>
        </w:rPr>
        <w:lastRenderedPageBreak/>
        <w:t>направлениям (сферам)</w:t>
      </w:r>
      <w:r w:rsidRPr="008B166E">
        <w:rPr>
          <w:rFonts w:ascii="Times New Roman" w:eastAsia="Times New Roman" w:hAnsi="Times New Roman" w:cs="Times New Roman"/>
          <w:sz w:val="28"/>
          <w:szCs w:val="28"/>
          <w:lang w:eastAsia="ru-RU"/>
        </w:rPr>
        <w:t>:</w:t>
      </w:r>
    </w:p>
    <w:p w14:paraId="7F85940D"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«Социальная сфера» – 215 объектов на сумму 14 574 867,5 тыс. рублей, или 96,9 % от предусмотренного объема в сумме 15 041 358,7 тыс. рублей; </w:t>
      </w:r>
    </w:p>
    <w:p w14:paraId="428DB846"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«Жилищно-коммунальное хозяйство» – 152 объекта на сумму 3 460 117,1 тыс. рублей, или 93,4 % от предусмотренного объема в сумме 3 702 405,3 тыс. рублей;</w:t>
      </w:r>
    </w:p>
    <w:p w14:paraId="51E33184"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«Прочие расходы» – 33 объекта на сумму 402 287,7 тыс. рублей, или 65,2 % предусмотренного объема в сумме 616 203,3 тыс. рублей.</w:t>
      </w:r>
    </w:p>
    <w:p w14:paraId="13EF77DD"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Calibri" w:hAnsi="Times New Roman" w:cs="Times New Roman"/>
          <w:b/>
          <w:color w:val="002060"/>
          <w:sz w:val="28"/>
        </w:rPr>
        <w:t>38.2.</w:t>
      </w:r>
      <w:r w:rsidRPr="008B166E">
        <w:rPr>
          <w:rFonts w:ascii="Times New Roman" w:eastAsia="Times New Roman" w:hAnsi="Times New Roman" w:cs="Times New Roman"/>
          <w:sz w:val="28"/>
          <w:szCs w:val="24"/>
          <w:lang w:eastAsia="ru-RU"/>
        </w:rPr>
        <w:t xml:space="preserve"> </w:t>
      </w:r>
      <w:r w:rsidRPr="008B166E">
        <w:rPr>
          <w:rFonts w:ascii="Times New Roman" w:eastAsia="Times New Roman" w:hAnsi="Times New Roman" w:cs="Times New Roman"/>
          <w:bCs/>
          <w:sz w:val="28"/>
          <w:szCs w:val="28"/>
          <w:lang w:eastAsia="ru-RU"/>
        </w:rPr>
        <w:t xml:space="preserve">Кассовые расходы на реализацию РИП произведены в </w:t>
      </w:r>
      <w:r w:rsidRPr="008B166E">
        <w:rPr>
          <w:rFonts w:ascii="Times New Roman" w:eastAsia="Times New Roman" w:hAnsi="Times New Roman" w:cs="Times New Roman"/>
          <w:sz w:val="28"/>
          <w:szCs w:val="28"/>
          <w:lang w:eastAsia="ru-RU"/>
        </w:rPr>
        <w:t xml:space="preserve">сумме 10 353 561,1 тыс. рублей, </w:t>
      </w:r>
      <w:r w:rsidRPr="008B166E">
        <w:rPr>
          <w:rFonts w:ascii="Times New Roman" w:eastAsia="Times New Roman" w:hAnsi="Times New Roman" w:cs="Times New Roman"/>
          <w:bCs/>
          <w:sz w:val="28"/>
          <w:szCs w:val="28"/>
          <w:lang w:eastAsia="ru-RU"/>
        </w:rPr>
        <w:t>или 53,4</w:t>
      </w:r>
      <w:r w:rsidRPr="008B166E">
        <w:rPr>
          <w:rFonts w:ascii="Times New Roman" w:eastAsia="Times New Roman" w:hAnsi="Times New Roman" w:cs="Times New Roman"/>
          <w:sz w:val="28"/>
          <w:szCs w:val="24"/>
          <w:lang w:eastAsia="ru-RU"/>
        </w:rPr>
        <w:t xml:space="preserve"> % от объема </w:t>
      </w:r>
      <w:r w:rsidRPr="008B166E">
        <w:rPr>
          <w:rFonts w:ascii="Times New Roman" w:eastAsia="Times New Roman" w:hAnsi="Times New Roman" w:cs="Times New Roman"/>
          <w:bCs/>
          <w:sz w:val="28"/>
          <w:szCs w:val="28"/>
          <w:lang w:eastAsia="ru-RU"/>
        </w:rPr>
        <w:t>финансирования (</w:t>
      </w:r>
      <w:r w:rsidRPr="008B166E">
        <w:rPr>
          <w:rFonts w:ascii="Times New Roman" w:eastAsia="Calibri" w:hAnsi="Times New Roman" w:cs="Times New Roman"/>
          <w:bCs/>
          <w:sz w:val="28"/>
          <w:szCs w:val="28"/>
          <w:lang w:eastAsia="ru-RU"/>
        </w:rPr>
        <w:t>18 437 272,3</w:t>
      </w:r>
      <w:r w:rsidRPr="008B166E">
        <w:rPr>
          <w:rFonts w:ascii="Times New Roman" w:eastAsia="Times New Roman" w:hAnsi="Times New Roman" w:cs="Times New Roman"/>
          <w:sz w:val="28"/>
          <w:szCs w:val="24"/>
          <w:lang w:eastAsia="ru-RU"/>
        </w:rPr>
        <w:t xml:space="preserve"> тыс. рублей</w:t>
      </w:r>
      <w:r w:rsidRPr="008B166E">
        <w:rPr>
          <w:rFonts w:ascii="Times New Roman" w:eastAsia="Times New Roman" w:hAnsi="Times New Roman" w:cs="Times New Roman"/>
          <w:bCs/>
          <w:sz w:val="28"/>
          <w:szCs w:val="28"/>
          <w:lang w:eastAsia="ru-RU"/>
        </w:rPr>
        <w:t xml:space="preserve">), на строительство и разработку ПСД 325 объектов, из них: </w:t>
      </w:r>
    </w:p>
    <w:p w14:paraId="64D603C5"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4"/>
          <w:lang w:eastAsia="ru-RU"/>
        </w:rPr>
      </w:pPr>
      <w:r w:rsidRPr="008B166E">
        <w:rPr>
          <w:rFonts w:ascii="Times New Roman" w:eastAsia="Times New Roman" w:hAnsi="Times New Roman" w:cs="Times New Roman"/>
          <w:bCs/>
          <w:sz w:val="28"/>
          <w:szCs w:val="28"/>
          <w:lang w:eastAsia="ru-RU"/>
        </w:rPr>
        <w:t xml:space="preserve">- </w:t>
      </w:r>
      <w:r w:rsidRPr="008B166E">
        <w:rPr>
          <w:rFonts w:ascii="Times New Roman" w:eastAsia="Times New Roman" w:hAnsi="Times New Roman" w:cs="Times New Roman"/>
          <w:sz w:val="28"/>
          <w:szCs w:val="24"/>
          <w:lang w:eastAsia="ru-RU"/>
        </w:rPr>
        <w:t xml:space="preserve">на строительство 177 объектов – 7 944 958,0 тыс. рублей; </w:t>
      </w:r>
    </w:p>
    <w:p w14:paraId="015B7609"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4"/>
          <w:lang w:eastAsia="ru-RU"/>
        </w:rPr>
      </w:pPr>
      <w:r w:rsidRPr="008B166E">
        <w:rPr>
          <w:rFonts w:ascii="Times New Roman" w:eastAsia="Times New Roman" w:hAnsi="Times New Roman" w:cs="Times New Roman"/>
          <w:sz w:val="28"/>
          <w:szCs w:val="24"/>
          <w:lang w:eastAsia="ru-RU"/>
        </w:rPr>
        <w:t>- на строительство и одновременную разработку ПСД 134 объектов – 2 299 704,3 тыс. рублей;</w:t>
      </w:r>
    </w:p>
    <w:p w14:paraId="2CCBE61A"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4"/>
          <w:lang w:eastAsia="ru-RU"/>
        </w:rPr>
      </w:pPr>
      <w:r w:rsidRPr="008B166E">
        <w:rPr>
          <w:rFonts w:ascii="Times New Roman" w:eastAsia="Times New Roman" w:hAnsi="Times New Roman" w:cs="Times New Roman"/>
          <w:sz w:val="28"/>
          <w:szCs w:val="24"/>
          <w:lang w:eastAsia="ru-RU"/>
        </w:rPr>
        <w:t>- только на разработку ПСД 14 объектов – 108 898,82 тыс. рублей.</w:t>
      </w:r>
    </w:p>
    <w:p w14:paraId="25473B14"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4"/>
          <w:lang w:eastAsia="ru-RU"/>
        </w:rPr>
      </w:pPr>
      <w:r w:rsidRPr="008B166E">
        <w:rPr>
          <w:rFonts w:ascii="Times New Roman" w:eastAsia="Times New Roman" w:hAnsi="Times New Roman" w:cs="Times New Roman"/>
          <w:sz w:val="28"/>
          <w:szCs w:val="24"/>
          <w:lang w:eastAsia="ru-RU"/>
        </w:rPr>
        <w:t>По направлениям кассовые расходы осуществлены:</w:t>
      </w:r>
    </w:p>
    <w:p w14:paraId="38B2461F" w14:textId="6E9C9DC9"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«Социальная сфера» – 193 объекта на сумму 7 465 976,02</w:t>
      </w:r>
      <w:r w:rsidR="006C63F8">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sz w:val="28"/>
          <w:szCs w:val="28"/>
          <w:lang w:eastAsia="ru-RU"/>
        </w:rPr>
        <w:t xml:space="preserve">тыс. рублей, или 51,2 % от финансирования; </w:t>
      </w:r>
    </w:p>
    <w:p w14:paraId="2A38D8E9"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«Жилищно-коммунальное хозяйство» </w:t>
      </w:r>
      <w:r w:rsidRPr="008B166E">
        <w:rPr>
          <w:rFonts w:ascii="Times New Roman" w:eastAsia="Times New Roman" w:hAnsi="Times New Roman" w:cs="Times New Roman"/>
          <w:sz w:val="24"/>
          <w:szCs w:val="24"/>
          <w:lang w:eastAsia="ru-RU"/>
        </w:rPr>
        <w:t xml:space="preserve">– </w:t>
      </w:r>
      <w:r w:rsidRPr="008B166E">
        <w:rPr>
          <w:rFonts w:ascii="Times New Roman" w:eastAsia="Times New Roman" w:hAnsi="Times New Roman" w:cs="Times New Roman"/>
          <w:sz w:val="28"/>
          <w:szCs w:val="28"/>
          <w:lang w:eastAsia="ru-RU"/>
        </w:rPr>
        <w:t>124 объекта на сумму</w:t>
      </w:r>
      <w:r w:rsidRPr="008B166E">
        <w:rPr>
          <w:rFonts w:ascii="Times New Roman" w:eastAsia="Times New Roman" w:hAnsi="Times New Roman" w:cs="Times New Roman"/>
          <w:sz w:val="24"/>
          <w:szCs w:val="24"/>
          <w:lang w:eastAsia="ru-RU"/>
        </w:rPr>
        <w:t xml:space="preserve"> </w:t>
      </w:r>
      <w:r w:rsidRPr="008B166E">
        <w:rPr>
          <w:rFonts w:ascii="Times New Roman" w:eastAsia="Times New Roman" w:hAnsi="Times New Roman" w:cs="Times New Roman"/>
          <w:sz w:val="28"/>
          <w:szCs w:val="28"/>
          <w:lang w:eastAsia="ru-RU"/>
        </w:rPr>
        <w:t>2 768 276,0</w:t>
      </w:r>
      <w:r w:rsidRPr="008B166E">
        <w:rPr>
          <w:rFonts w:ascii="Times New Roman" w:eastAsia="Times New Roman" w:hAnsi="Times New Roman" w:cs="Times New Roman"/>
          <w:sz w:val="24"/>
          <w:szCs w:val="24"/>
          <w:lang w:eastAsia="ru-RU"/>
        </w:rPr>
        <w:t xml:space="preserve"> </w:t>
      </w:r>
      <w:r w:rsidRPr="008B166E">
        <w:rPr>
          <w:rFonts w:ascii="Times New Roman" w:eastAsia="Times New Roman" w:hAnsi="Times New Roman" w:cs="Times New Roman"/>
          <w:sz w:val="28"/>
          <w:szCs w:val="28"/>
          <w:lang w:eastAsia="ru-RU"/>
        </w:rPr>
        <w:t>тыс. рублей, или 80,01 % от финансирования;</w:t>
      </w:r>
    </w:p>
    <w:p w14:paraId="61E622EE"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«Прочие расходы» – 7 объектов на сумму 119 309,0 тыс. рублей, или 29,6 % финансирования.</w:t>
      </w:r>
    </w:p>
    <w:p w14:paraId="54D6FED1"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
          <w:bCs/>
          <w:color w:val="002060"/>
          <w:sz w:val="28"/>
          <w:szCs w:val="28"/>
          <w:lang w:eastAsia="ru-RU"/>
        </w:rPr>
        <w:t>38.3.</w:t>
      </w:r>
      <w:r w:rsidRPr="008B166E">
        <w:rPr>
          <w:rFonts w:ascii="Times New Roman" w:eastAsia="Times New Roman" w:hAnsi="Times New Roman" w:cs="Times New Roman"/>
          <w:bCs/>
          <w:color w:val="002060"/>
          <w:sz w:val="28"/>
          <w:szCs w:val="28"/>
          <w:lang w:eastAsia="ru-RU"/>
        </w:rPr>
        <w:t xml:space="preserve"> </w:t>
      </w:r>
      <w:r w:rsidRPr="008B166E">
        <w:rPr>
          <w:rFonts w:ascii="Times New Roman" w:eastAsia="Times New Roman" w:hAnsi="Times New Roman" w:cs="Times New Roman"/>
          <w:bCs/>
          <w:sz w:val="28"/>
          <w:szCs w:val="28"/>
          <w:lang w:eastAsia="ru-RU"/>
        </w:rPr>
        <w:t>По итогам финансового года не освоены средства в общей сумме 8 083 711,2 тыс. рублей, или 43,8 % от объема финансирования, в том числе</w:t>
      </w:r>
      <w:r w:rsidRPr="008B166E">
        <w:rPr>
          <w:rFonts w:ascii="Times New Roman" w:eastAsia="Times New Roman" w:hAnsi="Times New Roman" w:cs="Times New Roman"/>
          <w:sz w:val="28"/>
          <w:szCs w:val="28"/>
          <w:lang w:eastAsia="ru-RU"/>
        </w:rPr>
        <w:t xml:space="preserve"> </w:t>
      </w:r>
      <w:r w:rsidRPr="008B166E">
        <w:rPr>
          <w:rFonts w:ascii="Times New Roman" w:eastAsia="Times New Roman" w:hAnsi="Times New Roman" w:cs="Times New Roman"/>
          <w:sz w:val="28"/>
          <w:szCs w:val="24"/>
          <w:lang w:eastAsia="ru-RU"/>
        </w:rPr>
        <w:t>по направлениям</w:t>
      </w:r>
      <w:r w:rsidRPr="008B166E">
        <w:rPr>
          <w:rFonts w:ascii="Times New Roman" w:eastAsia="Times New Roman" w:hAnsi="Times New Roman" w:cs="Times New Roman"/>
          <w:sz w:val="28"/>
          <w:szCs w:val="28"/>
          <w:lang w:eastAsia="ru-RU"/>
        </w:rPr>
        <w:t>:</w:t>
      </w:r>
    </w:p>
    <w:p w14:paraId="56FA8984"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«Социальная сфера» – 7 108 891,5 тыс. рублей, или 48,7 % от объема финансирования; </w:t>
      </w:r>
    </w:p>
    <w:p w14:paraId="647A74E0"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«Жилищно-коммунальное хозяйства» </w:t>
      </w:r>
      <w:r w:rsidRPr="008B166E">
        <w:rPr>
          <w:rFonts w:ascii="Times New Roman" w:eastAsia="Times New Roman" w:hAnsi="Times New Roman" w:cs="Times New Roman"/>
          <w:sz w:val="24"/>
          <w:szCs w:val="24"/>
          <w:lang w:eastAsia="ru-RU"/>
        </w:rPr>
        <w:t xml:space="preserve">– 691 841,1 </w:t>
      </w:r>
      <w:r w:rsidRPr="008B166E">
        <w:rPr>
          <w:rFonts w:ascii="Times New Roman" w:eastAsia="Times New Roman" w:hAnsi="Times New Roman" w:cs="Times New Roman"/>
          <w:sz w:val="28"/>
          <w:szCs w:val="28"/>
          <w:lang w:eastAsia="ru-RU"/>
        </w:rPr>
        <w:t xml:space="preserve">тыс. рублей, или </w:t>
      </w:r>
      <w:r w:rsidRPr="008B166E">
        <w:rPr>
          <w:rFonts w:ascii="Times New Roman" w:eastAsia="Times New Roman" w:hAnsi="Times New Roman" w:cs="Times New Roman"/>
          <w:sz w:val="28"/>
          <w:szCs w:val="28"/>
          <w:lang w:eastAsia="ru-RU"/>
        </w:rPr>
        <w:br/>
        <w:t>19,9 % от объема финансирования;</w:t>
      </w:r>
    </w:p>
    <w:p w14:paraId="48E2B31B"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«Прочие расходы» – 282 978,6 тыс. рублей, или 70,3 % от объема финансирования.</w:t>
      </w:r>
    </w:p>
    <w:p w14:paraId="3BFDE4B5"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В соответствии со статьей 242 Бюджетного кодекса Российской Федерации, неиспользованный остаток средств в сумме </w:t>
      </w:r>
      <w:r w:rsidRPr="008B166E">
        <w:rPr>
          <w:rFonts w:ascii="Times New Roman" w:eastAsia="Times New Roman" w:hAnsi="Times New Roman" w:cs="Times New Roman"/>
          <w:bCs/>
          <w:sz w:val="28"/>
          <w:szCs w:val="28"/>
          <w:lang w:eastAsia="ru-RU"/>
        </w:rPr>
        <w:t xml:space="preserve">8 083 711,2 </w:t>
      </w:r>
      <w:r w:rsidRPr="008B166E">
        <w:rPr>
          <w:rFonts w:ascii="Times New Roman" w:eastAsia="Times New Roman" w:hAnsi="Times New Roman" w:cs="Times New Roman"/>
          <w:sz w:val="28"/>
          <w:szCs w:val="28"/>
          <w:lang w:eastAsia="ru-RU"/>
        </w:rPr>
        <w:t>тыс. рублей государственными заказчиками в установленном порядке возвращен в доход республиканского бюджета Республики Дагестан.</w:t>
      </w:r>
    </w:p>
    <w:p w14:paraId="163BBBB0" w14:textId="77777777" w:rsidR="008B166E" w:rsidRPr="008B166E" w:rsidRDefault="008B166E" w:rsidP="003E7672">
      <w:pPr>
        <w:spacing w:after="1" w:line="360" w:lineRule="exact"/>
        <w:ind w:firstLine="709"/>
        <w:jc w:val="both"/>
        <w:rPr>
          <w:rFonts w:ascii="Times New Roman" w:eastAsia="Times New Roman" w:hAnsi="Times New Roman" w:cs="Times New Roman"/>
          <w:sz w:val="28"/>
          <w:szCs w:val="24"/>
          <w:lang w:eastAsia="ru-RU"/>
        </w:rPr>
      </w:pPr>
      <w:r w:rsidRPr="008B166E">
        <w:rPr>
          <w:rFonts w:ascii="Times New Roman" w:eastAsia="Times New Roman" w:hAnsi="Times New Roman" w:cs="Times New Roman"/>
          <w:b/>
          <w:color w:val="002060"/>
          <w:sz w:val="28"/>
          <w:szCs w:val="24"/>
          <w:lang w:eastAsia="ru-RU"/>
        </w:rPr>
        <w:t>38.4.</w:t>
      </w:r>
      <w:r w:rsidRPr="008B166E">
        <w:rPr>
          <w:rFonts w:ascii="Times New Roman" w:eastAsia="Times New Roman" w:hAnsi="Times New Roman" w:cs="Times New Roman"/>
          <w:color w:val="002060"/>
          <w:sz w:val="28"/>
          <w:szCs w:val="24"/>
          <w:lang w:eastAsia="ru-RU"/>
        </w:rPr>
        <w:t xml:space="preserve"> </w:t>
      </w:r>
      <w:r w:rsidRPr="008B166E">
        <w:rPr>
          <w:rFonts w:ascii="Times New Roman" w:eastAsia="Times New Roman" w:hAnsi="Times New Roman" w:cs="Times New Roman"/>
          <w:sz w:val="28"/>
          <w:szCs w:val="24"/>
          <w:lang w:eastAsia="ru-RU"/>
        </w:rPr>
        <w:t xml:space="preserve">В составе РИП на 2021 год утверждены и профинансированы расходы в сумме 476 559,1 тыс. рублей на разработку ПСД 41 объекта. При этом кассовые расходы осуществлены на разработку ПСД 14 объектов на </w:t>
      </w:r>
      <w:r w:rsidRPr="008B166E">
        <w:rPr>
          <w:rFonts w:ascii="Times New Roman" w:eastAsia="Times New Roman" w:hAnsi="Times New Roman" w:cs="Times New Roman"/>
          <w:sz w:val="28"/>
          <w:szCs w:val="24"/>
          <w:lang w:eastAsia="ru-RU"/>
        </w:rPr>
        <w:lastRenderedPageBreak/>
        <w:t xml:space="preserve">сумму 108 898,82 тыс. рублей, или 34,14 % от объема финансирования. Неиспользованный остаток средств составил 367 660,28 тыс. рублей. </w:t>
      </w:r>
    </w:p>
    <w:p w14:paraId="0C9C10CE" w14:textId="77777777" w:rsidR="008B166E" w:rsidRPr="008B166E" w:rsidRDefault="008B166E" w:rsidP="003E7672">
      <w:pPr>
        <w:spacing w:after="0" w:line="360" w:lineRule="exact"/>
        <w:ind w:firstLine="709"/>
        <w:jc w:val="both"/>
        <w:rPr>
          <w:rFonts w:ascii="Times New Roman" w:eastAsia="Times New Roman" w:hAnsi="Times New Roman" w:cs="Times New Roman"/>
          <w:sz w:val="28"/>
          <w:szCs w:val="24"/>
          <w:lang w:eastAsia="ru-RU"/>
        </w:rPr>
      </w:pPr>
      <w:r w:rsidRPr="008B166E">
        <w:rPr>
          <w:rFonts w:ascii="Times New Roman" w:eastAsia="Times New Roman" w:hAnsi="Times New Roman" w:cs="Times New Roman"/>
          <w:sz w:val="28"/>
          <w:szCs w:val="24"/>
          <w:lang w:eastAsia="ru-RU"/>
        </w:rPr>
        <w:t>Проведенный анализ показал, что из 165 объектов, включенных в перечень Программы на 2021 год с одновременным строительством и разработкой ПСД с объемом финансирования в сумме 3 284 984,19 тыс. рублей, только на разработку ПСД без проведения планируемых строительных работ произведено финансирование по 73 объектам на сумму 66 426,04 тыс. рублей при кассовом исполнении по 49 объектам в сумме 23 890,25 тыс. рублей.</w:t>
      </w:r>
    </w:p>
    <w:p w14:paraId="5A3D5559"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
          <w:sz w:val="28"/>
          <w:szCs w:val="24"/>
          <w:lang w:eastAsia="ru-RU"/>
        </w:rPr>
      </w:pPr>
      <w:r w:rsidRPr="008B166E">
        <w:rPr>
          <w:rFonts w:ascii="Times New Roman" w:eastAsia="Times New Roman" w:hAnsi="Times New Roman" w:cs="Times New Roman"/>
          <w:b/>
          <w:color w:val="002060"/>
          <w:sz w:val="28"/>
          <w:szCs w:val="24"/>
          <w:lang w:eastAsia="ru-RU"/>
        </w:rPr>
        <w:t xml:space="preserve">38.5. </w:t>
      </w:r>
      <w:r w:rsidRPr="008B166E">
        <w:rPr>
          <w:rFonts w:ascii="Times New Roman" w:eastAsia="Times New Roman" w:hAnsi="Times New Roman" w:cs="Times New Roman"/>
          <w:sz w:val="28"/>
          <w:szCs w:val="24"/>
          <w:lang w:eastAsia="ru-RU"/>
        </w:rPr>
        <w:t xml:space="preserve">В нарушение подпункта д) пункта 11 постановления Правительства Республики Дагестан от 1 июня 2021 года № 125 «Об утверждении Положения о порядке формирования, реализации и финансирования республиканской инвестиционной программы», а также статьи 38 Бюджетного кодекса Российской Федерации </w:t>
      </w:r>
      <w:r w:rsidRPr="008B166E">
        <w:rPr>
          <w:rFonts w:ascii="Times New Roman" w:eastAsia="Times New Roman" w:hAnsi="Times New Roman" w:cs="Times New Roman"/>
          <w:bCs/>
          <w:sz w:val="28"/>
          <w:szCs w:val="28"/>
          <w:lang w:eastAsia="ru-RU"/>
        </w:rPr>
        <w:t>в перечне строек и объектов РИП на 2021 год средства в сумме 4 870,0</w:t>
      </w:r>
      <w:r w:rsidRPr="008B166E">
        <w:rPr>
          <w:rFonts w:ascii="Times New Roman" w:eastAsia="Times New Roman" w:hAnsi="Times New Roman" w:cs="Times New Roman"/>
          <w:sz w:val="28"/>
          <w:szCs w:val="24"/>
          <w:lang w:eastAsia="ru-RU"/>
        </w:rPr>
        <w:t xml:space="preserve"> тыс. рублей в составе «Социальной сферы»</w:t>
      </w:r>
      <w:r w:rsidRPr="008B166E">
        <w:rPr>
          <w:rFonts w:ascii="Times New Roman" w:eastAsia="Times New Roman" w:hAnsi="Times New Roman" w:cs="Times New Roman"/>
          <w:b/>
          <w:sz w:val="28"/>
          <w:szCs w:val="24"/>
          <w:lang w:eastAsia="ru-RU"/>
        </w:rPr>
        <w:t xml:space="preserve"> </w:t>
      </w:r>
      <w:r w:rsidRPr="008B166E">
        <w:rPr>
          <w:rFonts w:ascii="Times New Roman" w:eastAsia="Times New Roman" w:hAnsi="Times New Roman" w:cs="Times New Roman"/>
          <w:sz w:val="28"/>
          <w:szCs w:val="28"/>
          <w:lang w:eastAsia="ru-RU"/>
        </w:rPr>
        <w:t>не были распределены в разрезе объектов строительства.</w:t>
      </w:r>
    </w:p>
    <w:p w14:paraId="7E001F1B"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4"/>
          <w:lang w:eastAsia="ru-RU"/>
        </w:rPr>
      </w:pPr>
      <w:r w:rsidRPr="008B166E">
        <w:rPr>
          <w:rFonts w:ascii="Times New Roman" w:eastAsia="Times New Roman" w:hAnsi="Times New Roman" w:cs="Times New Roman"/>
          <w:b/>
          <w:color w:val="002060"/>
          <w:sz w:val="28"/>
          <w:szCs w:val="24"/>
          <w:lang w:eastAsia="ru-RU"/>
        </w:rPr>
        <w:t>38.6.</w:t>
      </w:r>
      <w:r w:rsidRPr="008B166E">
        <w:rPr>
          <w:rFonts w:ascii="Times New Roman" w:eastAsia="Times New Roman" w:hAnsi="Times New Roman" w:cs="Times New Roman"/>
          <w:b/>
          <w:sz w:val="28"/>
          <w:szCs w:val="24"/>
          <w:lang w:eastAsia="ru-RU"/>
        </w:rPr>
        <w:t xml:space="preserve"> </w:t>
      </w:r>
      <w:r w:rsidRPr="008B166E">
        <w:rPr>
          <w:rFonts w:ascii="Times New Roman" w:eastAsia="Times New Roman" w:hAnsi="Times New Roman" w:cs="Times New Roman"/>
          <w:sz w:val="28"/>
          <w:szCs w:val="24"/>
          <w:lang w:eastAsia="ru-RU"/>
        </w:rPr>
        <w:t>Следует отметить, что негативное влияние на проведение строительных работ и освоение выделенных средств оказали ограничительные меры, принятые в связи с неблагоприятной эпидемиологической ситуацией, связанной с возникновением пандемии коронавирусной инфекции (</w:t>
      </w:r>
      <w:r w:rsidRPr="008B166E">
        <w:rPr>
          <w:rFonts w:ascii="Times New Roman" w:eastAsia="Times New Roman" w:hAnsi="Times New Roman" w:cs="Times New Roman"/>
          <w:sz w:val="28"/>
          <w:szCs w:val="24"/>
          <w:lang w:val="en-US" w:eastAsia="ru-RU"/>
        </w:rPr>
        <w:t>COVID</w:t>
      </w:r>
      <w:r w:rsidRPr="008B166E">
        <w:rPr>
          <w:rFonts w:ascii="Times New Roman" w:eastAsia="Times New Roman" w:hAnsi="Times New Roman" w:cs="Times New Roman"/>
          <w:sz w:val="28"/>
          <w:szCs w:val="24"/>
          <w:lang w:eastAsia="ru-RU"/>
        </w:rPr>
        <w:t xml:space="preserve">-19). </w:t>
      </w:r>
    </w:p>
    <w:p w14:paraId="65B63E9A"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Вместе с тем, значительное влияние на обеспечение финансирования и реализации запланированных мероприятий по строительству объектов социальной инфраструктуры явились:</w:t>
      </w:r>
    </w:p>
    <w:p w14:paraId="1B8C7416"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несвоевременное проведение процедур по отводу земельных участков под объекты капитального строительства;</w:t>
      </w:r>
    </w:p>
    <w:p w14:paraId="764E372C"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задержки при разработке проектно-сметной документации;</w:t>
      </w:r>
    </w:p>
    <w:p w14:paraId="31A78241"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затягивание сроков заключения контрактов;</w:t>
      </w:r>
    </w:p>
    <w:p w14:paraId="023CC76A"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несвоевременное и неритмичное финансирование;</w:t>
      </w:r>
    </w:p>
    <w:p w14:paraId="70BAF224"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отсутствие эффективного взаимодействия органов исполнительной власти, ответственных и принимающих участие в реализации инвестиционных проектов.</w:t>
      </w:r>
    </w:p>
    <w:p w14:paraId="4EE8379B"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В результате, в 2021 году не завершено строительство запланированных 90 объектов, в том числе 80 объектов социальной и 10 объектов инженерной инфраструктуры, из них: </w:t>
      </w:r>
    </w:p>
    <w:p w14:paraId="3DAA0EB3"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- 18 общеобразовательных учреждений; </w:t>
      </w:r>
    </w:p>
    <w:p w14:paraId="4002B741"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- 28 дошкольных образовательных учреждений; </w:t>
      </w:r>
    </w:p>
    <w:p w14:paraId="433D045E"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- 6 объектов здравоохранения; </w:t>
      </w:r>
    </w:p>
    <w:p w14:paraId="16DD5621"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- 4 объекта культуры; </w:t>
      </w:r>
    </w:p>
    <w:p w14:paraId="443DEA82"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lastRenderedPageBreak/>
        <w:t xml:space="preserve">- 24 объекта спорта; 6 объектов газоснабжения; </w:t>
      </w:r>
    </w:p>
    <w:p w14:paraId="165A51C0"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- 4 объекта водоснабжения.</w:t>
      </w:r>
    </w:p>
    <w:p w14:paraId="21FEE208" w14:textId="77777777" w:rsidR="008B166E" w:rsidRPr="008B166E" w:rsidRDefault="008B166E" w:rsidP="003E7672">
      <w:pPr>
        <w:widowControl w:val="0"/>
        <w:spacing w:after="1"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4"/>
          <w:lang w:eastAsia="ru-RU"/>
        </w:rPr>
        <w:t xml:space="preserve">38.7. </w:t>
      </w:r>
      <w:r w:rsidRPr="008B166E">
        <w:rPr>
          <w:rFonts w:ascii="Times New Roman" w:eastAsia="Times New Roman" w:hAnsi="Times New Roman" w:cs="Times New Roman"/>
          <w:sz w:val="28"/>
          <w:szCs w:val="28"/>
          <w:lang w:eastAsia="ru-RU"/>
        </w:rPr>
        <w:t>В Перечень РИП на 2021 год были профинансированы расходы на строительство:</w:t>
      </w:r>
    </w:p>
    <w:p w14:paraId="4A3217FC" w14:textId="6A52D335" w:rsidR="008B166E" w:rsidRPr="008B166E" w:rsidRDefault="008B166E" w:rsidP="003E7672">
      <w:pPr>
        <w:widowControl w:val="0"/>
        <w:spacing w:after="1" w:line="360" w:lineRule="exact"/>
        <w:ind w:firstLine="709"/>
        <w:jc w:val="both"/>
        <w:rPr>
          <w:rFonts w:ascii="Times New Roman" w:eastAsia="Times New Roman" w:hAnsi="Times New Roman" w:cs="Times New Roman"/>
          <w:b/>
          <w:sz w:val="28"/>
          <w:szCs w:val="24"/>
          <w:lang w:eastAsia="ru-RU"/>
        </w:rPr>
      </w:pPr>
      <w:r w:rsidRPr="008B166E">
        <w:rPr>
          <w:rFonts w:ascii="Times New Roman" w:eastAsia="Times New Roman" w:hAnsi="Times New Roman" w:cs="Times New Roman"/>
          <w:sz w:val="28"/>
          <w:szCs w:val="28"/>
          <w:lang w:eastAsia="ru-RU"/>
        </w:rPr>
        <w:t>- 119 новых объектов (29,7 % от общего количества объектов, из них завершено 9 объектов) в сумме 6 240 644,2 тыс. рублей (33,8 % от общего объема финансирования на строящиеся объекты) при кассовом исполнении по 7</w:t>
      </w:r>
      <w:r w:rsidR="00FC7211">
        <w:rPr>
          <w:rFonts w:ascii="Times New Roman" w:eastAsia="Times New Roman" w:hAnsi="Times New Roman" w:cs="Times New Roman"/>
          <w:sz w:val="28"/>
          <w:szCs w:val="28"/>
          <w:lang w:eastAsia="ru-RU"/>
        </w:rPr>
        <w:t>5</w:t>
      </w:r>
      <w:r w:rsidRPr="008B166E">
        <w:rPr>
          <w:rFonts w:ascii="Times New Roman" w:eastAsia="Times New Roman" w:hAnsi="Times New Roman" w:cs="Times New Roman"/>
          <w:sz w:val="28"/>
          <w:szCs w:val="28"/>
          <w:lang w:eastAsia="ru-RU"/>
        </w:rPr>
        <w:t xml:space="preserve"> объектам на сумму 2 038 086,8</w:t>
      </w:r>
      <w:r w:rsidRPr="008B166E">
        <w:rPr>
          <w:rFonts w:ascii="Times New Roman" w:eastAsia="Times New Roman" w:hAnsi="Times New Roman" w:cs="Times New Roman"/>
          <w:sz w:val="20"/>
          <w:szCs w:val="20"/>
          <w:lang w:eastAsia="ru-RU"/>
        </w:rPr>
        <w:t xml:space="preserve"> </w:t>
      </w:r>
      <w:r w:rsidRPr="008B166E">
        <w:rPr>
          <w:rFonts w:ascii="Times New Roman" w:eastAsia="Times New Roman" w:hAnsi="Times New Roman" w:cs="Times New Roman"/>
          <w:sz w:val="28"/>
          <w:szCs w:val="28"/>
          <w:lang w:eastAsia="ru-RU"/>
        </w:rPr>
        <w:t>тыс. рублей, или 32,8 % от объема финансирования на строящиеся объекты;</w:t>
      </w:r>
    </w:p>
    <w:p w14:paraId="7ECEF888" w14:textId="180FD78E"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- 233 переходящих (начало строительства в рамках РИП в 2019-2021 годах) строительством объектов (58,2 % от общего количества объектов, из них завершено 62 объекта) на сумму 10 208 884,5 тыс. рублей при кассовом исполнении по 20</w:t>
      </w:r>
      <w:r w:rsidR="00FC7211">
        <w:rPr>
          <w:rFonts w:ascii="Times New Roman" w:eastAsia="Times New Roman" w:hAnsi="Times New Roman" w:cs="Times New Roman"/>
          <w:sz w:val="28"/>
          <w:szCs w:val="28"/>
          <w:lang w:eastAsia="ru-RU"/>
        </w:rPr>
        <w:t>8</w:t>
      </w:r>
      <w:r w:rsidRPr="008B166E">
        <w:rPr>
          <w:rFonts w:ascii="Times New Roman" w:eastAsia="Times New Roman" w:hAnsi="Times New Roman" w:cs="Times New Roman"/>
          <w:sz w:val="28"/>
          <w:szCs w:val="28"/>
          <w:lang w:eastAsia="ru-RU"/>
        </w:rPr>
        <w:t xml:space="preserve"> объектам в сумме 6 809 820,3 тыс. рублей, или 59,8 % от выделенных средств.</w:t>
      </w:r>
    </w:p>
    <w:p w14:paraId="65217F60"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
          <w:sz w:val="28"/>
          <w:szCs w:val="24"/>
          <w:lang w:eastAsia="ru-RU"/>
        </w:rPr>
      </w:pPr>
      <w:r w:rsidRPr="008B166E">
        <w:rPr>
          <w:rFonts w:ascii="Times New Roman" w:eastAsia="Times New Roman" w:hAnsi="Times New Roman" w:cs="Times New Roman"/>
          <w:bCs/>
          <w:sz w:val="28"/>
          <w:szCs w:val="28"/>
          <w:lang w:eastAsia="ru-RU"/>
        </w:rPr>
        <w:t>- 48 объектов-долгостроев (12</w:t>
      </w:r>
      <w:r w:rsidRPr="008B166E">
        <w:rPr>
          <w:rFonts w:ascii="Times New Roman" w:eastAsia="Times New Roman" w:hAnsi="Times New Roman" w:cs="Times New Roman"/>
          <w:sz w:val="28"/>
          <w:szCs w:val="28"/>
          <w:lang w:eastAsia="ru-RU"/>
        </w:rPr>
        <w:t xml:space="preserve"> % от общего количества объектов,</w:t>
      </w:r>
      <w:r w:rsidRPr="008B166E">
        <w:rPr>
          <w:rFonts w:ascii="Times New Roman" w:eastAsia="Times New Roman" w:hAnsi="Times New Roman" w:cs="Times New Roman"/>
          <w:bCs/>
          <w:sz w:val="28"/>
          <w:szCs w:val="28"/>
          <w:lang w:eastAsia="ru-RU"/>
        </w:rPr>
        <w:t xml:space="preserve"> из них завершено 9 объектов) на сумму 1 987 743,6 тыс. рублей при кассовом исполнении по 42 объектам в сумме 1 505 653,9 тыс. рублей, или 75,8 % от выделенных средств. </w:t>
      </w:r>
    </w:p>
    <w:p w14:paraId="51207D63"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4"/>
          <w:lang w:eastAsia="ru-RU"/>
        </w:rPr>
        <w:t xml:space="preserve">38.8. </w:t>
      </w:r>
      <w:r w:rsidRPr="008B166E">
        <w:rPr>
          <w:rFonts w:ascii="Times New Roman" w:eastAsia="Times New Roman" w:hAnsi="Times New Roman" w:cs="Times New Roman"/>
          <w:sz w:val="28"/>
          <w:szCs w:val="28"/>
          <w:lang w:eastAsia="ru-RU"/>
        </w:rPr>
        <w:t>В отчетном году завершено строительство 80 объектов (47,0 % от планируемых 170 объектов), которые были профинансированы в сумме 3 177 871,9 тыс. рублей при кассовом исполнении в сумме 3 171 854,7 тыс. рублей (84,0 % от финансирования), в том числе 7 объектов (8,7 % от количества объектов, законченных строительством), числящихся как объекты-долгострои (начало строительства 2008-2016 годы) при кассовом исполнении по данным объектам в сумме 190 298,0 тыс. рублей.</w:t>
      </w:r>
    </w:p>
    <w:p w14:paraId="66770DF0"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4"/>
          <w:lang w:eastAsia="ru-RU"/>
        </w:rPr>
        <w:t xml:space="preserve">38.9. </w:t>
      </w:r>
      <w:r w:rsidRPr="008B166E">
        <w:rPr>
          <w:rFonts w:ascii="Times New Roman" w:eastAsia="Times New Roman" w:hAnsi="Times New Roman" w:cs="Times New Roman"/>
          <w:sz w:val="28"/>
          <w:szCs w:val="28"/>
          <w:lang w:eastAsia="ru-RU"/>
        </w:rPr>
        <w:t xml:space="preserve">В 2021 году обеспечен ввод в эксплуатацию 58 объектов, или </w:t>
      </w:r>
      <w:r w:rsidRPr="008B166E">
        <w:rPr>
          <w:rFonts w:ascii="Times New Roman" w:eastAsia="Times New Roman" w:hAnsi="Times New Roman" w:cs="Times New Roman"/>
          <w:sz w:val="28"/>
          <w:szCs w:val="28"/>
          <w:lang w:eastAsia="ru-RU"/>
        </w:rPr>
        <w:br/>
        <w:t xml:space="preserve">72,5 % от числа завершенных строительством 80 объектов, в том числе: </w:t>
      </w:r>
    </w:p>
    <w:p w14:paraId="005E9B44"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- 9 объектов общего образования (школы) на 2 546 ученических мест;</w:t>
      </w:r>
    </w:p>
    <w:p w14:paraId="48772278"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- 29 объектов дошкольного образования на 4 270 мест;</w:t>
      </w:r>
    </w:p>
    <w:p w14:paraId="1D723A3A"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- 1 объект культуры на 200 мест;</w:t>
      </w:r>
    </w:p>
    <w:p w14:paraId="423082C2"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- 5 объектов физической культуры и спорта площадью 3892 кв. метра;</w:t>
      </w:r>
    </w:p>
    <w:p w14:paraId="5A153573"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- 3 объекта газификации протяженностью 34,721 км;</w:t>
      </w:r>
    </w:p>
    <w:p w14:paraId="7AB068F8"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- 9 объекта водоснабжения протяженностью 130,73 км;</w:t>
      </w:r>
    </w:p>
    <w:p w14:paraId="5CB7FD62"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- 1 объект водоотведения очистной мощностью 4 000 куб. м/сутки);</w:t>
      </w:r>
    </w:p>
    <w:p w14:paraId="19808C38"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- 1 административное здание.</w:t>
      </w:r>
    </w:p>
    <w:p w14:paraId="738FFE3B"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
          <w:color w:val="002060"/>
          <w:sz w:val="28"/>
          <w:szCs w:val="24"/>
          <w:lang w:eastAsia="ru-RU"/>
        </w:rPr>
        <w:t xml:space="preserve">38.10. </w:t>
      </w:r>
      <w:r w:rsidRPr="008B166E">
        <w:rPr>
          <w:rFonts w:ascii="Times New Roman" w:eastAsia="Times New Roman" w:hAnsi="Times New Roman" w:cs="Times New Roman"/>
          <w:sz w:val="28"/>
          <w:szCs w:val="24"/>
          <w:lang w:eastAsia="ru-RU"/>
        </w:rPr>
        <w:t>П</w:t>
      </w:r>
      <w:r w:rsidRPr="008B166E">
        <w:rPr>
          <w:rFonts w:ascii="Times New Roman" w:eastAsia="Times New Roman" w:hAnsi="Times New Roman" w:cs="Times New Roman"/>
          <w:bCs/>
          <w:sz w:val="28"/>
          <w:szCs w:val="28"/>
          <w:lang w:eastAsia="ru-RU"/>
        </w:rPr>
        <w:t xml:space="preserve">о состоянию </w:t>
      </w:r>
      <w:r w:rsidRPr="008B166E">
        <w:rPr>
          <w:rFonts w:ascii="Times New Roman" w:eastAsia="Times New Roman" w:hAnsi="Times New Roman" w:cs="Times New Roman"/>
          <w:sz w:val="28"/>
          <w:szCs w:val="28"/>
          <w:lang w:eastAsia="ru-RU"/>
        </w:rPr>
        <w:t>н</w:t>
      </w:r>
      <w:r w:rsidRPr="008B166E">
        <w:rPr>
          <w:rFonts w:ascii="Times New Roman" w:eastAsia="Times New Roman" w:hAnsi="Times New Roman" w:cs="Times New Roman"/>
          <w:bCs/>
          <w:sz w:val="28"/>
          <w:szCs w:val="28"/>
          <w:lang w:eastAsia="ru-RU"/>
        </w:rPr>
        <w:t>а 1 января 2022 года в рамках РИП о</w:t>
      </w:r>
      <w:r w:rsidRPr="008B166E">
        <w:rPr>
          <w:rFonts w:ascii="Times New Roman" w:eastAsia="Times New Roman" w:hAnsi="Times New Roman" w:cs="Times New Roman"/>
          <w:sz w:val="28"/>
          <w:szCs w:val="28"/>
          <w:lang w:eastAsia="ru-RU"/>
        </w:rPr>
        <w:t>бъем незавершенного строительства по кассовым расходам составил 43 873 863,4</w:t>
      </w:r>
      <w:r w:rsidRPr="008B166E">
        <w:rPr>
          <w:rFonts w:ascii="Times New Roman" w:eastAsia="Times New Roman" w:hAnsi="Times New Roman" w:cs="Times New Roman"/>
          <w:bCs/>
          <w:sz w:val="28"/>
          <w:szCs w:val="28"/>
          <w:lang w:eastAsia="ru-RU"/>
        </w:rPr>
        <w:t xml:space="preserve"> тыс. рублей по 533 объектам.</w:t>
      </w:r>
    </w:p>
    <w:p w14:paraId="76191EFB" w14:textId="48F27F1D"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lastRenderedPageBreak/>
        <w:t>Остаток сметной стоимости незавершенных объектов в ценах на начало 202</w:t>
      </w:r>
      <w:r w:rsidR="003E7672">
        <w:rPr>
          <w:rFonts w:ascii="Times New Roman" w:eastAsia="Times New Roman" w:hAnsi="Times New Roman" w:cs="Times New Roman"/>
          <w:bCs/>
          <w:sz w:val="28"/>
          <w:szCs w:val="28"/>
          <w:lang w:eastAsia="ru-RU"/>
        </w:rPr>
        <w:t>2</w:t>
      </w:r>
      <w:r w:rsidRPr="008B166E">
        <w:rPr>
          <w:rFonts w:ascii="Times New Roman" w:eastAsia="Times New Roman" w:hAnsi="Times New Roman" w:cs="Times New Roman"/>
          <w:bCs/>
          <w:sz w:val="28"/>
          <w:szCs w:val="28"/>
          <w:lang w:eastAsia="ru-RU"/>
        </w:rPr>
        <w:t xml:space="preserve"> года составил порядка 49 952 908,7 тыс. рублей.</w:t>
      </w:r>
    </w:p>
    <w:p w14:paraId="217876ED"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
          <w:color w:val="002060"/>
          <w:sz w:val="28"/>
          <w:szCs w:val="24"/>
          <w:lang w:eastAsia="ru-RU"/>
        </w:rPr>
        <w:t xml:space="preserve">38.11. </w:t>
      </w:r>
      <w:r w:rsidRPr="008B166E">
        <w:rPr>
          <w:rFonts w:ascii="Times New Roman" w:eastAsia="Times New Roman" w:hAnsi="Times New Roman" w:cs="Times New Roman"/>
          <w:bCs/>
          <w:sz w:val="28"/>
          <w:szCs w:val="28"/>
          <w:lang w:eastAsia="ru-RU"/>
        </w:rPr>
        <w:t xml:space="preserve">В составе незавершенного строительства на 1 января 2022 года отражены объекты: </w:t>
      </w:r>
    </w:p>
    <w:p w14:paraId="257737BE"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высшего образования – 2 объекта на сумму 47 174,67 тыс. рублей, или 0,11 % от общего объема (без изменения количества объектов финансовый объем за год увеличилось на 36 674,6 тыс. рублей);</w:t>
      </w:r>
    </w:p>
    <w:p w14:paraId="69A23F19"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общего образования – 102 объекта на сумму 11 037 247,6 тыс. рублей, или 25,1 % от общего объема (увеличилось на 10 объектов, финансовый объем увеличился на 3 721 209,9 тыс. рублей);</w:t>
      </w:r>
    </w:p>
    <w:p w14:paraId="105BA270"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дошкольного образования – 64 объекта на сумму 7 535 584,0 тыс. рублей, или 17,2 % от общего объема (уменьшилось на 17 объектов, объем незавершенного строительства уменьшился на 522 744,7 тыс. рублей);</w:t>
      </w:r>
    </w:p>
    <w:p w14:paraId="26735BEF"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здравоохранения – 31 объект на сумму 4 797 058,5 тыс. рублей, или 10,9 % от общего объема (увеличилось на 9 объектов, финансовый объем увеличился на 792 045,9 тыс. рублей);</w:t>
      </w:r>
    </w:p>
    <w:p w14:paraId="329AB0F9"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культуры – 16 объектов на сумму 579 718,0 тыс. рублей, или 1,3 % от общего объема (увеличилось на 7 объектов, финансовый объем увеличился на 277 233,3 тыс. рублей);</w:t>
      </w:r>
    </w:p>
    <w:p w14:paraId="73840F6E"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физкультуры и спорта – 36 объектов на сумму 1 035 675,4 тыс. рублей, или 2,3 % от общего объема (увеличилось на 19 объектов, финансовый объем увеличился на 310 319,6 тыс. рублей);</w:t>
      </w:r>
    </w:p>
    <w:p w14:paraId="2C50DA09"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газификации – 105 объектов на сумму 2 073 518,0 тыс. рублей, или 4,7 % от общего объема (увеличилось на 6 объектов, финансовый объем увеличился на 583 806,0 тыс. рублей);</w:t>
      </w:r>
    </w:p>
    <w:p w14:paraId="34C9547A" w14:textId="77777777" w:rsidR="008B166E" w:rsidRPr="008B166E" w:rsidRDefault="008B166E" w:rsidP="003E7672">
      <w:pPr>
        <w:widowControl w:val="0"/>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водоснабжения – 137 объектов на сумму 8 308 488,7 тыс. рублей, или 17,9 % от общего объема (увеличилось на 5 объектов, финансовый объем увеличился на 1 421 659,5 тыс. рублей);</w:t>
      </w:r>
    </w:p>
    <w:p w14:paraId="2ABA918E"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водоотведения – 17 объектов на сумму 5 733 114,1 тыс. рублей, или 13,0 % от общего объема (без изменения количества объектов, финансовый объем увеличился на 635 731,5 тыс. рублей);</w:t>
      </w:r>
    </w:p>
    <w:p w14:paraId="526EC821"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прочие – 23 объекта на сумму 2 726 284,1 тыс. рублей, или 6,2 % от общего объема (увеличилось на 4 объекта, финансовый объем увеличился на 119 309,0 тыс. рублей).</w:t>
      </w:r>
    </w:p>
    <w:p w14:paraId="7F008821"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Calibri" w:hAnsi="Times New Roman" w:cs="Times New Roman"/>
          <w:b/>
          <w:color w:val="002060"/>
          <w:sz w:val="28"/>
          <w:szCs w:val="28"/>
        </w:rPr>
        <w:t>38.12.</w:t>
      </w:r>
      <w:r w:rsidRPr="008B166E">
        <w:rPr>
          <w:rFonts w:ascii="Times New Roman" w:eastAsia="Calibri" w:hAnsi="Times New Roman" w:cs="Times New Roman"/>
          <w:color w:val="002060"/>
          <w:sz w:val="28"/>
          <w:szCs w:val="28"/>
        </w:rPr>
        <w:t xml:space="preserve"> </w:t>
      </w:r>
      <w:r w:rsidRPr="008B166E">
        <w:rPr>
          <w:rFonts w:ascii="Times New Roman" w:eastAsia="Calibri" w:hAnsi="Times New Roman" w:cs="Times New Roman"/>
          <w:sz w:val="28"/>
          <w:szCs w:val="28"/>
        </w:rPr>
        <w:t xml:space="preserve">По состоянию </w:t>
      </w:r>
      <w:r w:rsidRPr="008B166E">
        <w:rPr>
          <w:rFonts w:ascii="Times New Roman" w:eastAsia="Times New Roman" w:hAnsi="Times New Roman" w:cs="Times New Roman"/>
          <w:bCs/>
          <w:sz w:val="28"/>
          <w:szCs w:val="28"/>
          <w:lang w:eastAsia="ru-RU"/>
        </w:rPr>
        <w:t xml:space="preserve">на 1 января 2022 года в составе незавершенного строительства в рамках РИП отражены завершенные строительством 53 объекта на сумму 5 654 316,18 тыс. рублей (из них 47 объектов на сумму 4 732 778,4 тыс. рублей завершены в 2021 году и 6 объектов на сумму 921 537,7 тыс. рублей завершены в 2018-2020 годах), которые остались </w:t>
      </w:r>
      <w:r w:rsidRPr="008B166E">
        <w:rPr>
          <w:rFonts w:ascii="Times New Roman" w:eastAsia="Times New Roman" w:hAnsi="Times New Roman" w:cs="Times New Roman"/>
          <w:bCs/>
          <w:sz w:val="28"/>
          <w:szCs w:val="28"/>
          <w:lang w:eastAsia="ru-RU"/>
        </w:rPr>
        <w:lastRenderedPageBreak/>
        <w:t>числится в годовой форме по ОКУД 0503190 «Сведения о вложениях в объекты недвижимого имущества, объектах незавершенного строительства», в том числе:</w:t>
      </w:r>
    </w:p>
    <w:p w14:paraId="52735AA4"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- 10 объектов общего образования – 2 501 485,2 тыс. рублей; </w:t>
      </w:r>
    </w:p>
    <w:p w14:paraId="2E691AC6"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- 10 объектов дошкольного образования – 1 633 489,4 тыс. рублей;</w:t>
      </w:r>
    </w:p>
    <w:p w14:paraId="1134E590"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- 6 объектов спорта – 63 596,8 тыс. рублей; </w:t>
      </w:r>
    </w:p>
    <w:p w14:paraId="355791AA"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- 12 объектов газификации – 343 771,9 тыс. рублей; </w:t>
      </w:r>
    </w:p>
    <w:p w14:paraId="7B7C041D"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- 13 объектов водоснабжения – 549 363,4 тыс. рублей;</w:t>
      </w:r>
    </w:p>
    <w:p w14:paraId="5FB6D92D"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- 1 объект водоотведения – 549 635,7 тыс. рублей;</w:t>
      </w:r>
    </w:p>
    <w:p w14:paraId="04B66AF1"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- 1 прочий объект - </w:t>
      </w:r>
      <w:r w:rsidRPr="008B166E">
        <w:rPr>
          <w:rFonts w:ascii="Times New Roman" w:eastAsia="Times New Roman" w:hAnsi="Times New Roman" w:cs="Times New Roman"/>
          <w:spacing w:val="-6"/>
          <w:sz w:val="28"/>
          <w:szCs w:val="28"/>
          <w:lang w:eastAsia="ru-RU"/>
        </w:rPr>
        <w:t>12 973,6 тыс. рублей</w:t>
      </w:r>
      <w:r w:rsidRPr="008B166E">
        <w:rPr>
          <w:rFonts w:ascii="Times New Roman" w:eastAsia="Times New Roman" w:hAnsi="Times New Roman" w:cs="Times New Roman"/>
          <w:bCs/>
          <w:sz w:val="28"/>
          <w:szCs w:val="28"/>
          <w:lang w:eastAsia="ru-RU"/>
        </w:rPr>
        <w:t>.</w:t>
      </w:r>
    </w:p>
    <w:p w14:paraId="65315FFD" w14:textId="77777777" w:rsidR="008B166E" w:rsidRPr="008B166E" w:rsidRDefault="008B166E" w:rsidP="003E7672">
      <w:pPr>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Calibri" w:hAnsi="Times New Roman" w:cs="Times New Roman"/>
          <w:b/>
          <w:color w:val="002060"/>
          <w:sz w:val="28"/>
          <w:szCs w:val="28"/>
        </w:rPr>
        <w:t>38.13.</w:t>
      </w:r>
      <w:r w:rsidRPr="008B166E">
        <w:rPr>
          <w:rFonts w:ascii="Times New Roman" w:eastAsia="Calibri" w:hAnsi="Times New Roman" w:cs="Times New Roman"/>
          <w:color w:val="002060"/>
          <w:sz w:val="28"/>
          <w:szCs w:val="28"/>
        </w:rPr>
        <w:t xml:space="preserve"> </w:t>
      </w:r>
      <w:r w:rsidRPr="008B166E">
        <w:rPr>
          <w:rFonts w:ascii="Times New Roman" w:eastAsia="Times New Roman" w:hAnsi="Times New Roman" w:cs="Times New Roman"/>
          <w:bCs/>
          <w:sz w:val="28"/>
          <w:szCs w:val="28"/>
          <w:lang w:eastAsia="ru-RU"/>
        </w:rPr>
        <w:t xml:space="preserve">Следует отметить, что отсутствие планомерности в вопросах формирования и реализации РИП приводит к несоблюдению нормативных сроков строительства, удорожанию и росту незавершенного строительства, а также увеличению диспропорции в обеспеченности населения объектами социальной инфраструктуры. Так, на 1 января 2022 года уровень обеспеченности населения муниципальных образований объектами социальной инфраструктуры составил в разрезе отраслей: </w:t>
      </w:r>
    </w:p>
    <w:p w14:paraId="323C4ED8"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общего образования – 67,2 % </w:t>
      </w:r>
    </w:p>
    <w:p w14:paraId="4EA97774"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дошкольного образования – 24,8 %; </w:t>
      </w:r>
    </w:p>
    <w:p w14:paraId="565885D0"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здравоохранения – 59 %; </w:t>
      </w:r>
    </w:p>
    <w:p w14:paraId="1D127340"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xml:space="preserve">- физической культуры и спорта – 29,9 %; </w:t>
      </w:r>
    </w:p>
    <w:p w14:paraId="67DC2D4C"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bCs/>
          <w:sz w:val="28"/>
          <w:szCs w:val="28"/>
          <w:lang w:eastAsia="ru-RU"/>
        </w:rPr>
      </w:pPr>
      <w:r w:rsidRPr="008B166E">
        <w:rPr>
          <w:rFonts w:ascii="Times New Roman" w:eastAsia="Times New Roman" w:hAnsi="Times New Roman" w:cs="Times New Roman"/>
          <w:bCs/>
          <w:sz w:val="28"/>
          <w:szCs w:val="28"/>
          <w:lang w:eastAsia="ru-RU"/>
        </w:rPr>
        <w:t>- культуры – 56,4 %.</w:t>
      </w:r>
    </w:p>
    <w:p w14:paraId="04C2AEA7" w14:textId="77777777" w:rsidR="008B166E" w:rsidRPr="008B166E" w:rsidRDefault="008B166E" w:rsidP="003E7672">
      <w:pPr>
        <w:widowControl w:val="0"/>
        <w:spacing w:after="0" w:line="360" w:lineRule="exact"/>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39.</w:t>
      </w:r>
      <w:r w:rsidRPr="008B166E">
        <w:rPr>
          <w:rFonts w:ascii="Times New Roman" w:eastAsia="Times New Roman" w:hAnsi="Times New Roman" w:cs="Times New Roman"/>
          <w:b/>
          <w:sz w:val="28"/>
          <w:szCs w:val="28"/>
          <w:lang w:eastAsia="ru-RU"/>
        </w:rPr>
        <w:t xml:space="preserve"> </w:t>
      </w:r>
      <w:r w:rsidRPr="008B166E">
        <w:rPr>
          <w:rFonts w:ascii="Times New Roman" w:eastAsia="Times New Roman" w:hAnsi="Times New Roman" w:cs="Times New Roman"/>
          <w:sz w:val="28"/>
          <w:szCs w:val="28"/>
          <w:lang w:eastAsia="ru-RU"/>
        </w:rPr>
        <w:t>В Республике Дагестан в рамках 12 национальных проектов реализуется 45 региональных проекта (финансировалось в 2021 году 29 региональных проекта).</w:t>
      </w:r>
    </w:p>
    <w:p w14:paraId="3BB301AD"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 xml:space="preserve">39.1. </w:t>
      </w:r>
      <w:r w:rsidRPr="008B166E">
        <w:rPr>
          <w:rFonts w:ascii="Times New Roman" w:eastAsia="Calibri" w:hAnsi="Times New Roman" w:cs="Times New Roman"/>
          <w:sz w:val="28"/>
          <w:szCs w:val="28"/>
          <w:lang w:eastAsia="ru-RU"/>
        </w:rPr>
        <w:t>На финансирование национальных проектов в 2021 году было предусмотрено 23 787,3 млн рублей, в том числе за счет средств:</w:t>
      </w:r>
    </w:p>
    <w:p w14:paraId="5D542ED9"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федерального бюджета – 18 799,5 млн рублей, или 79,0 % от общего объема утвержденных назначений;</w:t>
      </w:r>
    </w:p>
    <w:p w14:paraId="01963558"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республиканского бюджета Республики Дагестан – 3 046,4 млн рублей, или 12,8 % от общего объема годовых назначений;</w:t>
      </w:r>
    </w:p>
    <w:p w14:paraId="7A8923C4"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xml:space="preserve">-  иных источников – 1 941,4 млн рублей (средства Федерального фонда обязательного медицинского страхования – 1 512,4 млн рублей, средства Федерального фонда социального страхования – 83,5 млн рублей, муниципальных образований – 121,9 млн рублей, иных источников – </w:t>
      </w:r>
      <w:r w:rsidRPr="008B166E">
        <w:rPr>
          <w:rFonts w:ascii="Times New Roman" w:eastAsia="Calibri" w:hAnsi="Times New Roman" w:cs="Times New Roman"/>
          <w:sz w:val="28"/>
          <w:szCs w:val="28"/>
          <w:lang w:eastAsia="ru-RU"/>
        </w:rPr>
        <w:br/>
        <w:t>223,6 млн рублей), или 8,2 % от общего объема годовых назначений.</w:t>
      </w:r>
    </w:p>
    <w:p w14:paraId="7A2E1C3F"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pacing w:val="-6"/>
          <w:sz w:val="28"/>
          <w:szCs w:val="28"/>
          <w:lang w:eastAsia="ru-RU"/>
        </w:rPr>
      </w:pPr>
      <w:r w:rsidRPr="008B166E">
        <w:rPr>
          <w:rFonts w:ascii="Times New Roman" w:eastAsia="Times New Roman" w:hAnsi="Times New Roman" w:cs="Times New Roman"/>
          <w:b/>
          <w:bCs/>
          <w:color w:val="002060"/>
          <w:sz w:val="28"/>
          <w:szCs w:val="28"/>
          <w:lang w:eastAsia="ru-RU"/>
        </w:rPr>
        <w:t xml:space="preserve">39.2. </w:t>
      </w:r>
      <w:r w:rsidRPr="008B166E">
        <w:rPr>
          <w:rFonts w:ascii="Times New Roman" w:eastAsia="Calibri" w:hAnsi="Times New Roman" w:cs="Times New Roman"/>
          <w:sz w:val="28"/>
          <w:szCs w:val="28"/>
          <w:lang w:eastAsia="ru-RU"/>
        </w:rPr>
        <w:t xml:space="preserve">В общем объеме бюджетных ассигнований (23 787,3 млн рублей) наибольший объем расходов был предусмотрен на реализацию мероприятий </w:t>
      </w:r>
      <w:r w:rsidRPr="008B166E">
        <w:rPr>
          <w:rFonts w:ascii="Times New Roman" w:eastAsia="Calibri" w:hAnsi="Times New Roman" w:cs="Times New Roman"/>
          <w:spacing w:val="-6"/>
          <w:sz w:val="28"/>
          <w:szCs w:val="28"/>
          <w:lang w:eastAsia="ru-RU"/>
        </w:rPr>
        <w:t xml:space="preserve">национальных проектов «Демография» – 7 812,6 млн рублей, или 32,8 %, </w:t>
      </w:r>
      <w:r w:rsidRPr="008B166E">
        <w:rPr>
          <w:rFonts w:ascii="Times New Roman" w:eastAsia="Calibri" w:hAnsi="Times New Roman" w:cs="Times New Roman"/>
          <w:spacing w:val="-6"/>
          <w:sz w:val="28"/>
          <w:szCs w:val="28"/>
          <w:lang w:eastAsia="ru-RU"/>
        </w:rPr>
        <w:lastRenderedPageBreak/>
        <w:t xml:space="preserve">«Образование» – 7 866,3 млн рублей, или 33,1 %, «Здравоохранение» – </w:t>
      </w:r>
      <w:r w:rsidRPr="008B166E">
        <w:rPr>
          <w:rFonts w:ascii="Times New Roman" w:eastAsia="Calibri" w:hAnsi="Times New Roman" w:cs="Times New Roman"/>
          <w:spacing w:val="-6"/>
          <w:sz w:val="28"/>
          <w:szCs w:val="28"/>
          <w:lang w:eastAsia="ru-RU"/>
        </w:rPr>
        <w:br/>
        <w:t>2 816,8 млн рублей, или 11,8 %, «Безопасные и качественные автомобильные дороги» - 2 687,0 млн рублей, или 11,3 %.</w:t>
      </w:r>
    </w:p>
    <w:p w14:paraId="55FEA6FB"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b/>
          <w:bCs/>
          <w:color w:val="002060"/>
          <w:spacing w:val="-6"/>
          <w:sz w:val="28"/>
          <w:szCs w:val="28"/>
          <w:lang w:eastAsia="ru-RU"/>
        </w:rPr>
        <w:t xml:space="preserve">39.3. </w:t>
      </w:r>
      <w:r w:rsidRPr="008B166E">
        <w:rPr>
          <w:rFonts w:ascii="Times New Roman" w:eastAsia="Calibri" w:hAnsi="Times New Roman" w:cs="Times New Roman"/>
          <w:bCs/>
          <w:sz w:val="28"/>
          <w:szCs w:val="28"/>
          <w:lang w:eastAsia="ru-RU"/>
        </w:rPr>
        <w:t>Ф</w:t>
      </w:r>
      <w:r w:rsidRPr="008B166E">
        <w:rPr>
          <w:rFonts w:ascii="Times New Roman" w:eastAsia="Calibri" w:hAnsi="Times New Roman" w:cs="Times New Roman"/>
          <w:sz w:val="28"/>
          <w:szCs w:val="28"/>
          <w:lang w:eastAsia="ru-RU"/>
        </w:rPr>
        <w:t>актически в 2021 году мероприятия национальных проектов профинансированы в сумме 23 423,3 млн рублей, или 98,5 % от годовых назначений (23 787,3 млн рублей).  За 2021 год фактически освоено 17 098,0 млн рублей, или 71,9 %.</w:t>
      </w:r>
    </w:p>
    <w:p w14:paraId="2558BC08"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b/>
          <w:bCs/>
          <w:color w:val="002060"/>
          <w:sz w:val="28"/>
          <w:szCs w:val="28"/>
          <w:lang w:eastAsia="ru-RU"/>
        </w:rPr>
        <w:t>39.4.</w:t>
      </w:r>
      <w:r w:rsidRPr="008B166E">
        <w:rPr>
          <w:rFonts w:ascii="Times New Roman" w:eastAsia="Calibri" w:hAnsi="Times New Roman" w:cs="Times New Roman"/>
          <w:color w:val="002060"/>
          <w:sz w:val="28"/>
          <w:szCs w:val="28"/>
          <w:lang w:eastAsia="ru-RU"/>
        </w:rPr>
        <w:t xml:space="preserve"> </w:t>
      </w:r>
      <w:r w:rsidRPr="008B166E">
        <w:rPr>
          <w:rFonts w:ascii="Times New Roman" w:eastAsia="Calibri" w:hAnsi="Times New Roman" w:cs="Times New Roman"/>
          <w:sz w:val="28"/>
          <w:szCs w:val="28"/>
          <w:lang w:eastAsia="ru-RU"/>
        </w:rPr>
        <w:t>Низкий уровень освоения сложился по национальным проектам:</w:t>
      </w:r>
    </w:p>
    <w:p w14:paraId="5832585F"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«Образование» – 41,1 % (3 233,1 млн рублей);</w:t>
      </w:r>
    </w:p>
    <w:p w14:paraId="1E7509B5"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«Демография» – 81,0 % (6 329,8 млн рублей);</w:t>
      </w:r>
    </w:p>
    <w:p w14:paraId="0B022C64"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«Здравоохранение» – 88,0 % (2 479,3 млн рублей),;</w:t>
      </w:r>
    </w:p>
    <w:p w14:paraId="6D6D9E50"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«Культура» – 88,8 % (416,7 млн рублей);</w:t>
      </w:r>
    </w:p>
    <w:p w14:paraId="215F66CA"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«Безопасные и качественные автомобильные дороги» – 94,5 % (2 539,4 млн рублей);</w:t>
      </w:r>
    </w:p>
    <w:p w14:paraId="63F71372" w14:textId="77777777" w:rsidR="008B166E" w:rsidRPr="008B166E" w:rsidRDefault="008B166E" w:rsidP="003E7672">
      <w:pPr>
        <w:widowControl w:val="0"/>
        <w:spacing w:after="0" w:line="360" w:lineRule="exact"/>
        <w:ind w:firstLine="709"/>
        <w:jc w:val="both"/>
        <w:rPr>
          <w:rFonts w:ascii="Times New Roman" w:eastAsia="Calibri" w:hAnsi="Times New Roman" w:cs="Times New Roman"/>
          <w:sz w:val="28"/>
          <w:szCs w:val="28"/>
          <w:lang w:eastAsia="ru-RU"/>
        </w:rPr>
      </w:pPr>
      <w:r w:rsidRPr="008B166E">
        <w:rPr>
          <w:rFonts w:ascii="Times New Roman" w:eastAsia="Calibri" w:hAnsi="Times New Roman" w:cs="Times New Roman"/>
          <w:sz w:val="28"/>
          <w:szCs w:val="28"/>
          <w:lang w:eastAsia="ru-RU"/>
        </w:rPr>
        <w:t>- «Жилье и городская среда» – 98,1 % (1 781,0 млн рублей).</w:t>
      </w:r>
    </w:p>
    <w:p w14:paraId="18B1E1DF" w14:textId="0560C494"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6C621D08" w14:textId="0B00AFC0"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34630555" w14:textId="55D06AA4"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3797EA79" w14:textId="5A0AF614"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718F3A19" w14:textId="1EB4D34F"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1A1B4BDA" w14:textId="2439AEFB"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53FAA348" w14:textId="5156E1AA"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0D1C0ECD" w14:textId="0870925D"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61AB9CA0" w14:textId="0FA491BA"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377739C1" w14:textId="73EF68E4"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4297F37B" w14:textId="5A648AE0"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5E30A15E" w14:textId="0AAB85DE"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713B4CA5" w14:textId="0AF83C39"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702B07EF" w14:textId="3DDC42A0"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45F4D60E" w14:textId="5CC4C06F"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03174B01" w14:textId="2FA50F53"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6A49B234" w14:textId="28465793"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2D9A5E59" w14:textId="16223BCD"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3A5CD52E" w14:textId="166B17E9"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25810316" w14:textId="61603ABB"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43BA0CAC" w14:textId="5384FC2C"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2FCB0E16" w14:textId="1BE81D43"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32B760D1" w14:textId="400A04B9"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5B63FC08" w14:textId="0078485F" w:rsidR="008B166E" w:rsidRDefault="008B166E" w:rsidP="00CB3DC3">
      <w:pPr>
        <w:widowControl w:val="0"/>
        <w:spacing w:after="0" w:line="240" w:lineRule="auto"/>
        <w:ind w:firstLine="709"/>
        <w:jc w:val="both"/>
        <w:rPr>
          <w:rFonts w:ascii="Times New Roman" w:eastAsia="Calibri" w:hAnsi="Times New Roman" w:cs="Times New Roman"/>
          <w:sz w:val="28"/>
          <w:szCs w:val="28"/>
          <w:lang w:eastAsia="ru-RU"/>
        </w:rPr>
      </w:pPr>
    </w:p>
    <w:p w14:paraId="217D27A6" w14:textId="5966DB8E" w:rsidR="00CB3DC3" w:rsidRDefault="00CB3DC3" w:rsidP="00CB3DC3">
      <w:pPr>
        <w:widowControl w:val="0"/>
        <w:spacing w:after="0" w:line="240" w:lineRule="auto"/>
        <w:ind w:firstLine="709"/>
        <w:jc w:val="both"/>
        <w:rPr>
          <w:rFonts w:ascii="Times New Roman" w:eastAsia="Calibri" w:hAnsi="Times New Roman" w:cs="Times New Roman"/>
          <w:sz w:val="28"/>
          <w:szCs w:val="28"/>
          <w:lang w:eastAsia="ru-RU"/>
        </w:rPr>
      </w:pPr>
    </w:p>
    <w:p w14:paraId="5A01AA2B" w14:textId="0CEA1209" w:rsidR="00CB3DC3" w:rsidRDefault="00CB3DC3" w:rsidP="00CB3DC3">
      <w:pPr>
        <w:widowControl w:val="0"/>
        <w:spacing w:after="0" w:line="240" w:lineRule="auto"/>
        <w:ind w:firstLine="709"/>
        <w:jc w:val="both"/>
        <w:rPr>
          <w:rFonts w:ascii="Times New Roman" w:eastAsia="Calibri" w:hAnsi="Times New Roman" w:cs="Times New Roman"/>
          <w:sz w:val="28"/>
          <w:szCs w:val="28"/>
          <w:lang w:eastAsia="ru-RU"/>
        </w:rPr>
      </w:pPr>
    </w:p>
    <w:p w14:paraId="0AC291A7" w14:textId="655A77DA" w:rsidR="00CB3DC3" w:rsidRDefault="00CB3DC3" w:rsidP="00CB3DC3">
      <w:pPr>
        <w:widowControl w:val="0"/>
        <w:spacing w:after="0" w:line="240" w:lineRule="auto"/>
        <w:ind w:firstLine="709"/>
        <w:jc w:val="both"/>
        <w:rPr>
          <w:rFonts w:ascii="Times New Roman" w:eastAsia="Calibri" w:hAnsi="Times New Roman" w:cs="Times New Roman"/>
          <w:sz w:val="28"/>
          <w:szCs w:val="28"/>
          <w:lang w:eastAsia="ru-RU"/>
        </w:rPr>
      </w:pPr>
    </w:p>
    <w:p w14:paraId="7B32D93C" w14:textId="77777777" w:rsidR="008B166E" w:rsidRPr="008B166E" w:rsidRDefault="008B166E" w:rsidP="008B166E">
      <w:pPr>
        <w:widowControl w:val="0"/>
        <w:spacing w:after="0" w:line="320" w:lineRule="atLeast"/>
        <w:jc w:val="center"/>
        <w:rPr>
          <w:rFonts w:ascii="Times New Roman" w:eastAsia="Calibri" w:hAnsi="Times New Roman" w:cs="Times New Roman"/>
          <w:b/>
          <w:sz w:val="28"/>
          <w:szCs w:val="28"/>
        </w:rPr>
      </w:pPr>
      <w:r w:rsidRPr="008B166E">
        <w:rPr>
          <w:rFonts w:ascii="Times New Roman" w:eastAsia="Calibri" w:hAnsi="Times New Roman" w:cs="Times New Roman"/>
          <w:b/>
          <w:color w:val="002060"/>
          <w:sz w:val="28"/>
          <w:szCs w:val="28"/>
        </w:rPr>
        <w:lastRenderedPageBreak/>
        <w:t>9. Предложения</w:t>
      </w:r>
    </w:p>
    <w:p w14:paraId="68C4DFF6"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p>
    <w:p w14:paraId="63D0C24C"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1.</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 xml:space="preserve">В соответствии со статьей 264.4 Бюджетного кодекса Российской Федерации, статьями 57, 58 Закона Республики Дагестан от 10 марта 2015 года № 18 «О бюджетном процессе и межбюджетных отношениях в Республике Дагестан», статьями 8, 9 и 11 Закона Республики Дагестан </w:t>
      </w:r>
      <w:r w:rsidRPr="008B166E">
        <w:rPr>
          <w:rFonts w:ascii="Times New Roman" w:eastAsia="Times New Roman" w:hAnsi="Times New Roman" w:cs="Times New Roman"/>
          <w:sz w:val="28"/>
          <w:szCs w:val="28"/>
          <w:lang w:eastAsia="ru-RU"/>
        </w:rPr>
        <w:br/>
        <w:t xml:space="preserve">от 15 ноября 2011 года № 72 «О Счетной палате Республики Дагестан и некоторых вопросах деятельности контрольно-счетных органов муниципальных образований» направить Заключение Счетной палаты Республики Дагестан на годовой отчет об исполнении республиканского бюджета Республики Дагестан за 2020 год в Народное Собрание Республики Дагестан и Правительство Республики Дагестан. </w:t>
      </w:r>
    </w:p>
    <w:p w14:paraId="5ABAC6F5"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2.</w:t>
      </w:r>
      <w:r w:rsidRPr="008B166E">
        <w:rPr>
          <w:rFonts w:ascii="Times New Roman" w:eastAsia="Times New Roman" w:hAnsi="Times New Roman" w:cs="Times New Roman"/>
          <w:sz w:val="28"/>
          <w:szCs w:val="28"/>
          <w:lang w:eastAsia="ru-RU"/>
        </w:rPr>
        <w:t xml:space="preserve"> Предложить Правительству Республики Дагестан, органам исполнительной власти Республики Дагестан, главным администраторам (администраторам) доходов республиканского бюджета Республики Дагестан, главным распорядителям (распорядителям) и получателям средств республиканского бюджета Республики Дагестан, а также органам местного самоуправления:</w:t>
      </w:r>
    </w:p>
    <w:p w14:paraId="4A6F8DAE"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1)</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в целях исполнения Закона Республики Дагестан от 28 декабря 2020 года № 103 «О республиканском</w:t>
      </w:r>
      <w:r w:rsidRPr="008B166E">
        <w:rPr>
          <w:rFonts w:ascii="Times New Roman" w:hAnsi="Times New Roman" w:cs="Times New Roman"/>
          <w:sz w:val="28"/>
          <w:szCs w:val="28"/>
        </w:rPr>
        <w:t xml:space="preserve"> бюджете Республики Дагестан на 2022 год и на плановый период 2023 и 2024 годов» и достижения запланированных показателей социально-экономического развития Республики Дагестан на 2022-2024 годы </w:t>
      </w:r>
      <w:r w:rsidRPr="008B166E">
        <w:rPr>
          <w:rFonts w:ascii="Times New Roman" w:eastAsia="Times New Roman" w:hAnsi="Times New Roman" w:cs="Times New Roman"/>
          <w:sz w:val="28"/>
          <w:szCs w:val="28"/>
          <w:lang w:eastAsia="ru-RU"/>
        </w:rPr>
        <w:t xml:space="preserve">обеспечить безусловное исполнение Плана мероприятий по выполнению в 2022 году условий </w:t>
      </w:r>
      <w:r w:rsidRPr="008B166E">
        <w:rPr>
          <w:rFonts w:ascii="Times New Roman" w:hAnsi="Times New Roman" w:cs="Times New Roman"/>
          <w:sz w:val="28"/>
          <w:szCs w:val="28"/>
        </w:rPr>
        <w:t xml:space="preserve">Соглашения от 2 февраля 2022 г. 01-01-06/06-132 "О мерах по социально-экономическому развитию и оздоровлению государственных финансов Республики Дагестан, </w:t>
      </w:r>
      <w:r w:rsidRPr="008B166E">
        <w:rPr>
          <w:rFonts w:ascii="Times New Roman" w:eastAsia="Times New Roman" w:hAnsi="Times New Roman" w:cs="Times New Roman"/>
          <w:sz w:val="28"/>
          <w:szCs w:val="28"/>
          <w:lang w:eastAsia="ru-RU"/>
        </w:rPr>
        <w:t xml:space="preserve">утвержденному распоряжением Правительства Республики Дагестан от 8 апреля 2022 года </w:t>
      </w:r>
      <w:r w:rsidRPr="008B166E">
        <w:rPr>
          <w:rFonts w:ascii="Times New Roman" w:eastAsia="Times New Roman" w:hAnsi="Times New Roman" w:cs="Times New Roman"/>
          <w:sz w:val="28"/>
          <w:szCs w:val="28"/>
          <w:lang w:eastAsia="ru-RU"/>
        </w:rPr>
        <w:br/>
        <w:t xml:space="preserve">№ 78-р. </w:t>
      </w:r>
    </w:p>
    <w:p w14:paraId="349B1C89"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2)</w:t>
      </w:r>
      <w:r w:rsidRPr="008B166E">
        <w:rPr>
          <w:rFonts w:ascii="Times New Roman" w:eastAsia="Times New Roman" w:hAnsi="Times New Roman" w:cs="Times New Roman"/>
          <w:sz w:val="28"/>
          <w:szCs w:val="28"/>
          <w:lang w:eastAsia="ru-RU"/>
        </w:rPr>
        <w:t xml:space="preserve"> принять меры по устранению нарушений и недостатков, допущенных в ходе исполнения республиканского бюджета Республики Дагестан за 2021 год;</w:t>
      </w:r>
    </w:p>
    <w:p w14:paraId="3DA282D2"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bCs/>
          <w:color w:val="002060"/>
          <w:sz w:val="28"/>
          <w:szCs w:val="28"/>
          <w:lang w:eastAsia="ru-RU"/>
        </w:rPr>
        <w:t>3)</w:t>
      </w:r>
      <w:r w:rsidRPr="008B166E">
        <w:rPr>
          <w:rFonts w:ascii="Times New Roman" w:eastAsia="Times New Roman" w:hAnsi="Times New Roman" w:cs="Times New Roman"/>
          <w:sz w:val="28"/>
          <w:szCs w:val="28"/>
          <w:lang w:eastAsia="ru-RU"/>
        </w:rPr>
        <w:t xml:space="preserve"> для </w:t>
      </w:r>
      <w:r w:rsidRPr="008B166E">
        <w:rPr>
          <w:rFonts w:ascii="Times New Roman" w:eastAsia="Calibri" w:hAnsi="Times New Roman" w:cs="Times New Roman"/>
          <w:sz w:val="28"/>
          <w:szCs w:val="28"/>
        </w:rPr>
        <w:t>повышения достоверности показателей социально-экономического развития обеспечить проведение мониторинга их выполнения с целью своевременного принятия мер для минимизации возможных негативных последствий;</w:t>
      </w:r>
    </w:p>
    <w:p w14:paraId="1E817DF8"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B166E">
        <w:rPr>
          <w:rFonts w:ascii="Times New Roman" w:eastAsia="Times New Roman" w:hAnsi="Times New Roman" w:cs="Times New Roman"/>
          <w:b/>
          <w:color w:val="002060"/>
          <w:sz w:val="28"/>
          <w:szCs w:val="28"/>
          <w:lang w:eastAsia="ru-RU"/>
        </w:rPr>
        <w:t>4)</w:t>
      </w:r>
      <w:r w:rsidRPr="008B166E">
        <w:rPr>
          <w:rFonts w:ascii="Times New Roman" w:eastAsia="Times New Roman" w:hAnsi="Times New Roman" w:cs="Times New Roman"/>
          <w:sz w:val="28"/>
          <w:szCs w:val="28"/>
          <w:lang w:eastAsia="ru-RU"/>
        </w:rPr>
        <w:t xml:space="preserve"> </w:t>
      </w:r>
      <w:r w:rsidRPr="008B166E">
        <w:rPr>
          <w:rFonts w:ascii="Times New Roman" w:eastAsia="Calibri" w:hAnsi="Times New Roman" w:cs="Times New Roman"/>
          <w:sz w:val="28"/>
          <w:szCs w:val="28"/>
        </w:rPr>
        <w:t xml:space="preserve">в целях </w:t>
      </w:r>
      <w:r w:rsidRPr="008B166E">
        <w:rPr>
          <w:rFonts w:ascii="Times New Roman" w:eastAsia="Times New Roman" w:hAnsi="Times New Roman" w:cs="Times New Roman"/>
          <w:sz w:val="28"/>
          <w:szCs w:val="28"/>
          <w:lang w:eastAsia="ru-RU"/>
        </w:rPr>
        <w:t xml:space="preserve">увеличения поступления налоговых и неналоговых доходов республиканского бюджета Республики Дагестан обеспечить реализацию мероприятий </w:t>
      </w:r>
      <w:r w:rsidRPr="008B166E">
        <w:rPr>
          <w:rFonts w:ascii="Times New Roman" w:eastAsia="Calibri" w:hAnsi="Times New Roman" w:cs="Times New Roman"/>
          <w:sz w:val="28"/>
          <w:szCs w:val="28"/>
        </w:rPr>
        <w:t>по улучшению администрирования налоговых платежей (исполнению администраторами доходов плановых назначений и исключению случаев потерь бюджетных доходов)</w:t>
      </w:r>
      <w:r w:rsidRPr="008B166E">
        <w:rPr>
          <w:rFonts w:ascii="Times New Roman" w:eastAsia="Times New Roman" w:hAnsi="Times New Roman" w:cs="Times New Roman"/>
          <w:sz w:val="28"/>
          <w:szCs w:val="28"/>
          <w:lang w:eastAsia="ru-RU"/>
        </w:rPr>
        <w:t>;</w:t>
      </w:r>
    </w:p>
    <w:p w14:paraId="68CA581A"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Calibri" w:hAnsi="Times New Roman" w:cs="Times New Roman"/>
          <w:b/>
          <w:color w:val="002060"/>
          <w:sz w:val="28"/>
          <w:szCs w:val="28"/>
        </w:rPr>
        <w:t>5)</w:t>
      </w:r>
      <w:r w:rsidRPr="008B166E">
        <w:rPr>
          <w:rFonts w:ascii="Times New Roman" w:eastAsia="Calibri" w:hAnsi="Times New Roman" w:cs="Times New Roman"/>
          <w:sz w:val="28"/>
          <w:szCs w:val="28"/>
        </w:rPr>
        <w:t xml:space="preserve"> при определении налогового потенциала на очередной финансовый год, в целях увеличения налоговых поступлений и расширения собственной доходной базы учесть имеющиеся резервы, в том числе за счет </w:t>
      </w:r>
      <w:r w:rsidRPr="008B166E">
        <w:rPr>
          <w:rFonts w:ascii="Times New Roman" w:eastAsia="Times New Roman" w:hAnsi="Times New Roman" w:cs="Times New Roman"/>
          <w:sz w:val="28"/>
          <w:szCs w:val="28"/>
          <w:lang w:eastAsia="ru-RU"/>
        </w:rPr>
        <w:t>сокращения задолженности по налогам и сборам;</w:t>
      </w:r>
    </w:p>
    <w:p w14:paraId="35A2C273"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lastRenderedPageBreak/>
        <w:t>6)</w:t>
      </w:r>
      <w:r w:rsidRPr="008B166E">
        <w:rPr>
          <w:rFonts w:ascii="Times New Roman" w:eastAsia="Times New Roman" w:hAnsi="Times New Roman" w:cs="Times New Roman"/>
          <w:color w:val="002060"/>
          <w:sz w:val="28"/>
          <w:szCs w:val="28"/>
          <w:lang w:eastAsia="ru-RU"/>
        </w:rPr>
        <w:t xml:space="preserve"> </w:t>
      </w:r>
      <w:r w:rsidRPr="008B166E">
        <w:rPr>
          <w:rFonts w:ascii="Times New Roman" w:eastAsia="Times New Roman" w:hAnsi="Times New Roman" w:cs="Times New Roman"/>
          <w:sz w:val="28"/>
          <w:szCs w:val="28"/>
          <w:lang w:eastAsia="ru-RU"/>
        </w:rPr>
        <w:t>подготовить и провести мероприятия по повышению эффективности использования государственного имущества Республики Дагестан, в частности:</w:t>
      </w:r>
    </w:p>
    <w:p w14:paraId="400A89EC"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обеспечению регистрации права собственности на государственное имущество Республики Дагестан, в том числе земель и объектов газораспределительных сетей;</w:t>
      </w:r>
    </w:p>
    <w:p w14:paraId="6F59FBE5" w14:textId="77777777" w:rsidR="008B166E" w:rsidRPr="008B166E" w:rsidRDefault="008B166E" w:rsidP="008B166E">
      <w:pPr>
        <w:widowControl w:val="0"/>
        <w:spacing w:after="0" w:line="240" w:lineRule="auto"/>
        <w:ind w:firstLine="709"/>
        <w:jc w:val="both"/>
        <w:rPr>
          <w:rFonts w:ascii="Times New Roman" w:eastAsia="Calibri" w:hAnsi="Times New Roman" w:cs="Times New Roman"/>
          <w:spacing w:val="4"/>
          <w:sz w:val="28"/>
          <w:szCs w:val="28"/>
        </w:rPr>
      </w:pPr>
      <w:r w:rsidRPr="008B166E">
        <w:rPr>
          <w:rFonts w:ascii="Times New Roman" w:eastAsia="Calibri" w:hAnsi="Times New Roman" w:cs="Times New Roman"/>
          <w:spacing w:val="3"/>
          <w:sz w:val="28"/>
          <w:szCs w:val="28"/>
        </w:rPr>
        <w:t xml:space="preserve">- инвентаризации государственного имущества </w:t>
      </w:r>
      <w:r w:rsidRPr="008B166E">
        <w:rPr>
          <w:rFonts w:ascii="Times New Roman" w:eastAsia="Times New Roman" w:hAnsi="Times New Roman" w:cs="Times New Roman"/>
          <w:sz w:val="28"/>
          <w:szCs w:val="28"/>
          <w:lang w:eastAsia="ru-RU"/>
        </w:rPr>
        <w:t>Республики Дагестан</w:t>
      </w:r>
      <w:r w:rsidRPr="008B166E">
        <w:rPr>
          <w:rFonts w:ascii="Times New Roman" w:eastAsia="Calibri" w:hAnsi="Times New Roman" w:cs="Times New Roman"/>
          <w:spacing w:val="3"/>
          <w:sz w:val="28"/>
          <w:szCs w:val="28"/>
        </w:rPr>
        <w:t xml:space="preserve"> и земель, </w:t>
      </w:r>
      <w:r w:rsidRPr="008B166E">
        <w:rPr>
          <w:rFonts w:ascii="Times New Roman" w:eastAsia="Calibri" w:hAnsi="Times New Roman" w:cs="Times New Roman"/>
          <w:spacing w:val="4"/>
          <w:sz w:val="28"/>
          <w:szCs w:val="28"/>
        </w:rPr>
        <w:t>находящихся в государственной собственности</w:t>
      </w:r>
      <w:r w:rsidRPr="008B166E">
        <w:rPr>
          <w:rFonts w:ascii="Times New Roman" w:eastAsia="Calibri" w:hAnsi="Times New Roman" w:cs="Times New Roman"/>
          <w:sz w:val="28"/>
          <w:szCs w:val="28"/>
        </w:rPr>
        <w:t xml:space="preserve"> </w:t>
      </w:r>
      <w:r w:rsidRPr="008B166E">
        <w:rPr>
          <w:rFonts w:ascii="Times New Roman" w:eastAsia="Times New Roman" w:hAnsi="Times New Roman" w:cs="Times New Roman"/>
          <w:sz w:val="28"/>
          <w:szCs w:val="28"/>
          <w:lang w:eastAsia="ru-RU"/>
        </w:rPr>
        <w:t>Республики Дагестан</w:t>
      </w:r>
      <w:r w:rsidRPr="008B166E">
        <w:rPr>
          <w:rFonts w:ascii="Times New Roman" w:eastAsia="Calibri" w:hAnsi="Times New Roman" w:cs="Times New Roman"/>
          <w:spacing w:val="4"/>
          <w:sz w:val="28"/>
          <w:szCs w:val="28"/>
        </w:rPr>
        <w:t xml:space="preserve">, с внесением соответствующих уточнений в Реестр государственного имущества </w:t>
      </w:r>
      <w:r w:rsidRPr="008B166E">
        <w:rPr>
          <w:rFonts w:ascii="Times New Roman" w:eastAsia="Times New Roman" w:hAnsi="Times New Roman" w:cs="Times New Roman"/>
          <w:sz w:val="28"/>
          <w:szCs w:val="28"/>
          <w:lang w:eastAsia="ru-RU"/>
        </w:rPr>
        <w:t>Республики Дагестан</w:t>
      </w:r>
      <w:r w:rsidRPr="008B166E">
        <w:rPr>
          <w:rFonts w:ascii="Times New Roman" w:eastAsia="Calibri" w:hAnsi="Times New Roman" w:cs="Times New Roman"/>
          <w:spacing w:val="4"/>
          <w:sz w:val="28"/>
          <w:szCs w:val="28"/>
        </w:rPr>
        <w:t>;</w:t>
      </w:r>
    </w:p>
    <w:p w14:paraId="6A21863C"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Calibri" w:hAnsi="Times New Roman" w:cs="Times New Roman"/>
          <w:sz w:val="28"/>
          <w:szCs w:val="28"/>
        </w:rPr>
        <w:t xml:space="preserve">- изъятию государственного имущества </w:t>
      </w:r>
      <w:r w:rsidRPr="008B166E">
        <w:rPr>
          <w:rFonts w:ascii="Times New Roman" w:eastAsia="Times New Roman" w:hAnsi="Times New Roman" w:cs="Times New Roman"/>
          <w:sz w:val="28"/>
          <w:szCs w:val="28"/>
          <w:lang w:eastAsia="ru-RU"/>
        </w:rPr>
        <w:t>Республики Дагестан</w:t>
      </w:r>
      <w:r w:rsidRPr="008B166E">
        <w:rPr>
          <w:rFonts w:ascii="Times New Roman" w:eastAsia="Calibri" w:hAnsi="Times New Roman" w:cs="Times New Roman"/>
          <w:sz w:val="28"/>
          <w:szCs w:val="28"/>
        </w:rPr>
        <w:t xml:space="preserve"> у пользователей, в том числе земель, используемых неэффективно и не по целевому назначению, а также не уплачивающих своевременно арендные платежи;</w:t>
      </w:r>
    </w:p>
    <w:p w14:paraId="2327AA5A"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 усилению контроля за финансово-хозяйственной деятельностью и </w:t>
      </w:r>
      <w:r w:rsidRPr="008B166E">
        <w:rPr>
          <w:rFonts w:ascii="Times New Roman" w:eastAsia="Times New Roman" w:hAnsi="Times New Roman" w:cs="Times New Roman"/>
          <w:spacing w:val="2"/>
          <w:sz w:val="28"/>
          <w:szCs w:val="28"/>
          <w:lang w:eastAsia="ru-RU"/>
        </w:rPr>
        <w:t xml:space="preserve">эффективным функционированием государственных предприятий и акционерных обществ с государственной долей в уставном капитале. </w:t>
      </w:r>
      <w:r w:rsidRPr="008B166E">
        <w:rPr>
          <w:rFonts w:ascii="Times New Roman" w:eastAsia="Calibri" w:hAnsi="Times New Roman" w:cs="Times New Roman"/>
          <w:sz w:val="28"/>
          <w:szCs w:val="28"/>
        </w:rPr>
        <w:t>По результатам анализа деятельности предприятий принять решения, направленные на повышение эффективности их деятельности, в случае необходимости рассмотреть вопрос укрепления менеджмента (смены руководства), а также реорганизации (в том числе путем изменения организационно-правовой формы) или ликвидации;</w:t>
      </w:r>
    </w:p>
    <w:p w14:paraId="43BF1084"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7)</w:t>
      </w:r>
      <w:r w:rsidRPr="008B166E">
        <w:rPr>
          <w:rFonts w:ascii="Times New Roman" w:eastAsia="Times New Roman" w:hAnsi="Times New Roman" w:cs="Times New Roman"/>
          <w:sz w:val="28"/>
          <w:szCs w:val="28"/>
          <w:lang w:eastAsia="ru-RU"/>
        </w:rPr>
        <w:t xml:space="preserve"> реализовать меры по обеспечению сбалансированности и оптимизации долговой нагрузки республиканского бюджета Республики Дагестан;</w:t>
      </w:r>
    </w:p>
    <w:p w14:paraId="13E97F48"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8B166E">
        <w:rPr>
          <w:rFonts w:ascii="Times New Roman" w:eastAsia="Calibri" w:hAnsi="Times New Roman" w:cs="Times New Roman"/>
          <w:b/>
          <w:color w:val="002060"/>
          <w:sz w:val="28"/>
          <w:szCs w:val="28"/>
        </w:rPr>
        <w:t>8)</w:t>
      </w:r>
      <w:r w:rsidRPr="008B166E">
        <w:rPr>
          <w:rFonts w:ascii="Times New Roman" w:eastAsia="Calibri" w:hAnsi="Times New Roman" w:cs="Times New Roman"/>
          <w:sz w:val="28"/>
          <w:szCs w:val="28"/>
        </w:rPr>
        <w:t xml:space="preserve"> провести анализ и инвентаризацию расходных полномочий (расходных обязательств).</w:t>
      </w:r>
      <w:r w:rsidRPr="008B166E">
        <w:rPr>
          <w:rFonts w:ascii="Times New Roman" w:eastAsia="Times New Roman" w:hAnsi="Times New Roman" w:cs="Times New Roman"/>
          <w:sz w:val="28"/>
          <w:szCs w:val="28"/>
          <w:lang w:eastAsia="ru-RU"/>
        </w:rPr>
        <w:t xml:space="preserve"> Принять меры по обеспечению целевого и эффективного использования бюджетных средств;</w:t>
      </w:r>
    </w:p>
    <w:p w14:paraId="7FC4B323"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b/>
          <w:color w:val="002060"/>
          <w:sz w:val="28"/>
          <w:szCs w:val="28"/>
          <w:lang w:eastAsia="ru-RU"/>
        </w:rPr>
      </w:pPr>
      <w:r w:rsidRPr="008B166E">
        <w:rPr>
          <w:rFonts w:ascii="Times New Roman" w:eastAsia="Times New Roman" w:hAnsi="Times New Roman" w:cs="Times New Roman"/>
          <w:b/>
          <w:color w:val="002060"/>
          <w:sz w:val="28"/>
          <w:szCs w:val="28"/>
          <w:lang w:eastAsia="ru-RU"/>
        </w:rPr>
        <w:t xml:space="preserve">9) </w:t>
      </w:r>
      <w:r w:rsidRPr="008B166E">
        <w:rPr>
          <w:rFonts w:ascii="Times New Roman" w:eastAsia="Times New Roman" w:hAnsi="Times New Roman" w:cs="Times New Roman"/>
          <w:color w:val="000000"/>
          <w:sz w:val="28"/>
          <w:szCs w:val="28"/>
          <w:lang w:eastAsia="ru-RU"/>
        </w:rPr>
        <w:t>провести работу по устранению нарушений и недостатков бухгалтерского учета и бюджетной отчетности, обеспечению своевременного формирования государственных заданий и предоставлению субсидий из республиканского бюджета Республики Дагестан на финансовое обеспечение государственного задания;</w:t>
      </w:r>
    </w:p>
    <w:p w14:paraId="38193895"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10)</w:t>
      </w:r>
      <w:r w:rsidRPr="008B166E">
        <w:rPr>
          <w:rFonts w:ascii="Times New Roman" w:eastAsia="Times New Roman" w:hAnsi="Times New Roman" w:cs="Times New Roman"/>
          <w:sz w:val="28"/>
          <w:szCs w:val="28"/>
          <w:lang w:eastAsia="ru-RU"/>
        </w:rPr>
        <w:t xml:space="preserve"> повысить качество организации бюджетного процесса, в том числе принять меры по обеспечению исполнения расходов в утвержденных объемах, равномерности кассовых расходов, сокращению дебиторской и кредиторской задолженности (обеспечить своевременное финансирование и освоение бюджетных средств);</w:t>
      </w:r>
    </w:p>
    <w:p w14:paraId="3A9C7123"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8B166E">
        <w:rPr>
          <w:rFonts w:ascii="Times New Roman" w:eastAsia="Times New Roman" w:hAnsi="Times New Roman" w:cs="Times New Roman"/>
          <w:b/>
          <w:color w:val="002060"/>
          <w:sz w:val="28"/>
          <w:szCs w:val="28"/>
          <w:lang w:eastAsia="ru-RU"/>
        </w:rPr>
        <w:t>11)</w:t>
      </w:r>
      <w:r w:rsidRPr="008B166E">
        <w:rPr>
          <w:rFonts w:ascii="Times New Roman" w:eastAsia="Times New Roman" w:hAnsi="Times New Roman" w:cs="Times New Roman"/>
          <w:sz w:val="28"/>
          <w:szCs w:val="28"/>
          <w:lang w:eastAsia="ru-RU"/>
        </w:rPr>
        <w:t xml:space="preserve"> принять меры по уточнению показателей и мероприятий национальных (региональных) проектов и государственных программ Республики Дагестан, исходя из объема бюджетных ассигнований, предусмотренных в республиканском бюджете Республики Дагестан. П</w:t>
      </w:r>
      <w:r w:rsidRPr="008B166E">
        <w:rPr>
          <w:rFonts w:ascii="Times New Roman" w:eastAsia="Calibri" w:hAnsi="Times New Roman" w:cs="Times New Roman"/>
          <w:sz w:val="28"/>
          <w:szCs w:val="28"/>
        </w:rPr>
        <w:t xml:space="preserve">ровести актуализацию состава целей, задач, мероприятий и индикативных показателей, их соответствия объемам и источникам финансирования, </w:t>
      </w:r>
      <w:r w:rsidRPr="008B166E">
        <w:rPr>
          <w:rFonts w:ascii="Times New Roman" w:eastAsia="Calibri" w:hAnsi="Times New Roman" w:cs="Times New Roman"/>
          <w:sz w:val="28"/>
          <w:szCs w:val="28"/>
        </w:rPr>
        <w:lastRenderedPageBreak/>
        <w:t xml:space="preserve">включая иные источники, с учетом результатов оценки эффективности реализации и рисков недостижения целевых показателей государственных программ Республики Дагестан в </w:t>
      </w:r>
      <w:r w:rsidRPr="008B166E">
        <w:rPr>
          <w:rFonts w:ascii="Times New Roman" w:eastAsia="Calibri" w:hAnsi="Times New Roman" w:cs="Arial"/>
          <w:sz w:val="28"/>
          <w:szCs w:val="28"/>
        </w:rPr>
        <w:t>2021 году</w:t>
      </w:r>
      <w:r w:rsidRPr="008B166E">
        <w:rPr>
          <w:rFonts w:ascii="Times New Roman" w:eastAsia="Calibri" w:hAnsi="Times New Roman" w:cs="Times New Roman"/>
          <w:sz w:val="28"/>
          <w:szCs w:val="28"/>
        </w:rPr>
        <w:t xml:space="preserve">. </w:t>
      </w:r>
      <w:r w:rsidRPr="008B166E">
        <w:rPr>
          <w:rFonts w:ascii="Times New Roman" w:eastAsia="Times New Roman" w:hAnsi="Times New Roman" w:cs="Times New Roman"/>
          <w:bCs/>
          <w:sz w:val="28"/>
          <w:szCs w:val="28"/>
          <w:lang w:eastAsia="ru-RU"/>
        </w:rPr>
        <w:t>При этом</w:t>
      </w:r>
      <w:r w:rsidRPr="008B166E">
        <w:rPr>
          <w:rFonts w:ascii="Times New Roman" w:eastAsia="Times New Roman" w:hAnsi="Times New Roman" w:cs="Times New Roman"/>
          <w:b/>
          <w:sz w:val="28"/>
          <w:szCs w:val="28"/>
          <w:lang w:eastAsia="ru-RU"/>
        </w:rPr>
        <w:t xml:space="preserve"> </w:t>
      </w:r>
      <w:r w:rsidRPr="008B166E">
        <w:rPr>
          <w:rFonts w:ascii="Times New Roman" w:eastAsia="Calibri" w:hAnsi="Times New Roman" w:cs="Arial"/>
          <w:sz w:val="28"/>
          <w:szCs w:val="28"/>
        </w:rPr>
        <w:t>обеспечить синхронизацию сроков и мероприятий региональных проектов и государственных программ Республики Дагестан;</w:t>
      </w:r>
    </w:p>
    <w:p w14:paraId="1EAD30B8" w14:textId="77777777" w:rsidR="008B166E" w:rsidRPr="008B166E" w:rsidRDefault="008B166E" w:rsidP="008B166E">
      <w:pPr>
        <w:widowControl w:val="0"/>
        <w:shd w:val="clear" w:color="auto" w:fill="FFFFFF"/>
        <w:tabs>
          <w:tab w:val="left" w:pos="7938"/>
          <w:tab w:val="left" w:pos="9540"/>
        </w:tabs>
        <w:spacing w:after="0" w:line="240" w:lineRule="auto"/>
        <w:ind w:firstLine="709"/>
        <w:jc w:val="both"/>
        <w:rPr>
          <w:rFonts w:ascii="Times New Roman" w:eastAsia="Calibri" w:hAnsi="Times New Roman" w:cs="Arial"/>
          <w:sz w:val="28"/>
          <w:szCs w:val="28"/>
        </w:rPr>
      </w:pPr>
      <w:r w:rsidRPr="008B166E">
        <w:rPr>
          <w:rFonts w:ascii="Times New Roman" w:eastAsia="Calibri" w:hAnsi="Times New Roman" w:cs="Arial"/>
          <w:b/>
          <w:color w:val="002060"/>
          <w:sz w:val="28"/>
          <w:szCs w:val="28"/>
        </w:rPr>
        <w:t>12)</w:t>
      </w:r>
      <w:r w:rsidRPr="008B166E">
        <w:rPr>
          <w:rFonts w:ascii="Times New Roman" w:eastAsia="Calibri" w:hAnsi="Times New Roman" w:cs="Arial"/>
          <w:color w:val="002060"/>
          <w:sz w:val="28"/>
          <w:szCs w:val="28"/>
        </w:rPr>
        <w:t xml:space="preserve"> </w:t>
      </w:r>
      <w:r w:rsidRPr="008B166E">
        <w:rPr>
          <w:rFonts w:ascii="Times New Roman" w:eastAsia="Calibri" w:hAnsi="Times New Roman" w:cs="Arial"/>
          <w:sz w:val="28"/>
          <w:szCs w:val="28"/>
        </w:rPr>
        <w:t>обеспечить ритмичное финансирование мероприятий национальных (региональных) проектов, а также своевременное освоение выделяемых средств;</w:t>
      </w:r>
    </w:p>
    <w:p w14:paraId="7532D6FC" w14:textId="77777777" w:rsidR="008B166E" w:rsidRPr="008B166E" w:rsidRDefault="008B166E" w:rsidP="008B166E">
      <w:pPr>
        <w:widowControl w:val="0"/>
        <w:shd w:val="clear" w:color="auto" w:fill="FFFFFF"/>
        <w:tabs>
          <w:tab w:val="left" w:pos="7938"/>
          <w:tab w:val="left" w:pos="9540"/>
        </w:tabs>
        <w:spacing w:after="0" w:line="240" w:lineRule="auto"/>
        <w:ind w:firstLine="709"/>
        <w:jc w:val="both"/>
        <w:rPr>
          <w:rFonts w:ascii="Times New Roman" w:eastAsia="Calibri" w:hAnsi="Times New Roman" w:cs="Arial"/>
          <w:sz w:val="28"/>
          <w:szCs w:val="28"/>
        </w:rPr>
      </w:pPr>
      <w:r w:rsidRPr="008B166E">
        <w:rPr>
          <w:rFonts w:ascii="Times New Roman" w:eastAsia="Calibri" w:hAnsi="Times New Roman" w:cs="Arial"/>
          <w:b/>
          <w:color w:val="002060"/>
          <w:sz w:val="28"/>
          <w:szCs w:val="28"/>
        </w:rPr>
        <w:t>13)</w:t>
      </w:r>
      <w:r w:rsidRPr="008B166E">
        <w:rPr>
          <w:rFonts w:ascii="Times New Roman" w:eastAsia="Calibri" w:hAnsi="Times New Roman" w:cs="Arial"/>
          <w:sz w:val="28"/>
          <w:szCs w:val="28"/>
        </w:rPr>
        <w:t xml:space="preserve"> определить приоритетность финансирования и реализации мероприятий по строительству объектов, запланированных в рамках национальных (региональных) проектов;</w:t>
      </w:r>
    </w:p>
    <w:p w14:paraId="3A6E8113"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14)</w:t>
      </w:r>
      <w:r w:rsidRPr="008B166E">
        <w:rPr>
          <w:rFonts w:ascii="Times New Roman" w:eastAsia="Times New Roman" w:hAnsi="Times New Roman" w:cs="Times New Roman"/>
          <w:sz w:val="28"/>
          <w:szCs w:val="28"/>
          <w:lang w:eastAsia="ru-RU"/>
        </w:rPr>
        <w:t xml:space="preserve"> </w:t>
      </w:r>
      <w:bookmarkStart w:id="52" w:name="_Hlk17887893"/>
      <w:r w:rsidRPr="008B166E">
        <w:rPr>
          <w:rFonts w:ascii="Times New Roman" w:eastAsia="Times New Roman" w:hAnsi="Times New Roman" w:cs="Times New Roman"/>
          <w:sz w:val="28"/>
          <w:szCs w:val="28"/>
          <w:lang w:eastAsia="ru-RU"/>
        </w:rPr>
        <w:t xml:space="preserve">провести анализ деятельности органов исполнительной власти Республики Дагестан, государственных и муниципальных учреждений на предмет определения их эффективности в целях принятия соответствующих организационных решений; </w:t>
      </w:r>
    </w:p>
    <w:bookmarkEnd w:id="52"/>
    <w:p w14:paraId="3C5A95BC"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8B166E">
        <w:rPr>
          <w:rFonts w:ascii="Times New Roman" w:eastAsia="Times New Roman" w:hAnsi="Times New Roman" w:cs="Times New Roman"/>
          <w:b/>
          <w:color w:val="002060"/>
          <w:sz w:val="28"/>
          <w:szCs w:val="28"/>
          <w:lang w:eastAsia="ru-RU"/>
        </w:rPr>
        <w:t>15)</w:t>
      </w:r>
      <w:r w:rsidRPr="008B166E">
        <w:rPr>
          <w:rFonts w:ascii="Times New Roman" w:eastAsia="Times New Roman" w:hAnsi="Times New Roman" w:cs="Times New Roman"/>
          <w:sz w:val="28"/>
          <w:szCs w:val="28"/>
          <w:lang w:eastAsia="ru-RU"/>
        </w:rPr>
        <w:t xml:space="preserve"> реализовать меры по </w:t>
      </w:r>
      <w:r w:rsidRPr="008B166E">
        <w:rPr>
          <w:rFonts w:ascii="Times New Roman" w:eastAsia="Calibri" w:hAnsi="Times New Roman" w:cs="Arial"/>
          <w:sz w:val="28"/>
          <w:szCs w:val="28"/>
        </w:rPr>
        <w:t xml:space="preserve">совершенствованию межбюджетных отношений, направленные на стабильное исполнение местных бюджетов, а также </w:t>
      </w:r>
      <w:r w:rsidRPr="008B166E">
        <w:rPr>
          <w:rFonts w:ascii="Times New Roman" w:eastAsia="Times New Roman" w:hAnsi="Times New Roman" w:cs="Times New Roman"/>
          <w:sz w:val="28"/>
          <w:szCs w:val="28"/>
          <w:lang w:eastAsia="ru-RU"/>
        </w:rPr>
        <w:t xml:space="preserve">по повышению эффективности использования бюджетных средств и увеличению налоговых и неналоговых доходов местных бюджетов. </w:t>
      </w:r>
      <w:r w:rsidRPr="008B166E">
        <w:rPr>
          <w:rFonts w:ascii="Times New Roman" w:eastAsia="Calibri" w:hAnsi="Times New Roman" w:cs="Arial"/>
          <w:sz w:val="28"/>
          <w:szCs w:val="28"/>
        </w:rPr>
        <w:t xml:space="preserve">При этом обеспечить безусловное соблюдение требований законодательства при расчете и распределении межбюджетных трансфертов (дотаций и субсидий) местным бюджетам; </w:t>
      </w:r>
    </w:p>
    <w:p w14:paraId="7A2F3359" w14:textId="77777777" w:rsidR="008B166E" w:rsidRPr="008B166E" w:rsidRDefault="008B166E" w:rsidP="008B166E">
      <w:pPr>
        <w:widowControl w:val="0"/>
        <w:autoSpaceDE w:val="0"/>
        <w:autoSpaceDN w:val="0"/>
        <w:adjustRightInd w:val="0"/>
        <w:spacing w:after="0" w:line="240" w:lineRule="auto"/>
        <w:ind w:firstLine="709"/>
        <w:jc w:val="both"/>
        <w:rPr>
          <w:rFonts w:ascii="Times New Roman" w:eastAsia="Calibri" w:hAnsi="Times New Roman" w:cs="Arial"/>
          <w:sz w:val="28"/>
          <w:szCs w:val="28"/>
        </w:rPr>
      </w:pPr>
      <w:r w:rsidRPr="008B166E">
        <w:rPr>
          <w:rFonts w:ascii="Times New Roman" w:eastAsia="Calibri" w:hAnsi="Times New Roman" w:cs="Arial"/>
          <w:b/>
          <w:color w:val="002060"/>
          <w:sz w:val="28"/>
          <w:szCs w:val="28"/>
        </w:rPr>
        <w:t>16)</w:t>
      </w:r>
      <w:r w:rsidRPr="008B166E">
        <w:rPr>
          <w:rFonts w:ascii="Times New Roman" w:eastAsia="Calibri" w:hAnsi="Times New Roman" w:cs="Arial"/>
          <w:sz w:val="28"/>
          <w:szCs w:val="28"/>
        </w:rPr>
        <w:t xml:space="preserve"> в целях сокращения объектов-долгостроев и объемов незавершенного строительства, а также определения социально значимых объектов и их первоочередного финансирования продолжить работу по инвентаризации объектов, строящихся в рамках республиканской инвестиционной программы;</w:t>
      </w:r>
    </w:p>
    <w:p w14:paraId="7FD1C64E"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b/>
          <w:color w:val="002060"/>
          <w:sz w:val="28"/>
          <w:szCs w:val="28"/>
          <w:lang w:eastAsia="ru-RU"/>
        </w:rPr>
        <w:t>17)</w:t>
      </w:r>
      <w:r w:rsidRPr="008B166E">
        <w:rPr>
          <w:rFonts w:ascii="Times New Roman" w:eastAsia="Times New Roman" w:hAnsi="Times New Roman" w:cs="Times New Roman"/>
          <w:sz w:val="28"/>
          <w:szCs w:val="28"/>
          <w:lang w:eastAsia="ru-RU"/>
        </w:rPr>
        <w:t xml:space="preserve"> усилить контроль за обеспечением завершения строительства и ввода в эксплуатацию объектов капитального строительства.</w:t>
      </w:r>
    </w:p>
    <w:p w14:paraId="2DB18A9C" w14:textId="77777777" w:rsidR="008B166E" w:rsidRPr="008B166E" w:rsidRDefault="008B166E" w:rsidP="008B166E">
      <w:pPr>
        <w:widowControl w:val="0"/>
        <w:spacing w:after="0" w:line="240" w:lineRule="auto"/>
        <w:ind w:firstLine="709"/>
        <w:jc w:val="both"/>
        <w:rPr>
          <w:rFonts w:ascii="Times New Roman" w:eastAsia="Times New Roman" w:hAnsi="Times New Roman" w:cs="Times New Roman"/>
          <w:sz w:val="28"/>
          <w:szCs w:val="28"/>
          <w:lang w:eastAsia="ru-RU"/>
        </w:rPr>
      </w:pPr>
      <w:r w:rsidRPr="008B166E">
        <w:rPr>
          <w:rFonts w:ascii="Times New Roman" w:eastAsia="Times New Roman" w:hAnsi="Times New Roman" w:cs="Times New Roman"/>
          <w:sz w:val="28"/>
          <w:szCs w:val="28"/>
          <w:lang w:eastAsia="ru-RU"/>
        </w:rPr>
        <w:t xml:space="preserve">Принять меры по своевременному утверждению проектно-сметной документации по объектам строительства, а также по выполнению подрядными организациями договорных обязательств; </w:t>
      </w:r>
    </w:p>
    <w:p w14:paraId="0F1F4849"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B166E">
        <w:rPr>
          <w:rFonts w:ascii="Times New Roman" w:eastAsia="Times New Roman" w:hAnsi="Times New Roman" w:cs="Times New Roman"/>
          <w:b/>
          <w:color w:val="002060"/>
          <w:sz w:val="28"/>
          <w:szCs w:val="28"/>
          <w:lang w:eastAsia="ru-RU"/>
        </w:rPr>
        <w:t>18)</w:t>
      </w:r>
      <w:r w:rsidRPr="008B166E">
        <w:rPr>
          <w:rFonts w:ascii="Times New Roman" w:eastAsia="Times New Roman" w:hAnsi="Times New Roman" w:cs="Times New Roman"/>
          <w:color w:val="000000"/>
          <w:sz w:val="28"/>
          <w:szCs w:val="28"/>
          <w:lang w:eastAsia="ru-RU"/>
        </w:rPr>
        <w:t xml:space="preserve"> обеспечить соблюдение законодательства Российской Федерации при размещении заказов на поставку товаров, выполнение работ, оказание услуг для государственных нужд;</w:t>
      </w:r>
    </w:p>
    <w:p w14:paraId="3E24C22E" w14:textId="77777777" w:rsidR="008B166E" w:rsidRPr="008B166E" w:rsidRDefault="008B166E" w:rsidP="008B166E">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B166E">
        <w:rPr>
          <w:rFonts w:ascii="Times New Roman" w:eastAsia="Times New Roman" w:hAnsi="Times New Roman" w:cs="Times New Roman"/>
          <w:b/>
          <w:color w:val="002060"/>
          <w:sz w:val="28"/>
          <w:szCs w:val="28"/>
          <w:lang w:eastAsia="ru-RU"/>
        </w:rPr>
        <w:t>19)</w:t>
      </w:r>
      <w:r w:rsidRPr="008B166E">
        <w:rPr>
          <w:rFonts w:ascii="Times New Roman" w:eastAsia="Times New Roman" w:hAnsi="Times New Roman" w:cs="Times New Roman"/>
          <w:color w:val="000000"/>
          <w:sz w:val="28"/>
          <w:szCs w:val="28"/>
          <w:lang w:eastAsia="ru-RU"/>
        </w:rPr>
        <w:t xml:space="preserve"> принять меры по привлечению к ответственности должностных лиц, допустивших нарушения законодательства Российской Федерации и Республики Дагестан.</w:t>
      </w:r>
    </w:p>
    <w:p w14:paraId="233A3841" w14:textId="77777777" w:rsidR="008B166E" w:rsidRPr="008B166E" w:rsidRDefault="008B166E" w:rsidP="008B166E">
      <w:pPr>
        <w:widowControl w:val="0"/>
        <w:shd w:val="clear" w:color="auto" w:fill="FFFFFF"/>
        <w:spacing w:after="0" w:line="360" w:lineRule="exact"/>
        <w:ind w:firstLine="709"/>
        <w:jc w:val="both"/>
        <w:rPr>
          <w:rFonts w:ascii="Times New Roman" w:eastAsia="Times New Roman" w:hAnsi="Times New Roman" w:cs="Times New Roman"/>
          <w:color w:val="000000"/>
          <w:sz w:val="28"/>
          <w:szCs w:val="28"/>
          <w:lang w:eastAsia="ru-RU"/>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B166E" w:rsidRPr="008B166E" w14:paraId="2D843D8B" w14:textId="77777777" w:rsidTr="001569A5">
        <w:tc>
          <w:tcPr>
            <w:tcW w:w="4672" w:type="dxa"/>
            <w:hideMark/>
          </w:tcPr>
          <w:p w14:paraId="0B8CCB6A" w14:textId="77777777" w:rsidR="008B166E" w:rsidRPr="008B166E" w:rsidRDefault="008B166E" w:rsidP="008B166E">
            <w:pPr>
              <w:widowControl w:val="0"/>
              <w:autoSpaceDE w:val="0"/>
              <w:autoSpaceDN w:val="0"/>
              <w:adjustRightInd w:val="0"/>
              <w:jc w:val="both"/>
              <w:rPr>
                <w:color w:val="002060"/>
                <w:sz w:val="28"/>
                <w:szCs w:val="28"/>
              </w:rPr>
            </w:pPr>
            <w:r w:rsidRPr="008B166E">
              <w:rPr>
                <w:b/>
                <w:bCs/>
                <w:color w:val="002060"/>
                <w:sz w:val="28"/>
                <w:szCs w:val="28"/>
              </w:rPr>
              <w:t>Председатель Счетной палаты</w:t>
            </w:r>
          </w:p>
        </w:tc>
        <w:tc>
          <w:tcPr>
            <w:tcW w:w="4673" w:type="dxa"/>
          </w:tcPr>
          <w:p w14:paraId="33646505" w14:textId="77777777" w:rsidR="008B166E" w:rsidRPr="008B166E" w:rsidRDefault="008B166E" w:rsidP="008B166E">
            <w:pPr>
              <w:widowControl w:val="0"/>
              <w:autoSpaceDE w:val="0"/>
              <w:autoSpaceDN w:val="0"/>
              <w:adjustRightInd w:val="0"/>
              <w:jc w:val="both"/>
              <w:rPr>
                <w:color w:val="002060"/>
                <w:sz w:val="28"/>
                <w:szCs w:val="28"/>
              </w:rPr>
            </w:pPr>
          </w:p>
        </w:tc>
      </w:tr>
      <w:tr w:rsidR="008B166E" w:rsidRPr="008B166E" w14:paraId="3B631D66" w14:textId="77777777" w:rsidTr="001569A5">
        <w:tc>
          <w:tcPr>
            <w:tcW w:w="4672" w:type="dxa"/>
            <w:hideMark/>
          </w:tcPr>
          <w:p w14:paraId="4539D756" w14:textId="77777777" w:rsidR="008B166E" w:rsidRPr="008B166E" w:rsidRDefault="008B166E" w:rsidP="008B166E">
            <w:pPr>
              <w:widowControl w:val="0"/>
              <w:autoSpaceDE w:val="0"/>
              <w:autoSpaceDN w:val="0"/>
              <w:adjustRightInd w:val="0"/>
              <w:jc w:val="both"/>
              <w:rPr>
                <w:color w:val="002060"/>
                <w:sz w:val="28"/>
                <w:szCs w:val="28"/>
              </w:rPr>
            </w:pPr>
            <w:r w:rsidRPr="008B166E">
              <w:rPr>
                <w:b/>
                <w:bCs/>
                <w:color w:val="002060"/>
                <w:sz w:val="28"/>
                <w:szCs w:val="28"/>
              </w:rPr>
              <w:t>Республики Дагестан</w:t>
            </w:r>
          </w:p>
        </w:tc>
        <w:tc>
          <w:tcPr>
            <w:tcW w:w="4673" w:type="dxa"/>
            <w:hideMark/>
          </w:tcPr>
          <w:p w14:paraId="5706CFEA" w14:textId="77777777" w:rsidR="008B166E" w:rsidRPr="008B166E" w:rsidRDefault="008B166E" w:rsidP="008B166E">
            <w:pPr>
              <w:widowControl w:val="0"/>
              <w:autoSpaceDE w:val="0"/>
              <w:autoSpaceDN w:val="0"/>
              <w:adjustRightInd w:val="0"/>
              <w:jc w:val="right"/>
              <w:rPr>
                <w:color w:val="002060"/>
                <w:sz w:val="28"/>
                <w:szCs w:val="28"/>
              </w:rPr>
            </w:pPr>
            <w:r w:rsidRPr="008B166E">
              <w:rPr>
                <w:b/>
                <w:bCs/>
                <w:color w:val="002060"/>
                <w:sz w:val="28"/>
                <w:szCs w:val="28"/>
              </w:rPr>
              <w:t>Б. Джахбаров</w:t>
            </w:r>
          </w:p>
        </w:tc>
      </w:tr>
    </w:tbl>
    <w:p w14:paraId="7A6CEFC0" w14:textId="77777777" w:rsidR="00145C1D" w:rsidRPr="00B6770C" w:rsidRDefault="00145C1D" w:rsidP="006762BB">
      <w:pPr>
        <w:widowControl w:val="0"/>
        <w:autoSpaceDE w:val="0"/>
        <w:autoSpaceDN w:val="0"/>
        <w:adjustRightInd w:val="0"/>
        <w:spacing w:after="0" w:line="340" w:lineRule="exact"/>
        <w:ind w:firstLine="852"/>
        <w:jc w:val="both"/>
        <w:rPr>
          <w:rFonts w:ascii="Times New Roman" w:eastAsia="Times New Roman" w:hAnsi="Times New Roman"/>
          <w:color w:val="0070C0"/>
          <w:sz w:val="28"/>
          <w:szCs w:val="28"/>
          <w:lang w:eastAsia="ru-RU"/>
        </w:rPr>
      </w:pPr>
    </w:p>
    <w:sectPr w:rsidR="00145C1D" w:rsidRPr="00B6770C" w:rsidSect="008653A5">
      <w:headerReference w:type="default" r:id="rId33"/>
      <w:footerReference w:type="default" r:id="rId34"/>
      <w:pgSz w:w="11906" w:h="16838" w:code="9"/>
      <w:pgMar w:top="1134" w:right="850" w:bottom="1134" w:left="1701" w:header="709"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01A75" w14:textId="77777777" w:rsidR="00941F07" w:rsidRDefault="00941F07" w:rsidP="008653A5">
      <w:pPr>
        <w:spacing w:after="0" w:line="240" w:lineRule="auto"/>
      </w:pPr>
      <w:r>
        <w:separator/>
      </w:r>
    </w:p>
  </w:endnote>
  <w:endnote w:type="continuationSeparator" w:id="0">
    <w:p w14:paraId="667D9BF0" w14:textId="77777777" w:rsidR="00941F07" w:rsidRDefault="00941F07" w:rsidP="00865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CYR">
    <w:altName w:val="Cambria"/>
    <w:panose1 w:val="02020603050405020304"/>
    <w:charset w:val="CC"/>
    <w:family w:val="roman"/>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371380"/>
      <w:docPartObj>
        <w:docPartGallery w:val="Page Numbers (Bottom of Page)"/>
        <w:docPartUnique/>
      </w:docPartObj>
    </w:sdtPr>
    <w:sdtEndPr>
      <w:rPr>
        <w:rFonts w:ascii="Times New Roman" w:hAnsi="Times New Roman" w:cs="Times New Roman"/>
        <w:color w:val="0070C0"/>
        <w:sz w:val="28"/>
        <w:szCs w:val="28"/>
      </w:rPr>
    </w:sdtEndPr>
    <w:sdtContent>
      <w:p w14:paraId="2415A1EA" w14:textId="77777777" w:rsidR="008653A5" w:rsidRPr="00D638F2" w:rsidRDefault="008653A5" w:rsidP="008653A5">
        <w:pPr>
          <w:pStyle w:val="a5"/>
          <w:widowControl w:val="0"/>
          <w:spacing w:before="120"/>
          <w:jc w:val="center"/>
          <w:rPr>
            <w:rFonts w:ascii="Times New Roman" w:hAnsi="Times New Roman" w:cs="Times New Roman"/>
            <w:color w:val="0070C0"/>
            <w:sz w:val="28"/>
            <w:szCs w:val="28"/>
          </w:rPr>
        </w:pPr>
        <w:r w:rsidRPr="00D638F2">
          <w:rPr>
            <w:noProof/>
            <w:color w:val="0070C0"/>
            <w:lang w:eastAsia="ru-RU"/>
          </w:rPr>
          <mc:AlternateContent>
            <mc:Choice Requires="wps">
              <w:drawing>
                <wp:anchor distT="0" distB="0" distL="114300" distR="114300" simplePos="0" relativeHeight="251659264" behindDoc="0" locked="0" layoutInCell="1" allowOverlap="1" wp14:anchorId="6CF16645" wp14:editId="03ED6439">
                  <wp:simplePos x="0" y="0"/>
                  <wp:positionH relativeFrom="margin">
                    <wp:posOffset>0</wp:posOffset>
                  </wp:positionH>
                  <wp:positionV relativeFrom="paragraph">
                    <wp:posOffset>18415</wp:posOffset>
                  </wp:positionV>
                  <wp:extent cx="5949950" cy="10160"/>
                  <wp:effectExtent l="19050" t="19050" r="31750" b="2794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5949950" cy="10160"/>
                          </a:xfrm>
                          <a:prstGeom prst="line">
                            <a:avLst/>
                          </a:prstGeom>
                          <a:ln w="38100" cmpd="thickThi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5213A"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" strokecolor="#4472c4 [3204]" strokeweight="3pt">
                  <v:stroke linestyle="thickThin" joinstyle="miter"/>
                  <w10:wrap anchorx="margin"/>
                </v:line>
              </w:pict>
            </mc:Fallback>
          </mc:AlternateContent>
        </w:r>
        <w:r w:rsidRPr="00D638F2">
          <w:rPr>
            <w:rFonts w:ascii="Times New Roman" w:hAnsi="Times New Roman" w:cs="Times New Roman"/>
            <w:color w:val="0070C0"/>
            <w:sz w:val="28"/>
            <w:szCs w:val="28"/>
          </w:rPr>
          <w:fldChar w:fldCharType="begin"/>
        </w:r>
        <w:r w:rsidRPr="00D638F2">
          <w:rPr>
            <w:rFonts w:ascii="Times New Roman" w:hAnsi="Times New Roman" w:cs="Times New Roman"/>
            <w:color w:val="0070C0"/>
            <w:sz w:val="28"/>
            <w:szCs w:val="28"/>
          </w:rPr>
          <w:instrText>PAGE   \* MERGEFORMAT</w:instrText>
        </w:r>
        <w:r w:rsidRPr="00D638F2">
          <w:rPr>
            <w:rFonts w:ascii="Times New Roman" w:hAnsi="Times New Roman" w:cs="Times New Roman"/>
            <w:color w:val="0070C0"/>
            <w:sz w:val="28"/>
            <w:szCs w:val="28"/>
          </w:rPr>
          <w:fldChar w:fldCharType="separate"/>
        </w:r>
        <w:r>
          <w:rPr>
            <w:rFonts w:ascii="Times New Roman" w:hAnsi="Times New Roman" w:cs="Times New Roman"/>
            <w:color w:val="0070C0"/>
            <w:sz w:val="28"/>
            <w:szCs w:val="28"/>
          </w:rPr>
          <w:t>2</w:t>
        </w:r>
        <w:r w:rsidRPr="00D638F2">
          <w:rPr>
            <w:rFonts w:ascii="Times New Roman" w:hAnsi="Times New Roman" w:cs="Times New Roman"/>
            <w:color w:val="0070C0"/>
            <w:sz w:val="28"/>
            <w:szCs w:val="28"/>
          </w:rPr>
          <w:fldChar w:fldCharType="end"/>
        </w:r>
      </w:p>
    </w:sdtContent>
  </w:sdt>
  <w:p w14:paraId="5B6394B9" w14:textId="77777777" w:rsidR="008653A5" w:rsidRDefault="008653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7CF97" w14:textId="77777777" w:rsidR="00941F07" w:rsidRDefault="00941F07" w:rsidP="008653A5">
      <w:pPr>
        <w:spacing w:after="0" w:line="240" w:lineRule="auto"/>
      </w:pPr>
      <w:r>
        <w:separator/>
      </w:r>
    </w:p>
  </w:footnote>
  <w:footnote w:type="continuationSeparator" w:id="0">
    <w:p w14:paraId="720A7DC8" w14:textId="77777777" w:rsidR="00941F07" w:rsidRDefault="00941F07" w:rsidP="008653A5">
      <w:pPr>
        <w:spacing w:after="0" w:line="240" w:lineRule="auto"/>
      </w:pPr>
      <w:r>
        <w:continuationSeparator/>
      </w:r>
    </w:p>
  </w:footnote>
  <w:footnote w:id="1">
    <w:p w14:paraId="161F503B" w14:textId="77777777" w:rsidR="006F4305" w:rsidRPr="00446821" w:rsidRDefault="006F4305" w:rsidP="006F4305">
      <w:pPr>
        <w:pStyle w:val="af3"/>
      </w:pPr>
      <w:r w:rsidRPr="00446821">
        <w:rPr>
          <w:rStyle w:val="af5"/>
        </w:rPr>
        <w:footnoteRef/>
      </w:r>
      <w:r w:rsidRPr="00446821">
        <w:t xml:space="preserve"> незавершенное строительство 2019-2020 года  </w:t>
      </w:r>
    </w:p>
  </w:footnote>
  <w:footnote w:id="2">
    <w:p w14:paraId="4A559BE2" w14:textId="77777777" w:rsidR="006F4305" w:rsidRDefault="006F4305" w:rsidP="006F4305">
      <w:pPr>
        <w:pStyle w:val="af3"/>
      </w:pPr>
      <w:r>
        <w:rPr>
          <w:rStyle w:val="af5"/>
        </w:rPr>
        <w:footnoteRef/>
      </w:r>
      <w:r>
        <w:t xml:space="preserve"> от 14 апреля 2021 г. № 069-09-2021-008/2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389D" w14:textId="77777777" w:rsidR="008653A5" w:rsidRPr="003C79D1" w:rsidRDefault="008653A5" w:rsidP="008653A5">
    <w:pPr>
      <w:pStyle w:val="a3"/>
      <w:jc w:val="center"/>
      <w:rPr>
        <w:rFonts w:ascii="Times New Roman" w:hAnsi="Times New Roman" w:cs="Times New Roman"/>
        <w:b/>
        <w:color w:val="4472C4" w:themeColor="accent1"/>
        <w:spacing w:val="10"/>
        <w:sz w:val="19"/>
        <w:szCs w:val="19"/>
      </w:rPr>
    </w:pPr>
    <w:r w:rsidRPr="003C79D1">
      <w:rPr>
        <w:rFonts w:ascii="Times New Roman" w:hAnsi="Times New Roman" w:cs="Times New Roman"/>
        <w:b/>
        <w:color w:val="4472C4" w:themeColor="accent1"/>
        <w:spacing w:val="10"/>
        <w:sz w:val="19"/>
        <w:szCs w:val="19"/>
      </w:rPr>
      <w:t xml:space="preserve">ЗАКЛЮЧЕНИЕ СЧЕТНОЙ ПАЛАТЫ РЕСПУБЛИКИ ДАГЕСТАН НА ГОДОВОЙ ОТЧЕТ </w:t>
    </w:r>
  </w:p>
  <w:p w14:paraId="7EC3B56D" w14:textId="3DACF8A9" w:rsidR="008653A5" w:rsidRPr="003C79D1" w:rsidRDefault="008653A5" w:rsidP="008653A5">
    <w:pPr>
      <w:pStyle w:val="a3"/>
      <w:spacing w:after="120"/>
      <w:jc w:val="center"/>
      <w:rPr>
        <w:sz w:val="19"/>
        <w:szCs w:val="19"/>
      </w:rPr>
    </w:pPr>
    <w:r w:rsidRPr="003C79D1">
      <w:rPr>
        <w:rFonts w:ascii="Times New Roman" w:hAnsi="Times New Roman" w:cs="Times New Roman"/>
        <w:b/>
        <w:color w:val="4472C4" w:themeColor="accent1"/>
        <w:sz w:val="19"/>
        <w:szCs w:val="19"/>
      </w:rPr>
      <w:t>ОБ ИСПОЛНЕНИИ РЕСПУБЛИКАНСКОГО БЮДЖЕТА РЕСПУБЛИКИ ДАГЕСТАН ЗА 20</w:t>
    </w:r>
    <w:r w:rsidR="00997168" w:rsidRPr="003C79D1">
      <w:rPr>
        <w:rFonts w:ascii="Times New Roman" w:hAnsi="Times New Roman" w:cs="Times New Roman"/>
        <w:b/>
        <w:color w:val="4472C4" w:themeColor="accent1"/>
        <w:sz w:val="19"/>
        <w:szCs w:val="19"/>
      </w:rPr>
      <w:t>2</w:t>
    </w:r>
    <w:r w:rsidR="003C79D1" w:rsidRPr="003C79D1">
      <w:rPr>
        <w:rFonts w:ascii="Times New Roman" w:hAnsi="Times New Roman" w:cs="Times New Roman"/>
        <w:b/>
        <w:color w:val="4472C4" w:themeColor="accent1"/>
        <w:sz w:val="19"/>
        <w:szCs w:val="19"/>
      </w:rPr>
      <w:t>1</w:t>
    </w:r>
    <w:r w:rsidRPr="003C79D1">
      <w:rPr>
        <w:rFonts w:ascii="Times New Roman" w:hAnsi="Times New Roman" w:cs="Times New Roman"/>
        <w:b/>
        <w:color w:val="4472C4" w:themeColor="accent1"/>
        <w:sz w:val="19"/>
        <w:szCs w:val="19"/>
      </w:rPr>
      <w:t xml:space="preserve"> ГОД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1C2427E"/>
    <w:lvl w:ilvl="0">
      <w:numFmt w:val="decimal"/>
      <w:lvlText w:val="*"/>
      <w:lvlJc w:val="left"/>
      <w:rPr>
        <w:rFonts w:cs="Times New Roman"/>
      </w:rPr>
    </w:lvl>
  </w:abstractNum>
  <w:abstractNum w:abstractNumId="1" w15:restartNumberingAfterBreak="0">
    <w:nsid w:val="00000001"/>
    <w:multiLevelType w:val="multilevel"/>
    <w:tmpl w:val="45205866"/>
    <w:lvl w:ilvl="0">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1">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2">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3">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4">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5">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6">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7">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lvl w:ilvl="8">
      <w:start w:val="1"/>
      <w:numFmt w:val="bullet"/>
      <w:lvlText w:val="-"/>
      <w:lvlJc w:val="left"/>
      <w:rPr>
        <w:rFonts w:ascii="Times New Roman" w:hAnsi="Times New Roman"/>
        <w:b w:val="0"/>
        <w:i w:val="0"/>
        <w:smallCaps w:val="0"/>
        <w:strike w:val="0"/>
        <w:dstrike w:val="0"/>
        <w:color w:val="000000"/>
        <w:spacing w:val="10"/>
        <w:w w:val="100"/>
        <w:position w:val="0"/>
        <w:sz w:val="24"/>
        <w:u w:val="none"/>
        <w:effect w:val="none"/>
      </w:rPr>
    </w:lvl>
  </w:abstractNum>
  <w:abstractNum w:abstractNumId="2" w15:restartNumberingAfterBreak="0">
    <w:nsid w:val="022C0F94"/>
    <w:multiLevelType w:val="hybridMultilevel"/>
    <w:tmpl w:val="1BB430DA"/>
    <w:lvl w:ilvl="0" w:tplc="A92802C6">
      <w:start w:val="1"/>
      <w:numFmt w:val="decimal"/>
      <w:lvlText w:val="%1."/>
      <w:lvlJc w:val="left"/>
      <w:pPr>
        <w:tabs>
          <w:tab w:val="num" w:pos="360"/>
        </w:tabs>
        <w:ind w:left="360" w:hanging="360"/>
      </w:pPr>
      <w:rPr>
        <w:rFonts w:cs="Times New Roman" w:hint="default"/>
      </w:rPr>
    </w:lvl>
    <w:lvl w:ilvl="1" w:tplc="DBA6F11A">
      <w:numFmt w:val="none"/>
      <w:lvlText w:val=""/>
      <w:lvlJc w:val="left"/>
      <w:pPr>
        <w:tabs>
          <w:tab w:val="num" w:pos="-349"/>
        </w:tabs>
      </w:pPr>
      <w:rPr>
        <w:rFonts w:cs="Times New Roman"/>
      </w:rPr>
    </w:lvl>
    <w:lvl w:ilvl="2" w:tplc="F5A69E0C">
      <w:numFmt w:val="none"/>
      <w:lvlText w:val=""/>
      <w:lvlJc w:val="left"/>
      <w:pPr>
        <w:tabs>
          <w:tab w:val="num" w:pos="-349"/>
        </w:tabs>
      </w:pPr>
      <w:rPr>
        <w:rFonts w:cs="Times New Roman"/>
      </w:rPr>
    </w:lvl>
    <w:lvl w:ilvl="3" w:tplc="B42440F4">
      <w:numFmt w:val="none"/>
      <w:lvlText w:val=""/>
      <w:lvlJc w:val="left"/>
      <w:pPr>
        <w:tabs>
          <w:tab w:val="num" w:pos="-349"/>
        </w:tabs>
      </w:pPr>
      <w:rPr>
        <w:rFonts w:cs="Times New Roman"/>
      </w:rPr>
    </w:lvl>
    <w:lvl w:ilvl="4" w:tplc="39E0D73A">
      <w:numFmt w:val="none"/>
      <w:lvlText w:val=""/>
      <w:lvlJc w:val="left"/>
      <w:pPr>
        <w:tabs>
          <w:tab w:val="num" w:pos="-349"/>
        </w:tabs>
      </w:pPr>
      <w:rPr>
        <w:rFonts w:cs="Times New Roman"/>
      </w:rPr>
    </w:lvl>
    <w:lvl w:ilvl="5" w:tplc="49ACA578">
      <w:numFmt w:val="none"/>
      <w:lvlText w:val=""/>
      <w:lvlJc w:val="left"/>
      <w:pPr>
        <w:tabs>
          <w:tab w:val="num" w:pos="-349"/>
        </w:tabs>
      </w:pPr>
      <w:rPr>
        <w:rFonts w:cs="Times New Roman"/>
      </w:rPr>
    </w:lvl>
    <w:lvl w:ilvl="6" w:tplc="8256B08A">
      <w:numFmt w:val="none"/>
      <w:lvlText w:val=""/>
      <w:lvlJc w:val="left"/>
      <w:pPr>
        <w:tabs>
          <w:tab w:val="num" w:pos="-349"/>
        </w:tabs>
      </w:pPr>
      <w:rPr>
        <w:rFonts w:cs="Times New Roman"/>
      </w:rPr>
    </w:lvl>
    <w:lvl w:ilvl="7" w:tplc="0E485BFC">
      <w:numFmt w:val="none"/>
      <w:lvlText w:val=""/>
      <w:lvlJc w:val="left"/>
      <w:pPr>
        <w:tabs>
          <w:tab w:val="num" w:pos="-349"/>
        </w:tabs>
      </w:pPr>
      <w:rPr>
        <w:rFonts w:cs="Times New Roman"/>
      </w:rPr>
    </w:lvl>
    <w:lvl w:ilvl="8" w:tplc="30DA9A30">
      <w:numFmt w:val="none"/>
      <w:lvlText w:val=""/>
      <w:lvlJc w:val="left"/>
      <w:pPr>
        <w:tabs>
          <w:tab w:val="num" w:pos="-349"/>
        </w:tabs>
      </w:pPr>
      <w:rPr>
        <w:rFonts w:cs="Times New Roman"/>
      </w:rPr>
    </w:lvl>
  </w:abstractNum>
  <w:abstractNum w:abstractNumId="3" w15:restartNumberingAfterBreak="0">
    <w:nsid w:val="04D465AA"/>
    <w:multiLevelType w:val="hybridMultilevel"/>
    <w:tmpl w:val="B364AD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BF5C7F"/>
    <w:multiLevelType w:val="hybridMultilevel"/>
    <w:tmpl w:val="FA4245E6"/>
    <w:lvl w:ilvl="0" w:tplc="1FE636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8455E68"/>
    <w:multiLevelType w:val="hybridMultilevel"/>
    <w:tmpl w:val="48E83CEC"/>
    <w:lvl w:ilvl="0" w:tplc="A9628468">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0ACB3DD3"/>
    <w:multiLevelType w:val="hybridMultilevel"/>
    <w:tmpl w:val="36886022"/>
    <w:lvl w:ilvl="0" w:tplc="D75EE68C">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1755B7E"/>
    <w:multiLevelType w:val="hybridMultilevel"/>
    <w:tmpl w:val="5FC8E5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AB4E05"/>
    <w:multiLevelType w:val="hybridMultilevel"/>
    <w:tmpl w:val="BA5042B0"/>
    <w:lvl w:ilvl="0" w:tplc="20E65F56">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58D72B5"/>
    <w:multiLevelType w:val="multilevel"/>
    <w:tmpl w:val="CE52C190"/>
    <w:lvl w:ilvl="0">
      <w:start w:val="5"/>
      <w:numFmt w:val="decimal"/>
      <w:lvlText w:val="%1"/>
      <w:lvlJc w:val="left"/>
      <w:pPr>
        <w:ind w:left="375" w:hanging="375"/>
      </w:pPr>
      <w:rPr>
        <w:rFonts w:cs="Times New Roman" w:hint="default"/>
      </w:rPr>
    </w:lvl>
    <w:lvl w:ilvl="1">
      <w:start w:val="2"/>
      <w:numFmt w:val="decimal"/>
      <w:lvlText w:val="%1.%2"/>
      <w:lvlJc w:val="left"/>
      <w:pPr>
        <w:ind w:left="749" w:hanging="375"/>
      </w:pPr>
      <w:rPr>
        <w:rFonts w:cs="Times New Roman" w:hint="default"/>
      </w:rPr>
    </w:lvl>
    <w:lvl w:ilvl="2">
      <w:start w:val="1"/>
      <w:numFmt w:val="decimal"/>
      <w:lvlText w:val="%1.%2.%3"/>
      <w:lvlJc w:val="left"/>
      <w:pPr>
        <w:ind w:left="1468" w:hanging="720"/>
      </w:pPr>
      <w:rPr>
        <w:rFonts w:cs="Times New Roman" w:hint="default"/>
      </w:rPr>
    </w:lvl>
    <w:lvl w:ilvl="3">
      <w:start w:val="1"/>
      <w:numFmt w:val="decimal"/>
      <w:lvlText w:val="%1.%2.%3.%4"/>
      <w:lvlJc w:val="left"/>
      <w:pPr>
        <w:ind w:left="2202" w:hanging="1080"/>
      </w:pPr>
      <w:rPr>
        <w:rFonts w:cs="Times New Roman" w:hint="default"/>
      </w:rPr>
    </w:lvl>
    <w:lvl w:ilvl="4">
      <w:start w:val="1"/>
      <w:numFmt w:val="decimal"/>
      <w:lvlText w:val="%1.%2.%3.%4.%5"/>
      <w:lvlJc w:val="left"/>
      <w:pPr>
        <w:ind w:left="2576" w:hanging="1080"/>
      </w:pPr>
      <w:rPr>
        <w:rFonts w:cs="Times New Roman" w:hint="default"/>
      </w:rPr>
    </w:lvl>
    <w:lvl w:ilvl="5">
      <w:start w:val="1"/>
      <w:numFmt w:val="decimal"/>
      <w:lvlText w:val="%1.%2.%3.%4.%5.%6"/>
      <w:lvlJc w:val="left"/>
      <w:pPr>
        <w:ind w:left="3310" w:hanging="1440"/>
      </w:pPr>
      <w:rPr>
        <w:rFonts w:cs="Times New Roman" w:hint="default"/>
      </w:rPr>
    </w:lvl>
    <w:lvl w:ilvl="6">
      <w:start w:val="1"/>
      <w:numFmt w:val="decimal"/>
      <w:lvlText w:val="%1.%2.%3.%4.%5.%6.%7"/>
      <w:lvlJc w:val="left"/>
      <w:pPr>
        <w:ind w:left="3684" w:hanging="1440"/>
      </w:pPr>
      <w:rPr>
        <w:rFonts w:cs="Times New Roman" w:hint="default"/>
      </w:rPr>
    </w:lvl>
    <w:lvl w:ilvl="7">
      <w:start w:val="1"/>
      <w:numFmt w:val="decimal"/>
      <w:lvlText w:val="%1.%2.%3.%4.%5.%6.%7.%8"/>
      <w:lvlJc w:val="left"/>
      <w:pPr>
        <w:ind w:left="4418" w:hanging="1800"/>
      </w:pPr>
      <w:rPr>
        <w:rFonts w:cs="Times New Roman" w:hint="default"/>
      </w:rPr>
    </w:lvl>
    <w:lvl w:ilvl="8">
      <w:start w:val="1"/>
      <w:numFmt w:val="decimal"/>
      <w:lvlText w:val="%1.%2.%3.%4.%5.%6.%7.%8.%9"/>
      <w:lvlJc w:val="left"/>
      <w:pPr>
        <w:ind w:left="5152" w:hanging="2160"/>
      </w:pPr>
      <w:rPr>
        <w:rFonts w:cs="Times New Roman" w:hint="default"/>
      </w:rPr>
    </w:lvl>
  </w:abstractNum>
  <w:abstractNum w:abstractNumId="10" w15:restartNumberingAfterBreak="0">
    <w:nsid w:val="192422B8"/>
    <w:multiLevelType w:val="hybridMultilevel"/>
    <w:tmpl w:val="09263CD8"/>
    <w:lvl w:ilvl="0" w:tplc="C71AD89A">
      <w:start w:val="1"/>
      <w:numFmt w:val="upperRoman"/>
      <w:lvlText w:val="%1."/>
      <w:lvlJc w:val="left"/>
      <w:pPr>
        <w:ind w:left="1080"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B900BFF"/>
    <w:multiLevelType w:val="hybridMultilevel"/>
    <w:tmpl w:val="1C264F56"/>
    <w:lvl w:ilvl="0" w:tplc="E02EED9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1CD66294"/>
    <w:multiLevelType w:val="multilevel"/>
    <w:tmpl w:val="9CA04494"/>
    <w:lvl w:ilvl="0">
      <w:start w:val="1"/>
      <w:numFmt w:val="upperRoman"/>
      <w:pStyle w:val="1"/>
      <w:lvlText w:val="Статья %1."/>
      <w:lvlJc w:val="left"/>
      <w:pPr>
        <w:tabs>
          <w:tab w:val="num" w:pos="1800"/>
        </w:tabs>
      </w:pPr>
      <w:rPr>
        <w:rFonts w:cs="Times New Roman"/>
      </w:rPr>
    </w:lvl>
    <w:lvl w:ilvl="1">
      <w:start w:val="1"/>
      <w:numFmt w:val="decimalZero"/>
      <w:pStyle w:val="2"/>
      <w:isLgl/>
      <w:lvlText w:val="Раздел %1.%2"/>
      <w:lvlJc w:val="left"/>
      <w:pPr>
        <w:tabs>
          <w:tab w:val="num" w:pos="1440"/>
        </w:tabs>
      </w:pPr>
      <w:rPr>
        <w:rFonts w:cs="Times New Roman"/>
        <w:b w:val="0"/>
        <w:sz w:val="16"/>
        <w:szCs w:val="16"/>
      </w:rPr>
    </w:lvl>
    <w:lvl w:ilvl="2">
      <w:start w:val="1"/>
      <w:numFmt w:val="lowerLetter"/>
      <w:pStyle w:val="3"/>
      <w:lvlText w:val="(%3)"/>
      <w:lvlJc w:val="left"/>
      <w:pPr>
        <w:tabs>
          <w:tab w:val="num" w:pos="720"/>
        </w:tabs>
        <w:ind w:left="720" w:hanging="432"/>
      </w:pPr>
      <w:rPr>
        <w:rFonts w:cs="Times New Roman"/>
      </w:rPr>
    </w:lvl>
    <w:lvl w:ilvl="3">
      <w:start w:val="1"/>
      <w:numFmt w:val="lowerRoman"/>
      <w:pStyle w:val="4"/>
      <w:lvlText w:val="(%4)"/>
      <w:lvlJc w:val="right"/>
      <w:pPr>
        <w:tabs>
          <w:tab w:val="num" w:pos="864"/>
        </w:tabs>
        <w:ind w:left="864" w:hanging="144"/>
      </w:pPr>
      <w:rPr>
        <w:rFonts w:cs="Times New Roman"/>
      </w:rPr>
    </w:lvl>
    <w:lvl w:ilvl="4">
      <w:start w:val="1"/>
      <w:numFmt w:val="decimal"/>
      <w:pStyle w:val="5"/>
      <w:lvlText w:val="%5)"/>
      <w:lvlJc w:val="left"/>
      <w:pPr>
        <w:tabs>
          <w:tab w:val="num" w:pos="1008"/>
        </w:tabs>
        <w:ind w:left="1008" w:hanging="432"/>
      </w:pPr>
      <w:rPr>
        <w:rFonts w:cs="Times New Roman"/>
      </w:rPr>
    </w:lvl>
    <w:lvl w:ilvl="5">
      <w:start w:val="1"/>
      <w:numFmt w:val="lowerLetter"/>
      <w:pStyle w:val="6"/>
      <w:lvlText w:val="%6)"/>
      <w:lvlJc w:val="left"/>
      <w:pPr>
        <w:tabs>
          <w:tab w:val="num" w:pos="1152"/>
        </w:tabs>
        <w:ind w:left="1152" w:hanging="432"/>
      </w:pPr>
      <w:rPr>
        <w:rFonts w:cs="Times New Roman"/>
      </w:rPr>
    </w:lvl>
    <w:lvl w:ilvl="6">
      <w:start w:val="1"/>
      <w:numFmt w:val="lowerRoman"/>
      <w:pStyle w:val="7"/>
      <w:lvlText w:val="%7)"/>
      <w:lvlJc w:val="right"/>
      <w:pPr>
        <w:tabs>
          <w:tab w:val="num" w:pos="1296"/>
        </w:tabs>
        <w:ind w:left="1296" w:hanging="288"/>
      </w:pPr>
      <w:rPr>
        <w:rFonts w:cs="Times New Roman"/>
      </w:rPr>
    </w:lvl>
    <w:lvl w:ilvl="7">
      <w:start w:val="1"/>
      <w:numFmt w:val="lowerLetter"/>
      <w:pStyle w:val="8"/>
      <w:lvlText w:val="%8."/>
      <w:lvlJc w:val="left"/>
      <w:pPr>
        <w:tabs>
          <w:tab w:val="num" w:pos="1440"/>
        </w:tabs>
        <w:ind w:left="1440" w:hanging="432"/>
      </w:pPr>
      <w:rPr>
        <w:rFonts w:cs="Times New Roman"/>
      </w:rPr>
    </w:lvl>
    <w:lvl w:ilvl="8">
      <w:start w:val="1"/>
      <w:numFmt w:val="lowerRoman"/>
      <w:pStyle w:val="9"/>
      <w:lvlText w:val="%9."/>
      <w:lvlJc w:val="right"/>
      <w:pPr>
        <w:tabs>
          <w:tab w:val="num" w:pos="1584"/>
        </w:tabs>
        <w:ind w:left="1584" w:hanging="144"/>
      </w:pPr>
      <w:rPr>
        <w:rFonts w:cs="Times New Roman"/>
      </w:rPr>
    </w:lvl>
  </w:abstractNum>
  <w:abstractNum w:abstractNumId="13" w15:restartNumberingAfterBreak="0">
    <w:nsid w:val="1D296F21"/>
    <w:multiLevelType w:val="hybridMultilevel"/>
    <w:tmpl w:val="759E88D6"/>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51C4D2B"/>
    <w:multiLevelType w:val="hybridMultilevel"/>
    <w:tmpl w:val="6A0CABCA"/>
    <w:lvl w:ilvl="0" w:tplc="F544EF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264F6592"/>
    <w:multiLevelType w:val="hybridMultilevel"/>
    <w:tmpl w:val="FBC2C758"/>
    <w:lvl w:ilvl="0" w:tplc="474CAB2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15:restartNumberingAfterBreak="0">
    <w:nsid w:val="28B01652"/>
    <w:multiLevelType w:val="hybridMultilevel"/>
    <w:tmpl w:val="ED7412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9920A54"/>
    <w:multiLevelType w:val="hybridMultilevel"/>
    <w:tmpl w:val="599656D8"/>
    <w:lvl w:ilvl="0" w:tplc="919C86D0">
      <w:start w:val="1"/>
      <w:numFmt w:val="decimal"/>
      <w:lvlText w:val="%1."/>
      <w:lvlJc w:val="left"/>
      <w:pPr>
        <w:ind w:left="465" w:hanging="465"/>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15:restartNumberingAfterBreak="0">
    <w:nsid w:val="2D9906BA"/>
    <w:multiLevelType w:val="multilevel"/>
    <w:tmpl w:val="7706AA9E"/>
    <w:lvl w:ilvl="0">
      <w:start w:val="5"/>
      <w:numFmt w:val="decimal"/>
      <w:lvlText w:val="%1"/>
      <w:lvlJc w:val="left"/>
      <w:pPr>
        <w:ind w:left="375" w:hanging="375"/>
      </w:pPr>
      <w:rPr>
        <w:rFonts w:cs="Times New Roman" w:hint="default"/>
      </w:rPr>
    </w:lvl>
    <w:lvl w:ilvl="1">
      <w:start w:val="2"/>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9" w15:restartNumberingAfterBreak="0">
    <w:nsid w:val="301667C3"/>
    <w:multiLevelType w:val="hybridMultilevel"/>
    <w:tmpl w:val="4C3AD20C"/>
    <w:lvl w:ilvl="0" w:tplc="F2CE8BD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15:restartNumberingAfterBreak="0">
    <w:nsid w:val="317F1ED3"/>
    <w:multiLevelType w:val="hybridMultilevel"/>
    <w:tmpl w:val="664E5BFC"/>
    <w:lvl w:ilvl="0" w:tplc="5D2E18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DE250AB"/>
    <w:multiLevelType w:val="hybridMultilevel"/>
    <w:tmpl w:val="A1CA3622"/>
    <w:lvl w:ilvl="0" w:tplc="8E667922">
      <w:start w:val="65"/>
      <w:numFmt w:val="bullet"/>
      <w:lvlText w:val=""/>
      <w:lvlJc w:val="left"/>
      <w:pPr>
        <w:ind w:left="1429" w:hanging="360"/>
      </w:pPr>
      <w:rPr>
        <w:rFonts w:ascii="Symbol" w:eastAsia="Times New Roman"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4DC78FD"/>
    <w:multiLevelType w:val="hybridMultilevel"/>
    <w:tmpl w:val="EB18B3DA"/>
    <w:lvl w:ilvl="0" w:tplc="50B6EE6A">
      <w:start w:val="6"/>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48EF3DD4"/>
    <w:multiLevelType w:val="hybridMultilevel"/>
    <w:tmpl w:val="D8AE3472"/>
    <w:lvl w:ilvl="0" w:tplc="A8D6B900">
      <w:start w:val="1"/>
      <w:numFmt w:val="decimal"/>
      <w:lvlText w:val="%1)"/>
      <w:lvlJc w:val="left"/>
      <w:pPr>
        <w:ind w:left="1143" w:hanging="360"/>
      </w:pPr>
      <w:rPr>
        <w:rFonts w:cs="Times New Roman" w:hint="default"/>
      </w:rPr>
    </w:lvl>
    <w:lvl w:ilvl="1" w:tplc="04190019" w:tentative="1">
      <w:start w:val="1"/>
      <w:numFmt w:val="lowerLetter"/>
      <w:lvlText w:val="%2."/>
      <w:lvlJc w:val="left"/>
      <w:pPr>
        <w:ind w:left="1863" w:hanging="360"/>
      </w:pPr>
      <w:rPr>
        <w:rFonts w:cs="Times New Roman"/>
      </w:rPr>
    </w:lvl>
    <w:lvl w:ilvl="2" w:tplc="0419001B" w:tentative="1">
      <w:start w:val="1"/>
      <w:numFmt w:val="lowerRoman"/>
      <w:lvlText w:val="%3."/>
      <w:lvlJc w:val="right"/>
      <w:pPr>
        <w:ind w:left="2583" w:hanging="180"/>
      </w:pPr>
      <w:rPr>
        <w:rFonts w:cs="Times New Roman"/>
      </w:rPr>
    </w:lvl>
    <w:lvl w:ilvl="3" w:tplc="0419000F" w:tentative="1">
      <w:start w:val="1"/>
      <w:numFmt w:val="decimal"/>
      <w:lvlText w:val="%4."/>
      <w:lvlJc w:val="left"/>
      <w:pPr>
        <w:ind w:left="3303" w:hanging="360"/>
      </w:pPr>
      <w:rPr>
        <w:rFonts w:cs="Times New Roman"/>
      </w:rPr>
    </w:lvl>
    <w:lvl w:ilvl="4" w:tplc="04190019" w:tentative="1">
      <w:start w:val="1"/>
      <w:numFmt w:val="lowerLetter"/>
      <w:lvlText w:val="%5."/>
      <w:lvlJc w:val="left"/>
      <w:pPr>
        <w:ind w:left="4023" w:hanging="360"/>
      </w:pPr>
      <w:rPr>
        <w:rFonts w:cs="Times New Roman"/>
      </w:rPr>
    </w:lvl>
    <w:lvl w:ilvl="5" w:tplc="0419001B" w:tentative="1">
      <w:start w:val="1"/>
      <w:numFmt w:val="lowerRoman"/>
      <w:lvlText w:val="%6."/>
      <w:lvlJc w:val="right"/>
      <w:pPr>
        <w:ind w:left="4743" w:hanging="180"/>
      </w:pPr>
      <w:rPr>
        <w:rFonts w:cs="Times New Roman"/>
      </w:rPr>
    </w:lvl>
    <w:lvl w:ilvl="6" w:tplc="0419000F" w:tentative="1">
      <w:start w:val="1"/>
      <w:numFmt w:val="decimal"/>
      <w:lvlText w:val="%7."/>
      <w:lvlJc w:val="left"/>
      <w:pPr>
        <w:ind w:left="5463" w:hanging="360"/>
      </w:pPr>
      <w:rPr>
        <w:rFonts w:cs="Times New Roman"/>
      </w:rPr>
    </w:lvl>
    <w:lvl w:ilvl="7" w:tplc="04190019" w:tentative="1">
      <w:start w:val="1"/>
      <w:numFmt w:val="lowerLetter"/>
      <w:lvlText w:val="%8."/>
      <w:lvlJc w:val="left"/>
      <w:pPr>
        <w:ind w:left="6183" w:hanging="360"/>
      </w:pPr>
      <w:rPr>
        <w:rFonts w:cs="Times New Roman"/>
      </w:rPr>
    </w:lvl>
    <w:lvl w:ilvl="8" w:tplc="0419001B" w:tentative="1">
      <w:start w:val="1"/>
      <w:numFmt w:val="lowerRoman"/>
      <w:lvlText w:val="%9."/>
      <w:lvlJc w:val="right"/>
      <w:pPr>
        <w:ind w:left="6903" w:hanging="180"/>
      </w:pPr>
      <w:rPr>
        <w:rFonts w:cs="Times New Roman"/>
      </w:rPr>
    </w:lvl>
  </w:abstractNum>
  <w:abstractNum w:abstractNumId="24" w15:restartNumberingAfterBreak="0">
    <w:nsid w:val="49050BAA"/>
    <w:multiLevelType w:val="hybridMultilevel"/>
    <w:tmpl w:val="280A668A"/>
    <w:lvl w:ilvl="0" w:tplc="C340109A">
      <w:start w:val="1"/>
      <w:numFmt w:val="decimal"/>
      <w:lvlText w:val="%1)"/>
      <w:lvlJc w:val="left"/>
      <w:pPr>
        <w:ind w:left="1212"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4C1D36F8"/>
    <w:multiLevelType w:val="hybridMultilevel"/>
    <w:tmpl w:val="ECF4E93A"/>
    <w:lvl w:ilvl="0" w:tplc="54CEEFA4">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BD4988"/>
    <w:multiLevelType w:val="hybridMultilevel"/>
    <w:tmpl w:val="DAC0A7C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A20502"/>
    <w:multiLevelType w:val="hybridMultilevel"/>
    <w:tmpl w:val="EED296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07546A8"/>
    <w:multiLevelType w:val="hybridMultilevel"/>
    <w:tmpl w:val="02B2BE66"/>
    <w:lvl w:ilvl="0" w:tplc="B2A040A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5C04E0A"/>
    <w:multiLevelType w:val="hybridMultilevel"/>
    <w:tmpl w:val="886ADFE2"/>
    <w:lvl w:ilvl="0" w:tplc="5D366044">
      <w:start w:val="65"/>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90702BD"/>
    <w:multiLevelType w:val="hybridMultilevel"/>
    <w:tmpl w:val="4C3AD20C"/>
    <w:lvl w:ilvl="0" w:tplc="F2CE8BD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1" w15:restartNumberingAfterBreak="0">
    <w:nsid w:val="6E895F2F"/>
    <w:multiLevelType w:val="hybridMultilevel"/>
    <w:tmpl w:val="8F9484EA"/>
    <w:lvl w:ilvl="0" w:tplc="4F54C942">
      <w:start w:val="1"/>
      <w:numFmt w:val="decimal"/>
      <w:lvlText w:val="%1."/>
      <w:lvlJc w:val="left"/>
      <w:pPr>
        <w:ind w:left="1249" w:hanging="5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76E167B7"/>
    <w:multiLevelType w:val="multilevel"/>
    <w:tmpl w:val="5C3256F6"/>
    <w:lvl w:ilvl="0">
      <w:start w:val="5"/>
      <w:numFmt w:val="decimal"/>
      <w:lvlText w:val="%1"/>
      <w:lvlJc w:val="left"/>
      <w:pPr>
        <w:ind w:left="600" w:hanging="600"/>
      </w:pPr>
      <w:rPr>
        <w:rFonts w:cs="Times New Roman" w:hint="default"/>
      </w:rPr>
    </w:lvl>
    <w:lvl w:ilvl="1">
      <w:start w:val="4"/>
      <w:numFmt w:val="decimal"/>
      <w:lvlText w:val="%1.%2"/>
      <w:lvlJc w:val="left"/>
      <w:pPr>
        <w:ind w:left="954" w:hanging="600"/>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296492268">
    <w:abstractNumId w:val="0"/>
    <w:lvlOverride w:ilvl="0">
      <w:lvl w:ilvl="0">
        <w:numFmt w:val="bullet"/>
        <w:lvlText w:val="-"/>
        <w:legacy w:legacy="1" w:legacySpace="0" w:legacyIndent="178"/>
        <w:lvlJc w:val="left"/>
        <w:rPr>
          <w:rFonts w:ascii="Times New Roman" w:hAnsi="Times New Roman" w:hint="default"/>
        </w:rPr>
      </w:lvl>
    </w:lvlOverride>
  </w:num>
  <w:num w:numId="2" w16cid:durableId="1872188964">
    <w:abstractNumId w:val="12"/>
  </w:num>
  <w:num w:numId="3" w16cid:durableId="1515873609">
    <w:abstractNumId w:val="2"/>
  </w:num>
  <w:num w:numId="4" w16cid:durableId="2018538624">
    <w:abstractNumId w:val="10"/>
  </w:num>
  <w:num w:numId="5" w16cid:durableId="600188464">
    <w:abstractNumId w:val="28"/>
  </w:num>
  <w:num w:numId="6" w16cid:durableId="1257252017">
    <w:abstractNumId w:val="25"/>
  </w:num>
  <w:num w:numId="7" w16cid:durableId="1563053819">
    <w:abstractNumId w:val="16"/>
  </w:num>
  <w:num w:numId="8" w16cid:durableId="701249695">
    <w:abstractNumId w:val="8"/>
  </w:num>
  <w:num w:numId="9" w16cid:durableId="1757171723">
    <w:abstractNumId w:val="23"/>
  </w:num>
  <w:num w:numId="10" w16cid:durableId="199321132">
    <w:abstractNumId w:val="22"/>
  </w:num>
  <w:num w:numId="11" w16cid:durableId="1949117097">
    <w:abstractNumId w:val="0"/>
    <w:lvlOverride w:ilvl="0">
      <w:lvl w:ilvl="0">
        <w:numFmt w:val="bullet"/>
        <w:lvlText w:val="-"/>
        <w:legacy w:legacy="1" w:legacySpace="0" w:legacyIndent="158"/>
        <w:lvlJc w:val="left"/>
        <w:rPr>
          <w:rFonts w:ascii="Times New Roman" w:hAnsi="Times New Roman" w:hint="default"/>
        </w:rPr>
      </w:lvl>
    </w:lvlOverride>
  </w:num>
  <w:num w:numId="12" w16cid:durableId="1538080658">
    <w:abstractNumId w:val="0"/>
    <w:lvlOverride w:ilvl="0">
      <w:lvl w:ilvl="0">
        <w:numFmt w:val="bullet"/>
        <w:lvlText w:val="-"/>
        <w:legacy w:legacy="1" w:legacySpace="0" w:legacyIndent="163"/>
        <w:lvlJc w:val="left"/>
        <w:rPr>
          <w:rFonts w:ascii="Times New Roman" w:hAnsi="Times New Roman" w:hint="default"/>
        </w:rPr>
      </w:lvl>
    </w:lvlOverride>
  </w:num>
  <w:num w:numId="13" w16cid:durableId="832451527">
    <w:abstractNumId w:val="5"/>
  </w:num>
  <w:num w:numId="14" w16cid:durableId="321274176">
    <w:abstractNumId w:val="31"/>
  </w:num>
  <w:num w:numId="15" w16cid:durableId="2093699391">
    <w:abstractNumId w:val="27"/>
  </w:num>
  <w:num w:numId="16" w16cid:durableId="516504036">
    <w:abstractNumId w:val="13"/>
  </w:num>
  <w:num w:numId="17" w16cid:durableId="578558094">
    <w:abstractNumId w:val="3"/>
  </w:num>
  <w:num w:numId="18" w16cid:durableId="830367882">
    <w:abstractNumId w:val="17"/>
  </w:num>
  <w:num w:numId="19" w16cid:durableId="1370912698">
    <w:abstractNumId w:val="11"/>
  </w:num>
  <w:num w:numId="20" w16cid:durableId="1560096365">
    <w:abstractNumId w:val="4"/>
  </w:num>
  <w:num w:numId="21" w16cid:durableId="1302812417">
    <w:abstractNumId w:val="15"/>
  </w:num>
  <w:num w:numId="22" w16cid:durableId="2008820854">
    <w:abstractNumId w:val="30"/>
  </w:num>
  <w:num w:numId="23" w16cid:durableId="1643998686">
    <w:abstractNumId w:val="29"/>
  </w:num>
  <w:num w:numId="24" w16cid:durableId="447089410">
    <w:abstractNumId w:val="21"/>
  </w:num>
  <w:num w:numId="25" w16cid:durableId="2144931289">
    <w:abstractNumId w:val="19"/>
  </w:num>
  <w:num w:numId="26" w16cid:durableId="2087802577">
    <w:abstractNumId w:val="18"/>
  </w:num>
  <w:num w:numId="27" w16cid:durableId="1181702386">
    <w:abstractNumId w:val="9"/>
  </w:num>
  <w:num w:numId="28" w16cid:durableId="2129200240">
    <w:abstractNumId w:val="32"/>
  </w:num>
  <w:num w:numId="29" w16cid:durableId="1653366192">
    <w:abstractNumId w:val="14"/>
  </w:num>
  <w:num w:numId="30" w16cid:durableId="102768914">
    <w:abstractNumId w:val="1"/>
  </w:num>
  <w:num w:numId="31" w16cid:durableId="876040712">
    <w:abstractNumId w:val="24"/>
  </w:num>
  <w:num w:numId="32" w16cid:durableId="850723819">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33" w16cid:durableId="62280870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4" w16cid:durableId="2008897204">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35" w16cid:durableId="1403411680">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6" w16cid:durableId="787361455">
    <w:abstractNumId w:val="20"/>
  </w:num>
  <w:num w:numId="37" w16cid:durableId="791631080">
    <w:abstractNumId w:val="7"/>
  </w:num>
  <w:num w:numId="38" w16cid:durableId="136997548">
    <w:abstractNumId w:val="26"/>
  </w:num>
  <w:num w:numId="39" w16cid:durableId="400371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A5"/>
    <w:rsid w:val="00003C60"/>
    <w:rsid w:val="00011A35"/>
    <w:rsid w:val="00033393"/>
    <w:rsid w:val="00046DC9"/>
    <w:rsid w:val="00072ECD"/>
    <w:rsid w:val="00074A60"/>
    <w:rsid w:val="00085503"/>
    <w:rsid w:val="000A4EA5"/>
    <w:rsid w:val="000C289B"/>
    <w:rsid w:val="000E2337"/>
    <w:rsid w:val="00101461"/>
    <w:rsid w:val="0011638A"/>
    <w:rsid w:val="00143E5E"/>
    <w:rsid w:val="00145C1D"/>
    <w:rsid w:val="00156793"/>
    <w:rsid w:val="00157B0B"/>
    <w:rsid w:val="00164A7B"/>
    <w:rsid w:val="0017357D"/>
    <w:rsid w:val="001E0B76"/>
    <w:rsid w:val="00217EBD"/>
    <w:rsid w:val="002467F2"/>
    <w:rsid w:val="00247506"/>
    <w:rsid w:val="002717FF"/>
    <w:rsid w:val="002E57D3"/>
    <w:rsid w:val="003113E8"/>
    <w:rsid w:val="003248F9"/>
    <w:rsid w:val="00356EBF"/>
    <w:rsid w:val="003C79D1"/>
    <w:rsid w:val="003E7672"/>
    <w:rsid w:val="0042241B"/>
    <w:rsid w:val="00453A4C"/>
    <w:rsid w:val="00465093"/>
    <w:rsid w:val="00475DAD"/>
    <w:rsid w:val="00477D82"/>
    <w:rsid w:val="00480502"/>
    <w:rsid w:val="004E6E38"/>
    <w:rsid w:val="005237E7"/>
    <w:rsid w:val="00524476"/>
    <w:rsid w:val="005261F6"/>
    <w:rsid w:val="00526DEF"/>
    <w:rsid w:val="0053266A"/>
    <w:rsid w:val="00572E35"/>
    <w:rsid w:val="005B21C7"/>
    <w:rsid w:val="005D27E9"/>
    <w:rsid w:val="005F15C7"/>
    <w:rsid w:val="005F37BC"/>
    <w:rsid w:val="0061313A"/>
    <w:rsid w:val="00622765"/>
    <w:rsid w:val="00641D02"/>
    <w:rsid w:val="00647EDA"/>
    <w:rsid w:val="0065299C"/>
    <w:rsid w:val="00675C97"/>
    <w:rsid w:val="006762BB"/>
    <w:rsid w:val="006B71E3"/>
    <w:rsid w:val="006C28B8"/>
    <w:rsid w:val="006C63F8"/>
    <w:rsid w:val="006E435F"/>
    <w:rsid w:val="006F4305"/>
    <w:rsid w:val="007639C4"/>
    <w:rsid w:val="007A77E7"/>
    <w:rsid w:val="007C0711"/>
    <w:rsid w:val="007C1F98"/>
    <w:rsid w:val="007D1DF0"/>
    <w:rsid w:val="00803588"/>
    <w:rsid w:val="008279D6"/>
    <w:rsid w:val="0083457E"/>
    <w:rsid w:val="008653A5"/>
    <w:rsid w:val="00896D5A"/>
    <w:rsid w:val="008B166E"/>
    <w:rsid w:val="008D7C84"/>
    <w:rsid w:val="008F7CD7"/>
    <w:rsid w:val="00902DE0"/>
    <w:rsid w:val="00941F07"/>
    <w:rsid w:val="00946B4D"/>
    <w:rsid w:val="00981AE8"/>
    <w:rsid w:val="0098485E"/>
    <w:rsid w:val="00997168"/>
    <w:rsid w:val="009A5548"/>
    <w:rsid w:val="009D557D"/>
    <w:rsid w:val="00A23607"/>
    <w:rsid w:val="00A60AEE"/>
    <w:rsid w:val="00A844EC"/>
    <w:rsid w:val="00A922B4"/>
    <w:rsid w:val="00AA6078"/>
    <w:rsid w:val="00AC76BB"/>
    <w:rsid w:val="00AC7A4B"/>
    <w:rsid w:val="00B15702"/>
    <w:rsid w:val="00B231C1"/>
    <w:rsid w:val="00B247CA"/>
    <w:rsid w:val="00B45176"/>
    <w:rsid w:val="00B634E8"/>
    <w:rsid w:val="00B96E95"/>
    <w:rsid w:val="00B975E1"/>
    <w:rsid w:val="00BC2256"/>
    <w:rsid w:val="00BE0A1C"/>
    <w:rsid w:val="00BF35BD"/>
    <w:rsid w:val="00C36F8B"/>
    <w:rsid w:val="00C73E5C"/>
    <w:rsid w:val="00CB3DC3"/>
    <w:rsid w:val="00CC01F3"/>
    <w:rsid w:val="00D03B7A"/>
    <w:rsid w:val="00D1390B"/>
    <w:rsid w:val="00D14C7B"/>
    <w:rsid w:val="00D50AC7"/>
    <w:rsid w:val="00D5675F"/>
    <w:rsid w:val="00D8663E"/>
    <w:rsid w:val="00DC2714"/>
    <w:rsid w:val="00DE489F"/>
    <w:rsid w:val="00DF6D51"/>
    <w:rsid w:val="00E160D0"/>
    <w:rsid w:val="00E240D8"/>
    <w:rsid w:val="00E4356A"/>
    <w:rsid w:val="00E76C8A"/>
    <w:rsid w:val="00E76CCD"/>
    <w:rsid w:val="00EC2FB5"/>
    <w:rsid w:val="00EF65E4"/>
    <w:rsid w:val="00F17F6E"/>
    <w:rsid w:val="00F3645B"/>
    <w:rsid w:val="00F41CA8"/>
    <w:rsid w:val="00F95B96"/>
    <w:rsid w:val="00FB55DE"/>
    <w:rsid w:val="00FC228C"/>
    <w:rsid w:val="00FC7211"/>
    <w:rsid w:val="00FD2249"/>
    <w:rsid w:val="00FE1B29"/>
    <w:rsid w:val="00FE5687"/>
    <w:rsid w:val="00FF6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28970"/>
  <w15:chartTrackingRefBased/>
  <w15:docId w15:val="{CA0AF2A2-BC52-4062-BFB1-12232B8E9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3A5"/>
  </w:style>
  <w:style w:type="paragraph" w:styleId="1">
    <w:name w:val="heading 1"/>
    <w:basedOn w:val="a"/>
    <w:next w:val="a"/>
    <w:link w:val="10"/>
    <w:uiPriority w:val="9"/>
    <w:qFormat/>
    <w:rsid w:val="007A77E7"/>
    <w:pPr>
      <w:numPr>
        <w:numId w:val="2"/>
      </w:numPr>
      <w:overflowPunct w:val="0"/>
      <w:autoSpaceDE w:val="0"/>
      <w:autoSpaceDN w:val="0"/>
      <w:adjustRightInd w:val="0"/>
      <w:spacing w:after="0" w:line="240" w:lineRule="auto"/>
      <w:ind w:right="-284"/>
      <w:jc w:val="center"/>
      <w:textAlignment w:val="baseline"/>
      <w:outlineLvl w:val="0"/>
    </w:pPr>
    <w:rPr>
      <w:rFonts w:ascii="Times New Roman" w:eastAsia="Calibri" w:hAnsi="Times New Roman" w:cs="Times New Roman"/>
      <w:b/>
      <w:bCs/>
      <w:caps/>
      <w:spacing w:val="60"/>
      <w:sz w:val="28"/>
      <w:szCs w:val="28"/>
      <w:lang w:eastAsia="ru-RU"/>
    </w:rPr>
  </w:style>
  <w:style w:type="paragraph" w:styleId="2">
    <w:name w:val="heading 2"/>
    <w:basedOn w:val="a"/>
    <w:next w:val="a"/>
    <w:link w:val="20"/>
    <w:uiPriority w:val="9"/>
    <w:qFormat/>
    <w:rsid w:val="007A77E7"/>
    <w:pPr>
      <w:numPr>
        <w:ilvl w:val="1"/>
        <w:numId w:val="2"/>
      </w:numPr>
      <w:overflowPunct w:val="0"/>
      <w:autoSpaceDE w:val="0"/>
      <w:autoSpaceDN w:val="0"/>
      <w:adjustRightInd w:val="0"/>
      <w:spacing w:after="0" w:line="240" w:lineRule="auto"/>
      <w:ind w:right="-284"/>
      <w:jc w:val="center"/>
      <w:textAlignment w:val="baseline"/>
      <w:outlineLvl w:val="1"/>
    </w:pPr>
    <w:rPr>
      <w:rFonts w:ascii="Times New Roman" w:eastAsia="Calibri" w:hAnsi="Times New Roman" w:cs="Times New Roman"/>
      <w:b/>
      <w:bCs/>
      <w:caps/>
      <w:sz w:val="28"/>
      <w:szCs w:val="28"/>
      <w:lang w:eastAsia="ru-RU"/>
    </w:rPr>
  </w:style>
  <w:style w:type="paragraph" w:styleId="3">
    <w:name w:val="heading 3"/>
    <w:basedOn w:val="a"/>
    <w:link w:val="30"/>
    <w:qFormat/>
    <w:rsid w:val="007A77E7"/>
    <w:pPr>
      <w:numPr>
        <w:ilvl w:val="2"/>
        <w:numId w:val="2"/>
      </w:numPr>
      <w:overflowPunct w:val="0"/>
      <w:autoSpaceDE w:val="0"/>
      <w:autoSpaceDN w:val="0"/>
      <w:adjustRightInd w:val="0"/>
      <w:spacing w:after="0" w:line="240" w:lineRule="auto"/>
      <w:ind w:right="-284"/>
      <w:jc w:val="center"/>
      <w:textAlignment w:val="baseline"/>
      <w:outlineLvl w:val="2"/>
    </w:pPr>
    <w:rPr>
      <w:rFonts w:ascii="Times New Roman" w:eastAsia="Calibri" w:hAnsi="Times New Roman" w:cs="Times New Roman"/>
      <w:b/>
      <w:bCs/>
      <w:sz w:val="28"/>
      <w:szCs w:val="28"/>
      <w:lang w:eastAsia="ru-RU"/>
    </w:rPr>
  </w:style>
  <w:style w:type="paragraph" w:styleId="4">
    <w:name w:val="heading 4"/>
    <w:basedOn w:val="a"/>
    <w:next w:val="a"/>
    <w:link w:val="40"/>
    <w:qFormat/>
    <w:rsid w:val="007A77E7"/>
    <w:pPr>
      <w:keepNext/>
      <w:numPr>
        <w:ilvl w:val="3"/>
        <w:numId w:val="2"/>
      </w:numPr>
      <w:spacing w:after="0" w:line="240" w:lineRule="auto"/>
      <w:ind w:right="142"/>
      <w:jc w:val="both"/>
      <w:outlineLvl w:val="3"/>
    </w:pPr>
    <w:rPr>
      <w:rFonts w:ascii="Times New Roman" w:eastAsia="Calibri" w:hAnsi="Times New Roman" w:cs="Times New Roman"/>
      <w:b/>
      <w:bCs/>
      <w:sz w:val="28"/>
      <w:szCs w:val="28"/>
      <w:lang w:eastAsia="ru-RU"/>
    </w:rPr>
  </w:style>
  <w:style w:type="paragraph" w:styleId="5">
    <w:name w:val="heading 5"/>
    <w:basedOn w:val="a"/>
    <w:next w:val="a"/>
    <w:link w:val="50"/>
    <w:qFormat/>
    <w:rsid w:val="007A77E7"/>
    <w:pPr>
      <w:numPr>
        <w:ilvl w:val="4"/>
        <w:numId w:val="2"/>
      </w:numPr>
      <w:overflowPunct w:val="0"/>
      <w:autoSpaceDE w:val="0"/>
      <w:autoSpaceDN w:val="0"/>
      <w:adjustRightInd w:val="0"/>
      <w:spacing w:before="240" w:after="60" w:line="360" w:lineRule="auto"/>
      <w:ind w:right="-284"/>
      <w:jc w:val="both"/>
      <w:textAlignment w:val="baseline"/>
      <w:outlineLvl w:val="4"/>
    </w:pPr>
    <w:rPr>
      <w:rFonts w:ascii="Times New Roman" w:eastAsia="Calibri" w:hAnsi="Times New Roman" w:cs="Times New Roman"/>
      <w:b/>
      <w:bCs/>
      <w:i/>
      <w:iCs/>
      <w:sz w:val="26"/>
      <w:szCs w:val="26"/>
      <w:lang w:eastAsia="ru-RU"/>
    </w:rPr>
  </w:style>
  <w:style w:type="paragraph" w:styleId="6">
    <w:name w:val="heading 6"/>
    <w:basedOn w:val="a"/>
    <w:next w:val="a"/>
    <w:link w:val="60"/>
    <w:qFormat/>
    <w:rsid w:val="007A77E7"/>
    <w:pPr>
      <w:keepNext/>
      <w:numPr>
        <w:ilvl w:val="5"/>
        <w:numId w:val="2"/>
      </w:numPr>
      <w:spacing w:after="0" w:line="240" w:lineRule="auto"/>
      <w:jc w:val="both"/>
      <w:outlineLvl w:val="5"/>
    </w:pPr>
    <w:rPr>
      <w:rFonts w:ascii="Times New Roman" w:eastAsia="Calibri" w:hAnsi="Times New Roman" w:cs="Times New Roman"/>
      <w:i/>
      <w:iCs/>
      <w:sz w:val="28"/>
      <w:szCs w:val="28"/>
      <w:lang w:eastAsia="ru-RU"/>
    </w:rPr>
  </w:style>
  <w:style w:type="paragraph" w:styleId="7">
    <w:name w:val="heading 7"/>
    <w:basedOn w:val="a"/>
    <w:next w:val="a"/>
    <w:link w:val="70"/>
    <w:qFormat/>
    <w:rsid w:val="007A77E7"/>
    <w:pPr>
      <w:keepNext/>
      <w:numPr>
        <w:ilvl w:val="6"/>
        <w:numId w:val="2"/>
      </w:numPr>
      <w:tabs>
        <w:tab w:val="left" w:pos="-426"/>
      </w:tabs>
      <w:spacing w:after="0" w:line="240" w:lineRule="auto"/>
      <w:ind w:right="-83"/>
      <w:jc w:val="both"/>
      <w:outlineLvl w:val="6"/>
    </w:pPr>
    <w:rPr>
      <w:rFonts w:ascii="Times New Roman" w:eastAsia="Calibri" w:hAnsi="Times New Roman" w:cs="Times New Roman"/>
      <w:sz w:val="28"/>
      <w:szCs w:val="28"/>
      <w:lang w:eastAsia="ru-RU"/>
    </w:rPr>
  </w:style>
  <w:style w:type="paragraph" w:styleId="8">
    <w:name w:val="heading 8"/>
    <w:basedOn w:val="a"/>
    <w:next w:val="a"/>
    <w:link w:val="80"/>
    <w:qFormat/>
    <w:rsid w:val="007A77E7"/>
    <w:pPr>
      <w:numPr>
        <w:ilvl w:val="7"/>
        <w:numId w:val="2"/>
      </w:num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basedOn w:val="a"/>
    <w:next w:val="a"/>
    <w:link w:val="90"/>
    <w:qFormat/>
    <w:rsid w:val="007A77E7"/>
    <w:pPr>
      <w:numPr>
        <w:ilvl w:val="8"/>
        <w:numId w:val="2"/>
      </w:numPr>
      <w:spacing w:before="240" w:after="60" w:line="240" w:lineRule="auto"/>
      <w:outlineLvl w:val="8"/>
    </w:pPr>
    <w:rPr>
      <w:rFonts w:ascii="Arial" w:eastAsia="Calibri"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3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53A5"/>
  </w:style>
  <w:style w:type="paragraph" w:styleId="a5">
    <w:name w:val="footer"/>
    <w:basedOn w:val="a"/>
    <w:link w:val="a6"/>
    <w:uiPriority w:val="99"/>
    <w:unhideWhenUsed/>
    <w:rsid w:val="008653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53A5"/>
  </w:style>
  <w:style w:type="character" w:customStyle="1" w:styleId="10">
    <w:name w:val="Заголовок 1 Знак"/>
    <w:basedOn w:val="a0"/>
    <w:link w:val="1"/>
    <w:uiPriority w:val="9"/>
    <w:rsid w:val="007A77E7"/>
    <w:rPr>
      <w:rFonts w:ascii="Times New Roman" w:eastAsia="Calibri" w:hAnsi="Times New Roman" w:cs="Times New Roman"/>
      <w:b/>
      <w:bCs/>
      <w:caps/>
      <w:spacing w:val="60"/>
      <w:sz w:val="28"/>
      <w:szCs w:val="28"/>
      <w:lang w:eastAsia="ru-RU"/>
    </w:rPr>
  </w:style>
  <w:style w:type="character" w:customStyle="1" w:styleId="20">
    <w:name w:val="Заголовок 2 Знак"/>
    <w:basedOn w:val="a0"/>
    <w:link w:val="2"/>
    <w:uiPriority w:val="9"/>
    <w:rsid w:val="007A77E7"/>
    <w:rPr>
      <w:rFonts w:ascii="Times New Roman" w:eastAsia="Calibri" w:hAnsi="Times New Roman" w:cs="Times New Roman"/>
      <w:b/>
      <w:bCs/>
      <w:caps/>
      <w:sz w:val="28"/>
      <w:szCs w:val="28"/>
      <w:lang w:eastAsia="ru-RU"/>
    </w:rPr>
  </w:style>
  <w:style w:type="character" w:customStyle="1" w:styleId="30">
    <w:name w:val="Заголовок 3 Знак"/>
    <w:basedOn w:val="a0"/>
    <w:link w:val="3"/>
    <w:rsid w:val="007A77E7"/>
    <w:rPr>
      <w:rFonts w:ascii="Times New Roman" w:eastAsia="Calibri" w:hAnsi="Times New Roman" w:cs="Times New Roman"/>
      <w:b/>
      <w:bCs/>
      <w:sz w:val="28"/>
      <w:szCs w:val="28"/>
      <w:lang w:eastAsia="ru-RU"/>
    </w:rPr>
  </w:style>
  <w:style w:type="character" w:customStyle="1" w:styleId="40">
    <w:name w:val="Заголовок 4 Знак"/>
    <w:basedOn w:val="a0"/>
    <w:link w:val="4"/>
    <w:rsid w:val="007A77E7"/>
    <w:rPr>
      <w:rFonts w:ascii="Times New Roman" w:eastAsia="Calibri" w:hAnsi="Times New Roman" w:cs="Times New Roman"/>
      <w:b/>
      <w:bCs/>
      <w:sz w:val="28"/>
      <w:szCs w:val="28"/>
      <w:lang w:eastAsia="ru-RU"/>
    </w:rPr>
  </w:style>
  <w:style w:type="character" w:customStyle="1" w:styleId="50">
    <w:name w:val="Заголовок 5 Знак"/>
    <w:basedOn w:val="a0"/>
    <w:link w:val="5"/>
    <w:rsid w:val="007A77E7"/>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rsid w:val="007A77E7"/>
    <w:rPr>
      <w:rFonts w:ascii="Times New Roman" w:eastAsia="Calibri" w:hAnsi="Times New Roman" w:cs="Times New Roman"/>
      <w:i/>
      <w:iCs/>
      <w:sz w:val="28"/>
      <w:szCs w:val="28"/>
      <w:lang w:eastAsia="ru-RU"/>
    </w:rPr>
  </w:style>
  <w:style w:type="character" w:customStyle="1" w:styleId="70">
    <w:name w:val="Заголовок 7 Знак"/>
    <w:basedOn w:val="a0"/>
    <w:link w:val="7"/>
    <w:rsid w:val="007A77E7"/>
    <w:rPr>
      <w:rFonts w:ascii="Times New Roman" w:eastAsia="Calibri" w:hAnsi="Times New Roman" w:cs="Times New Roman"/>
      <w:sz w:val="28"/>
      <w:szCs w:val="28"/>
      <w:lang w:eastAsia="ru-RU"/>
    </w:rPr>
  </w:style>
  <w:style w:type="character" w:customStyle="1" w:styleId="80">
    <w:name w:val="Заголовок 8 Знак"/>
    <w:basedOn w:val="a0"/>
    <w:link w:val="8"/>
    <w:rsid w:val="007A77E7"/>
    <w:rPr>
      <w:rFonts w:ascii="Times New Roman" w:eastAsia="Calibri" w:hAnsi="Times New Roman" w:cs="Times New Roman"/>
      <w:i/>
      <w:iCs/>
      <w:sz w:val="24"/>
      <w:szCs w:val="24"/>
      <w:lang w:eastAsia="ru-RU"/>
    </w:rPr>
  </w:style>
  <w:style w:type="character" w:customStyle="1" w:styleId="90">
    <w:name w:val="Заголовок 9 Знак"/>
    <w:basedOn w:val="a0"/>
    <w:link w:val="9"/>
    <w:rsid w:val="007A77E7"/>
    <w:rPr>
      <w:rFonts w:ascii="Arial" w:eastAsia="Calibri" w:hAnsi="Arial" w:cs="Times New Roman"/>
      <w:sz w:val="20"/>
      <w:szCs w:val="20"/>
      <w:lang w:eastAsia="ru-RU"/>
    </w:rPr>
  </w:style>
  <w:style w:type="paragraph" w:styleId="21">
    <w:name w:val="Body Text Indent 2"/>
    <w:basedOn w:val="a"/>
    <w:link w:val="22"/>
    <w:rsid w:val="007A77E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7A77E7"/>
    <w:rPr>
      <w:rFonts w:ascii="Times New Roman" w:eastAsia="Times New Roman" w:hAnsi="Times New Roman" w:cs="Times New Roman"/>
      <w:sz w:val="28"/>
      <w:szCs w:val="20"/>
      <w:lang w:eastAsia="ru-RU"/>
    </w:rPr>
  </w:style>
  <w:style w:type="paragraph" w:customStyle="1" w:styleId="91">
    <w:name w:val="Основной текст (9)"/>
    <w:basedOn w:val="a"/>
    <w:link w:val="92"/>
    <w:rsid w:val="007A77E7"/>
    <w:pPr>
      <w:shd w:val="clear" w:color="auto" w:fill="FFFFFF"/>
      <w:spacing w:after="0" w:line="320" w:lineRule="exact"/>
      <w:jc w:val="both"/>
    </w:pPr>
    <w:rPr>
      <w:rFonts w:ascii="Calibri" w:eastAsia="Times New Roman" w:hAnsi="Calibri" w:cs="Times New Roman"/>
      <w:sz w:val="24"/>
      <w:szCs w:val="20"/>
      <w:shd w:val="clear" w:color="auto" w:fill="FFFFFF"/>
      <w:lang w:val="x-none" w:eastAsia="x-none"/>
    </w:rPr>
  </w:style>
  <w:style w:type="character" w:customStyle="1" w:styleId="92">
    <w:name w:val="Основной текст (9)_"/>
    <w:link w:val="91"/>
    <w:locked/>
    <w:rsid w:val="007A77E7"/>
    <w:rPr>
      <w:rFonts w:ascii="Calibri" w:eastAsia="Times New Roman" w:hAnsi="Calibri" w:cs="Times New Roman"/>
      <w:sz w:val="24"/>
      <w:szCs w:val="20"/>
      <w:shd w:val="clear" w:color="auto" w:fill="FFFFFF"/>
      <w:lang w:val="x-none" w:eastAsia="x-none"/>
    </w:rPr>
  </w:style>
  <w:style w:type="paragraph" w:customStyle="1" w:styleId="Web1">
    <w:name w:val="Обычный (Web)1"/>
    <w:aliases w:val="Обычный (Web)11,Название1,Знак Знак Знак Знак,Знак Знак Знак,Знак Знак,Title"/>
    <w:basedOn w:val="a"/>
    <w:next w:val="a"/>
    <w:link w:val="a7"/>
    <w:qFormat/>
    <w:rsid w:val="007A77E7"/>
    <w:pPr>
      <w:widowControl w:val="0"/>
      <w:autoSpaceDE w:val="0"/>
      <w:autoSpaceDN w:val="0"/>
      <w:adjustRightInd w:val="0"/>
      <w:spacing w:after="0" w:line="240" w:lineRule="auto"/>
      <w:contextualSpacing/>
    </w:pPr>
    <w:rPr>
      <w:rFonts w:ascii="Calibri Light" w:eastAsia="Calibri" w:hAnsi="Calibri Light"/>
      <w:spacing w:val="-10"/>
      <w:kern w:val="28"/>
      <w:sz w:val="56"/>
      <w:szCs w:val="56"/>
      <w:lang w:eastAsia="ru-RU"/>
    </w:rPr>
  </w:style>
  <w:style w:type="character" w:customStyle="1" w:styleId="ConsPlusNormal">
    <w:name w:val="ConsPlusNormal Знак"/>
    <w:link w:val="ConsPlusNormal0"/>
    <w:locked/>
    <w:rsid w:val="007A77E7"/>
    <w:rPr>
      <w:rFonts w:ascii="Arial" w:hAnsi="Arial"/>
      <w:lang w:eastAsia="ru-RU"/>
    </w:rPr>
  </w:style>
  <w:style w:type="paragraph" w:customStyle="1" w:styleId="ConsPlusNormal0">
    <w:name w:val="ConsPlusNormal"/>
    <w:link w:val="ConsPlusNormal"/>
    <w:rsid w:val="007A77E7"/>
    <w:pPr>
      <w:widowControl w:val="0"/>
      <w:autoSpaceDE w:val="0"/>
      <w:autoSpaceDN w:val="0"/>
      <w:adjustRightInd w:val="0"/>
      <w:spacing w:after="0" w:line="240" w:lineRule="auto"/>
      <w:ind w:firstLine="720"/>
    </w:pPr>
    <w:rPr>
      <w:rFonts w:ascii="Arial" w:hAnsi="Arial"/>
      <w:lang w:eastAsia="ru-RU"/>
    </w:rPr>
  </w:style>
  <w:style w:type="paragraph" w:customStyle="1" w:styleId="23">
    <w:name w:val="Основной текст с отступом 23"/>
    <w:basedOn w:val="a"/>
    <w:rsid w:val="007A77E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7">
    <w:name w:val="Название Знак"/>
    <w:aliases w:val="Название1 Знак,Знак Знак Знак Знак Знак2,Знак Знак Знак Знак1,Знак Знак Знак1,Title Знак,Знак Знак Знак Знак Знак6,Знак Знак Знак Знак Знак4"/>
    <w:link w:val="Web1"/>
    <w:locked/>
    <w:rsid w:val="007A77E7"/>
    <w:rPr>
      <w:rFonts w:ascii="Calibri Light" w:eastAsia="Calibri" w:hAnsi="Calibri Light"/>
      <w:spacing w:val="-10"/>
      <w:kern w:val="28"/>
      <w:sz w:val="56"/>
      <w:szCs w:val="56"/>
      <w:lang w:eastAsia="ru-RU"/>
    </w:rPr>
  </w:style>
  <w:style w:type="character" w:customStyle="1" w:styleId="11">
    <w:name w:val="Название;Название1 Знак Знак"/>
    <w:locked/>
    <w:rsid w:val="007A77E7"/>
    <w:rPr>
      <w:rFonts w:ascii="Times New Roman" w:hAnsi="Times New Roman"/>
      <w:sz w:val="20"/>
      <w:lang w:val="x-none" w:eastAsia="ru-RU"/>
    </w:rPr>
  </w:style>
  <w:style w:type="paragraph" w:styleId="a8">
    <w:name w:val="Block Text"/>
    <w:basedOn w:val="a"/>
    <w:rsid w:val="007A77E7"/>
    <w:pPr>
      <w:spacing w:after="0" w:line="240" w:lineRule="auto"/>
      <w:ind w:left="993" w:right="848"/>
      <w:jc w:val="both"/>
    </w:pPr>
    <w:rPr>
      <w:rFonts w:ascii="Times New Roman" w:eastAsia="Calibri" w:hAnsi="Times New Roman" w:cs="Times New Roman"/>
      <w:b/>
      <w:sz w:val="28"/>
      <w:szCs w:val="20"/>
      <w:lang w:eastAsia="ru-RU"/>
    </w:rPr>
  </w:style>
  <w:style w:type="paragraph" w:styleId="31">
    <w:name w:val="Body Text Indent 3"/>
    <w:basedOn w:val="a"/>
    <w:link w:val="32"/>
    <w:rsid w:val="007A77E7"/>
    <w:pPr>
      <w:widowControl w:val="0"/>
      <w:autoSpaceDE w:val="0"/>
      <w:autoSpaceDN w:val="0"/>
      <w:adjustRightInd w:val="0"/>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rsid w:val="007A77E7"/>
    <w:rPr>
      <w:rFonts w:ascii="Times New Roman" w:eastAsia="Calibri" w:hAnsi="Times New Roman" w:cs="Times New Roman"/>
      <w:sz w:val="16"/>
      <w:szCs w:val="16"/>
      <w:lang w:eastAsia="ru-RU"/>
    </w:rPr>
  </w:style>
  <w:style w:type="character" w:customStyle="1" w:styleId="BodyTextIndent2Char">
    <w:name w:val="Body Text Indent 2 Char"/>
    <w:locked/>
    <w:rsid w:val="007A77E7"/>
    <w:rPr>
      <w:rFonts w:ascii="Times New Roman" w:hAnsi="Times New Roman" w:cs="Times New Roman"/>
      <w:sz w:val="20"/>
      <w:szCs w:val="20"/>
      <w:lang w:val="x-none" w:eastAsia="ru-RU"/>
    </w:rPr>
  </w:style>
  <w:style w:type="paragraph" w:styleId="a9">
    <w:name w:val="Body Text Indent"/>
    <w:basedOn w:val="a"/>
    <w:link w:val="aa"/>
    <w:uiPriority w:val="99"/>
    <w:rsid w:val="007A77E7"/>
    <w:pPr>
      <w:widowControl w:val="0"/>
      <w:autoSpaceDE w:val="0"/>
      <w:autoSpaceDN w:val="0"/>
      <w:adjustRightInd w:val="0"/>
      <w:spacing w:after="120" w:line="240" w:lineRule="auto"/>
      <w:ind w:left="283"/>
    </w:pPr>
    <w:rPr>
      <w:rFonts w:ascii="Times New Roman" w:eastAsia="Calibri" w:hAnsi="Times New Roman" w:cs="Times New Roman"/>
      <w:sz w:val="20"/>
      <w:szCs w:val="20"/>
      <w:lang w:eastAsia="ru-RU"/>
    </w:rPr>
  </w:style>
  <w:style w:type="character" w:customStyle="1" w:styleId="aa">
    <w:name w:val="Основной текст с отступом Знак"/>
    <w:basedOn w:val="a0"/>
    <w:link w:val="a9"/>
    <w:uiPriority w:val="99"/>
    <w:rsid w:val="007A77E7"/>
    <w:rPr>
      <w:rFonts w:ascii="Times New Roman" w:eastAsia="Calibri" w:hAnsi="Times New Roman" w:cs="Times New Roman"/>
      <w:sz w:val="20"/>
      <w:szCs w:val="20"/>
      <w:lang w:eastAsia="ru-RU"/>
    </w:rPr>
  </w:style>
  <w:style w:type="paragraph" w:customStyle="1" w:styleId="Default">
    <w:name w:val="Default"/>
    <w:rsid w:val="007A77E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b">
    <w:name w:val="Body Text"/>
    <w:basedOn w:val="a"/>
    <w:link w:val="ac"/>
    <w:qFormat/>
    <w:rsid w:val="007A77E7"/>
    <w:pPr>
      <w:widowControl w:val="0"/>
      <w:autoSpaceDE w:val="0"/>
      <w:autoSpaceDN w:val="0"/>
      <w:adjustRightInd w:val="0"/>
      <w:spacing w:after="120" w:line="240" w:lineRule="auto"/>
    </w:pPr>
    <w:rPr>
      <w:rFonts w:ascii="Times New Roman" w:eastAsia="Calibri" w:hAnsi="Times New Roman" w:cs="Times New Roman"/>
      <w:sz w:val="20"/>
      <w:szCs w:val="20"/>
      <w:lang w:eastAsia="ru-RU"/>
    </w:rPr>
  </w:style>
  <w:style w:type="character" w:customStyle="1" w:styleId="ac">
    <w:name w:val="Основной текст Знак"/>
    <w:basedOn w:val="a0"/>
    <w:link w:val="ab"/>
    <w:rsid w:val="007A77E7"/>
    <w:rPr>
      <w:rFonts w:ascii="Times New Roman" w:eastAsia="Calibri" w:hAnsi="Times New Roman" w:cs="Times New Roman"/>
      <w:sz w:val="20"/>
      <w:szCs w:val="20"/>
      <w:lang w:eastAsia="ru-RU"/>
    </w:rPr>
  </w:style>
  <w:style w:type="paragraph" w:customStyle="1" w:styleId="12">
    <w:name w:val="Абзац списка1"/>
    <w:basedOn w:val="a"/>
    <w:link w:val="ad"/>
    <w:qFormat/>
    <w:rsid w:val="007A77E7"/>
    <w:pPr>
      <w:spacing w:after="0" w:line="240" w:lineRule="auto"/>
      <w:ind w:left="720"/>
      <w:contextualSpacing/>
      <w:jc w:val="both"/>
    </w:pPr>
    <w:rPr>
      <w:rFonts w:ascii="Times New Roman" w:eastAsia="Calibri" w:hAnsi="Times New Roman" w:cs="Times New Roman"/>
      <w:sz w:val="24"/>
      <w:szCs w:val="24"/>
      <w:lang w:eastAsia="ru-RU"/>
    </w:rPr>
  </w:style>
  <w:style w:type="paragraph" w:customStyle="1" w:styleId="220">
    <w:name w:val="Основной текст с отступом 22"/>
    <w:basedOn w:val="a"/>
    <w:rsid w:val="007A77E7"/>
    <w:pPr>
      <w:spacing w:after="0" w:line="240" w:lineRule="auto"/>
      <w:ind w:firstLine="720"/>
      <w:jc w:val="both"/>
    </w:pPr>
    <w:rPr>
      <w:rFonts w:ascii="Times New Roman" w:eastAsia="Calibri" w:hAnsi="Times New Roman" w:cs="Times New Roman"/>
      <w:sz w:val="28"/>
      <w:szCs w:val="20"/>
      <w:lang w:eastAsia="ru-RU"/>
    </w:rPr>
  </w:style>
  <w:style w:type="character" w:styleId="ae">
    <w:name w:val="page number"/>
    <w:basedOn w:val="a0"/>
    <w:rsid w:val="007A77E7"/>
  </w:style>
  <w:style w:type="paragraph" w:customStyle="1" w:styleId="210">
    <w:name w:val="Основной текст с отступом 21"/>
    <w:basedOn w:val="a"/>
    <w:rsid w:val="007A77E7"/>
    <w:pPr>
      <w:widowControl w:val="0"/>
      <w:suppressAutoHyphens/>
      <w:spacing w:after="0" w:line="240" w:lineRule="auto"/>
      <w:ind w:firstLine="567"/>
      <w:jc w:val="both"/>
    </w:pPr>
    <w:rPr>
      <w:rFonts w:ascii="Times New Roman" w:eastAsia="Calibri" w:hAnsi="Times New Roman" w:cs="Times New Roman"/>
      <w:sz w:val="24"/>
      <w:szCs w:val="20"/>
      <w:lang w:eastAsia="ar-SA"/>
    </w:rPr>
  </w:style>
  <w:style w:type="paragraph" w:styleId="24">
    <w:name w:val="Body Text 2"/>
    <w:basedOn w:val="a"/>
    <w:link w:val="25"/>
    <w:rsid w:val="007A77E7"/>
    <w:pPr>
      <w:widowControl w:val="0"/>
      <w:autoSpaceDE w:val="0"/>
      <w:autoSpaceDN w:val="0"/>
      <w:adjustRightInd w:val="0"/>
      <w:spacing w:after="120" w:line="480" w:lineRule="auto"/>
    </w:pPr>
    <w:rPr>
      <w:rFonts w:ascii="Times New Roman" w:eastAsia="Calibri" w:hAnsi="Times New Roman" w:cs="Times New Roman"/>
      <w:sz w:val="20"/>
      <w:szCs w:val="20"/>
      <w:lang w:eastAsia="ru-RU"/>
    </w:rPr>
  </w:style>
  <w:style w:type="character" w:customStyle="1" w:styleId="25">
    <w:name w:val="Основной текст 2 Знак"/>
    <w:basedOn w:val="a0"/>
    <w:link w:val="24"/>
    <w:rsid w:val="007A77E7"/>
    <w:rPr>
      <w:rFonts w:ascii="Times New Roman" w:eastAsia="Calibri" w:hAnsi="Times New Roman" w:cs="Times New Roman"/>
      <w:sz w:val="20"/>
      <w:szCs w:val="20"/>
      <w:lang w:eastAsia="ru-RU"/>
    </w:rPr>
  </w:style>
  <w:style w:type="paragraph" w:customStyle="1" w:styleId="ConsPlusNonformat">
    <w:name w:val="ConsPlusNonformat"/>
    <w:rsid w:val="007A77E7"/>
    <w:pPr>
      <w:widowControl w:val="0"/>
      <w:autoSpaceDE w:val="0"/>
      <w:autoSpaceDN w:val="0"/>
      <w:adjustRightInd w:val="0"/>
      <w:spacing w:after="0" w:line="240" w:lineRule="auto"/>
    </w:pPr>
    <w:rPr>
      <w:rFonts w:ascii="Courier New" w:eastAsia="SimSun" w:hAnsi="Courier New" w:cs="Courier New"/>
      <w:sz w:val="20"/>
      <w:szCs w:val="20"/>
      <w:lang w:eastAsia="zh-CN"/>
    </w:rPr>
  </w:style>
  <w:style w:type="paragraph" w:customStyle="1" w:styleId="CharChar">
    <w:name w:val="Char Char"/>
    <w:basedOn w:val="a"/>
    <w:autoRedefine/>
    <w:rsid w:val="007A77E7"/>
    <w:pPr>
      <w:spacing w:line="240" w:lineRule="exact"/>
    </w:pPr>
    <w:rPr>
      <w:rFonts w:ascii="Times New Roman" w:eastAsia="SimSun" w:hAnsi="Times New Roman" w:cs="Times New Roman"/>
      <w:sz w:val="28"/>
      <w:szCs w:val="20"/>
      <w:lang w:val="en-US"/>
    </w:rPr>
  </w:style>
  <w:style w:type="paragraph" w:styleId="af">
    <w:name w:val="Subtitle"/>
    <w:basedOn w:val="a"/>
    <w:link w:val="af0"/>
    <w:qFormat/>
    <w:rsid w:val="007A77E7"/>
    <w:pPr>
      <w:spacing w:before="120" w:after="0" w:line="240" w:lineRule="auto"/>
      <w:jc w:val="center"/>
    </w:pPr>
    <w:rPr>
      <w:rFonts w:ascii="Times New Roman" w:eastAsia="Calibri" w:hAnsi="Times New Roman" w:cs="Times New Roman"/>
      <w:b/>
      <w:bCs/>
      <w:sz w:val="24"/>
      <w:szCs w:val="24"/>
      <w:lang w:eastAsia="ru-RU"/>
    </w:rPr>
  </w:style>
  <w:style w:type="character" w:customStyle="1" w:styleId="af0">
    <w:name w:val="Подзаголовок Знак"/>
    <w:basedOn w:val="a0"/>
    <w:link w:val="af"/>
    <w:rsid w:val="007A77E7"/>
    <w:rPr>
      <w:rFonts w:ascii="Times New Roman" w:eastAsia="Calibri" w:hAnsi="Times New Roman" w:cs="Times New Roman"/>
      <w:b/>
      <w:bCs/>
      <w:sz w:val="24"/>
      <w:szCs w:val="24"/>
      <w:lang w:eastAsia="ru-RU"/>
    </w:rPr>
  </w:style>
  <w:style w:type="character" w:customStyle="1" w:styleId="af1">
    <w:name w:val="Основной текст_"/>
    <w:link w:val="26"/>
    <w:locked/>
    <w:rsid w:val="007A77E7"/>
    <w:rPr>
      <w:sz w:val="24"/>
      <w:shd w:val="clear" w:color="auto" w:fill="FFFFFF"/>
    </w:rPr>
  </w:style>
  <w:style w:type="paragraph" w:customStyle="1" w:styleId="26">
    <w:name w:val="Основной текст2"/>
    <w:basedOn w:val="a"/>
    <w:link w:val="af1"/>
    <w:rsid w:val="007A77E7"/>
    <w:pPr>
      <w:shd w:val="clear" w:color="auto" w:fill="FFFFFF"/>
      <w:spacing w:before="60" w:after="0" w:line="320" w:lineRule="exact"/>
      <w:ind w:firstLine="700"/>
      <w:jc w:val="both"/>
    </w:pPr>
    <w:rPr>
      <w:sz w:val="24"/>
      <w:shd w:val="clear" w:color="auto" w:fill="FFFFFF"/>
    </w:rPr>
  </w:style>
  <w:style w:type="paragraph" w:customStyle="1" w:styleId="text-1">
    <w:name w:val="text-1"/>
    <w:basedOn w:val="a"/>
    <w:rsid w:val="007A77E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harChar1">
    <w:name w:val="Char Char1"/>
    <w:basedOn w:val="a"/>
    <w:autoRedefine/>
    <w:uiPriority w:val="99"/>
    <w:rsid w:val="007A77E7"/>
    <w:pPr>
      <w:spacing w:line="240" w:lineRule="exact"/>
    </w:pPr>
    <w:rPr>
      <w:rFonts w:ascii="Times New Roman" w:eastAsia="SimSun" w:hAnsi="Times New Roman" w:cs="Times New Roman"/>
      <w:sz w:val="28"/>
      <w:szCs w:val="20"/>
      <w:lang w:val="en-US"/>
    </w:rPr>
  </w:style>
  <w:style w:type="paragraph" w:customStyle="1" w:styleId="ConsNormal">
    <w:name w:val="ConsNormal"/>
    <w:rsid w:val="007A77E7"/>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ConsPlusTitle">
    <w:name w:val="ConsPlusTitle"/>
    <w:rsid w:val="007A77E7"/>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western">
    <w:name w:val="western"/>
    <w:basedOn w:val="a"/>
    <w:rsid w:val="007A77E7"/>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2">
    <w:name w:val="Hyperlink"/>
    <w:uiPriority w:val="99"/>
    <w:rsid w:val="007A77E7"/>
    <w:rPr>
      <w:color w:val="0000FF"/>
      <w:u w:val="single"/>
    </w:rPr>
  </w:style>
  <w:style w:type="paragraph" w:styleId="af3">
    <w:name w:val="footnote text"/>
    <w:basedOn w:val="a"/>
    <w:link w:val="af4"/>
    <w:uiPriority w:val="99"/>
    <w:rsid w:val="007A77E7"/>
    <w:pPr>
      <w:spacing w:after="0" w:line="240" w:lineRule="auto"/>
    </w:pPr>
    <w:rPr>
      <w:rFonts w:ascii="Times New Roman" w:eastAsia="Calibri" w:hAnsi="Times New Roman" w:cs="Times New Roman"/>
      <w:sz w:val="20"/>
      <w:szCs w:val="20"/>
      <w:lang w:eastAsia="ru-RU"/>
    </w:rPr>
  </w:style>
  <w:style w:type="character" w:customStyle="1" w:styleId="af4">
    <w:name w:val="Текст сноски Знак"/>
    <w:basedOn w:val="a0"/>
    <w:link w:val="af3"/>
    <w:uiPriority w:val="99"/>
    <w:rsid w:val="007A77E7"/>
    <w:rPr>
      <w:rFonts w:ascii="Times New Roman" w:eastAsia="Calibri" w:hAnsi="Times New Roman" w:cs="Times New Roman"/>
      <w:sz w:val="20"/>
      <w:szCs w:val="20"/>
      <w:lang w:eastAsia="ru-RU"/>
    </w:rPr>
  </w:style>
  <w:style w:type="character" w:styleId="af5">
    <w:name w:val="footnote reference"/>
    <w:link w:val="13"/>
    <w:uiPriority w:val="99"/>
    <w:qFormat/>
    <w:rsid w:val="007A77E7"/>
    <w:rPr>
      <w:vertAlign w:val="superscript"/>
    </w:rPr>
  </w:style>
  <w:style w:type="paragraph" w:styleId="af6">
    <w:name w:val="Balloon Text"/>
    <w:basedOn w:val="a"/>
    <w:link w:val="af7"/>
    <w:uiPriority w:val="99"/>
    <w:rsid w:val="007A77E7"/>
    <w:pPr>
      <w:widowControl w:val="0"/>
      <w:autoSpaceDE w:val="0"/>
      <w:autoSpaceDN w:val="0"/>
      <w:adjustRightInd w:val="0"/>
      <w:spacing w:after="0" w:line="240" w:lineRule="auto"/>
    </w:pPr>
    <w:rPr>
      <w:rFonts w:ascii="Tahoma" w:eastAsia="Calibri" w:hAnsi="Tahoma" w:cs="Times New Roman"/>
      <w:sz w:val="16"/>
      <w:szCs w:val="16"/>
      <w:lang w:eastAsia="ru-RU"/>
    </w:rPr>
  </w:style>
  <w:style w:type="character" w:customStyle="1" w:styleId="af7">
    <w:name w:val="Текст выноски Знак"/>
    <w:basedOn w:val="a0"/>
    <w:link w:val="af6"/>
    <w:uiPriority w:val="99"/>
    <w:rsid w:val="007A77E7"/>
    <w:rPr>
      <w:rFonts w:ascii="Tahoma" w:eastAsia="Calibri" w:hAnsi="Tahoma" w:cs="Times New Roman"/>
      <w:sz w:val="16"/>
      <w:szCs w:val="16"/>
      <w:lang w:eastAsia="ru-RU"/>
    </w:rPr>
  </w:style>
  <w:style w:type="paragraph" w:customStyle="1" w:styleId="27">
    <w:name w:val="Абзац списка2"/>
    <w:basedOn w:val="a"/>
    <w:rsid w:val="007A77E7"/>
    <w:pPr>
      <w:spacing w:after="0" w:line="240" w:lineRule="auto"/>
      <w:ind w:left="720"/>
      <w:contextualSpacing/>
      <w:jc w:val="both"/>
    </w:pPr>
    <w:rPr>
      <w:rFonts w:ascii="Times New Roman" w:eastAsia="Calibri" w:hAnsi="Times New Roman" w:cs="Times New Roman"/>
      <w:sz w:val="24"/>
      <w:szCs w:val="24"/>
      <w:lang w:eastAsia="ru-RU"/>
    </w:rPr>
  </w:style>
  <w:style w:type="character" w:customStyle="1" w:styleId="af8">
    <w:name w:val="Знак Знак Знак Знак Знак"/>
    <w:aliases w:val="Знак Знак Знак Знак Знак1"/>
    <w:uiPriority w:val="99"/>
    <w:rsid w:val="007A77E7"/>
    <w:rPr>
      <w:sz w:val="28"/>
      <w:lang w:val="ru-RU" w:eastAsia="ru-RU"/>
    </w:rPr>
  </w:style>
  <w:style w:type="paragraph" w:customStyle="1" w:styleId="33">
    <w:name w:val="Знак Знак3"/>
    <w:basedOn w:val="a"/>
    <w:autoRedefine/>
    <w:rsid w:val="007A77E7"/>
    <w:pPr>
      <w:spacing w:line="240" w:lineRule="exact"/>
    </w:pPr>
    <w:rPr>
      <w:rFonts w:ascii="Times New Roman" w:eastAsia="SimSun" w:hAnsi="Times New Roman" w:cs="Times New Roman"/>
      <w:sz w:val="28"/>
      <w:szCs w:val="20"/>
      <w:lang w:val="en-US"/>
    </w:rPr>
  </w:style>
  <w:style w:type="character" w:styleId="af9">
    <w:name w:val="Strong"/>
    <w:uiPriority w:val="22"/>
    <w:qFormat/>
    <w:rsid w:val="007A77E7"/>
    <w:rPr>
      <w:b/>
    </w:rPr>
  </w:style>
  <w:style w:type="character" w:customStyle="1" w:styleId="TitleChar">
    <w:name w:val="Title Char"/>
    <w:aliases w:val="Знак Знак Знак Знак Char,Знак Знак Знак Char,Заголовок Char,Знак Знак Char"/>
    <w:locked/>
    <w:rsid w:val="007A77E7"/>
    <w:rPr>
      <w:rFonts w:eastAsia="Times New Roman"/>
      <w:sz w:val="20"/>
      <w:lang w:val="x-none" w:eastAsia="ru-RU"/>
    </w:rPr>
  </w:style>
  <w:style w:type="paragraph" w:customStyle="1" w:styleId="14">
    <w:name w:val="Без интервала1"/>
    <w:link w:val="NoSpacingChar1"/>
    <w:qFormat/>
    <w:rsid w:val="007A77E7"/>
    <w:pPr>
      <w:spacing w:after="0" w:line="240" w:lineRule="auto"/>
      <w:ind w:left="567" w:right="641"/>
      <w:jc w:val="both"/>
    </w:pPr>
    <w:rPr>
      <w:rFonts w:ascii="Calibri" w:eastAsia="Calibri" w:hAnsi="Calibri" w:cs="Calibri"/>
    </w:rPr>
  </w:style>
  <w:style w:type="character" w:customStyle="1" w:styleId="NoSpacingChar1">
    <w:name w:val="No Spacing Char1"/>
    <w:link w:val="14"/>
    <w:locked/>
    <w:rsid w:val="007A77E7"/>
    <w:rPr>
      <w:rFonts w:ascii="Calibri" w:eastAsia="Calibri" w:hAnsi="Calibri" w:cs="Calibri"/>
    </w:rPr>
  </w:style>
  <w:style w:type="character" w:customStyle="1" w:styleId="NoSpacingChar">
    <w:name w:val="No Spacing Char"/>
    <w:locked/>
    <w:rsid w:val="007A77E7"/>
    <w:rPr>
      <w:rFonts w:ascii="Calibri" w:eastAsia="Times New Roman" w:hAnsi="Calibri" w:cs="Calibri"/>
    </w:rPr>
  </w:style>
  <w:style w:type="character" w:styleId="afa">
    <w:name w:val="FollowedHyperlink"/>
    <w:rsid w:val="007A77E7"/>
    <w:rPr>
      <w:color w:val="800080"/>
      <w:u w:val="single"/>
    </w:rPr>
  </w:style>
  <w:style w:type="character" w:styleId="afb">
    <w:name w:val="Emphasis"/>
    <w:qFormat/>
    <w:rsid w:val="007A77E7"/>
    <w:rPr>
      <w:i/>
    </w:rPr>
  </w:style>
  <w:style w:type="character" w:customStyle="1" w:styleId="Heading1Char">
    <w:name w:val="Heading 1 Char"/>
    <w:locked/>
    <w:rsid w:val="007A77E7"/>
    <w:rPr>
      <w:rFonts w:ascii="Times New Roman" w:hAnsi="Times New Roman"/>
      <w:b/>
      <w:caps/>
      <w:spacing w:val="60"/>
      <w:sz w:val="28"/>
      <w:lang w:val="x-none" w:eastAsia="ru-RU"/>
    </w:rPr>
  </w:style>
  <w:style w:type="character" w:customStyle="1" w:styleId="Heading2Char">
    <w:name w:val="Heading 2 Char"/>
    <w:locked/>
    <w:rsid w:val="007A77E7"/>
    <w:rPr>
      <w:rFonts w:ascii="Times New Roman" w:hAnsi="Times New Roman"/>
      <w:b/>
      <w:caps/>
      <w:sz w:val="28"/>
      <w:lang w:val="x-none" w:eastAsia="ru-RU"/>
    </w:rPr>
  </w:style>
  <w:style w:type="character" w:customStyle="1" w:styleId="Heading3Char">
    <w:name w:val="Heading 3 Char"/>
    <w:locked/>
    <w:rsid w:val="007A77E7"/>
    <w:rPr>
      <w:rFonts w:ascii="Times New Roman" w:hAnsi="Times New Roman"/>
      <w:b/>
      <w:sz w:val="28"/>
      <w:lang w:val="x-none" w:eastAsia="ru-RU"/>
    </w:rPr>
  </w:style>
  <w:style w:type="character" w:customStyle="1" w:styleId="Heading4Char">
    <w:name w:val="Heading 4 Char"/>
    <w:locked/>
    <w:rsid w:val="007A77E7"/>
    <w:rPr>
      <w:rFonts w:ascii="Times New Roman" w:hAnsi="Times New Roman"/>
      <w:b/>
      <w:sz w:val="28"/>
      <w:lang w:val="x-none" w:eastAsia="ru-RU"/>
    </w:rPr>
  </w:style>
  <w:style w:type="character" w:customStyle="1" w:styleId="Heading5Char">
    <w:name w:val="Heading 5 Char"/>
    <w:locked/>
    <w:rsid w:val="007A77E7"/>
    <w:rPr>
      <w:rFonts w:ascii="Times New Roman" w:hAnsi="Times New Roman"/>
      <w:b/>
      <w:i/>
      <w:sz w:val="26"/>
      <w:lang w:val="x-none" w:eastAsia="ru-RU"/>
    </w:rPr>
  </w:style>
  <w:style w:type="character" w:customStyle="1" w:styleId="Heading6Char">
    <w:name w:val="Heading 6 Char"/>
    <w:locked/>
    <w:rsid w:val="007A77E7"/>
    <w:rPr>
      <w:rFonts w:ascii="Times New Roman" w:hAnsi="Times New Roman"/>
      <w:i/>
      <w:sz w:val="28"/>
      <w:lang w:val="x-none" w:eastAsia="ru-RU"/>
    </w:rPr>
  </w:style>
  <w:style w:type="character" w:customStyle="1" w:styleId="Heading7Char">
    <w:name w:val="Heading 7 Char"/>
    <w:locked/>
    <w:rsid w:val="007A77E7"/>
    <w:rPr>
      <w:rFonts w:ascii="Times New Roman" w:hAnsi="Times New Roman"/>
      <w:sz w:val="28"/>
      <w:lang w:val="x-none" w:eastAsia="ru-RU"/>
    </w:rPr>
  </w:style>
  <w:style w:type="character" w:customStyle="1" w:styleId="Heading8Char">
    <w:name w:val="Heading 8 Char"/>
    <w:locked/>
    <w:rsid w:val="007A77E7"/>
    <w:rPr>
      <w:rFonts w:ascii="Times New Roman" w:hAnsi="Times New Roman"/>
      <w:i/>
      <w:sz w:val="24"/>
      <w:lang w:val="x-none" w:eastAsia="ru-RU"/>
    </w:rPr>
  </w:style>
  <w:style w:type="character" w:customStyle="1" w:styleId="Heading9Char">
    <w:name w:val="Heading 9 Char"/>
    <w:locked/>
    <w:rsid w:val="007A77E7"/>
    <w:rPr>
      <w:rFonts w:ascii="Arial" w:hAnsi="Arial"/>
      <w:lang w:val="x-none" w:eastAsia="ru-RU"/>
    </w:rPr>
  </w:style>
  <w:style w:type="character" w:customStyle="1" w:styleId="FooterChar">
    <w:name w:val="Footer Char"/>
    <w:locked/>
    <w:rsid w:val="007A77E7"/>
    <w:rPr>
      <w:rFonts w:ascii="Times New Roman" w:hAnsi="Times New Roman"/>
      <w:sz w:val="20"/>
      <w:lang w:val="x-none" w:eastAsia="ru-RU"/>
    </w:rPr>
  </w:style>
  <w:style w:type="paragraph" w:customStyle="1" w:styleId="34">
    <w:name w:val="Абзац списка3"/>
    <w:basedOn w:val="a"/>
    <w:rsid w:val="007A77E7"/>
    <w:pPr>
      <w:spacing w:after="0" w:line="240" w:lineRule="auto"/>
      <w:ind w:left="720"/>
      <w:contextualSpacing/>
      <w:jc w:val="both"/>
    </w:pPr>
    <w:rPr>
      <w:rFonts w:ascii="Times New Roman" w:eastAsia="Times New Roman" w:hAnsi="Times New Roman" w:cs="Times New Roman"/>
      <w:sz w:val="24"/>
      <w:szCs w:val="24"/>
      <w:lang w:eastAsia="ru-RU"/>
    </w:rPr>
  </w:style>
  <w:style w:type="character" w:customStyle="1" w:styleId="BodyTextChar">
    <w:name w:val="Body Text Char"/>
    <w:locked/>
    <w:rsid w:val="007A77E7"/>
    <w:rPr>
      <w:rFonts w:ascii="Times New Roman" w:hAnsi="Times New Roman"/>
      <w:sz w:val="20"/>
      <w:lang w:val="x-none" w:eastAsia="ru-RU"/>
    </w:rPr>
  </w:style>
  <w:style w:type="character" w:customStyle="1" w:styleId="BodyText2Char">
    <w:name w:val="Body Text 2 Char"/>
    <w:locked/>
    <w:rsid w:val="007A77E7"/>
    <w:rPr>
      <w:rFonts w:ascii="Times New Roman" w:hAnsi="Times New Roman"/>
      <w:sz w:val="20"/>
      <w:lang w:val="x-none" w:eastAsia="ru-RU"/>
    </w:rPr>
  </w:style>
  <w:style w:type="character" w:customStyle="1" w:styleId="HeaderChar">
    <w:name w:val="Header Char"/>
    <w:locked/>
    <w:rsid w:val="007A77E7"/>
    <w:rPr>
      <w:rFonts w:ascii="Times New Roman" w:hAnsi="Times New Roman"/>
      <w:sz w:val="20"/>
      <w:lang w:val="x-none" w:eastAsia="ru-RU"/>
    </w:rPr>
  </w:style>
  <w:style w:type="character" w:customStyle="1" w:styleId="SubtitleChar">
    <w:name w:val="Subtitle Char"/>
    <w:locked/>
    <w:rsid w:val="007A77E7"/>
    <w:rPr>
      <w:rFonts w:ascii="Times New Roman" w:hAnsi="Times New Roman"/>
      <w:b/>
      <w:sz w:val="24"/>
      <w:lang w:val="x-none" w:eastAsia="ru-RU"/>
    </w:rPr>
  </w:style>
  <w:style w:type="character" w:customStyle="1" w:styleId="FootnoteTextChar">
    <w:name w:val="Footnote Text Char"/>
    <w:locked/>
    <w:rsid w:val="007A77E7"/>
    <w:rPr>
      <w:rFonts w:ascii="Times New Roman" w:hAnsi="Times New Roman"/>
      <w:sz w:val="20"/>
      <w:lang w:val="x-none" w:eastAsia="ru-RU"/>
    </w:rPr>
  </w:style>
  <w:style w:type="character" w:customStyle="1" w:styleId="28">
    <w:name w:val="Основной текст (2)_"/>
    <w:link w:val="29"/>
    <w:locked/>
    <w:rsid w:val="007A77E7"/>
    <w:rPr>
      <w:sz w:val="26"/>
      <w:shd w:val="clear" w:color="auto" w:fill="FFFFFF"/>
    </w:rPr>
  </w:style>
  <w:style w:type="paragraph" w:customStyle="1" w:styleId="29">
    <w:name w:val="Основной текст (2)"/>
    <w:basedOn w:val="a"/>
    <w:link w:val="28"/>
    <w:rsid w:val="007A77E7"/>
    <w:pPr>
      <w:widowControl w:val="0"/>
      <w:shd w:val="clear" w:color="auto" w:fill="FFFFFF"/>
      <w:spacing w:before="420" w:after="480" w:line="240" w:lineRule="atLeast"/>
      <w:jc w:val="both"/>
    </w:pPr>
    <w:rPr>
      <w:sz w:val="26"/>
      <w:shd w:val="clear" w:color="auto" w:fill="FFFFFF"/>
    </w:rPr>
  </w:style>
  <w:style w:type="character" w:customStyle="1" w:styleId="215pt">
    <w:name w:val="Основной текст (2) + 15 pt"/>
    <w:aliases w:val="Полужирный,Интервал -1 pt"/>
    <w:rsid w:val="007A77E7"/>
    <w:rPr>
      <w:b/>
      <w:color w:val="000000"/>
      <w:spacing w:val="-20"/>
      <w:w w:val="100"/>
      <w:position w:val="0"/>
      <w:sz w:val="30"/>
      <w:u w:val="none"/>
      <w:shd w:val="clear" w:color="auto" w:fill="FFFFFF"/>
      <w:lang w:val="ru-RU" w:eastAsia="ru-RU"/>
    </w:rPr>
  </w:style>
  <w:style w:type="paragraph" w:customStyle="1" w:styleId="ConsPlusTitlePage">
    <w:name w:val="ConsPlusTitlePage"/>
    <w:rsid w:val="007A77E7"/>
    <w:pPr>
      <w:widowControl w:val="0"/>
      <w:autoSpaceDE w:val="0"/>
      <w:autoSpaceDN w:val="0"/>
      <w:spacing w:after="0" w:line="240" w:lineRule="auto"/>
    </w:pPr>
    <w:rPr>
      <w:rFonts w:ascii="Tahoma" w:eastAsia="Calibri" w:hAnsi="Tahoma" w:cs="Tahoma"/>
      <w:sz w:val="20"/>
      <w:szCs w:val="20"/>
      <w:lang w:eastAsia="ru-RU"/>
    </w:rPr>
  </w:style>
  <w:style w:type="character" w:customStyle="1" w:styleId="15">
    <w:name w:val="Название Знак1"/>
    <w:uiPriority w:val="10"/>
    <w:rsid w:val="007A77E7"/>
    <w:rPr>
      <w:rFonts w:ascii="Calibri Light" w:hAnsi="Calibri Light" w:cs="Times New Roman"/>
      <w:spacing w:val="-10"/>
      <w:kern w:val="28"/>
      <w:sz w:val="56"/>
      <w:szCs w:val="56"/>
    </w:rPr>
  </w:style>
  <w:style w:type="character" w:customStyle="1" w:styleId="apple-converted-space">
    <w:name w:val="apple-converted-space"/>
    <w:rsid w:val="007A77E7"/>
    <w:rPr>
      <w:rFonts w:cs="Times New Roman"/>
    </w:rPr>
  </w:style>
  <w:style w:type="paragraph" w:styleId="afc">
    <w:name w:val="annotation text"/>
    <w:basedOn w:val="a"/>
    <w:link w:val="afd"/>
    <w:uiPriority w:val="99"/>
    <w:semiHidden/>
    <w:rsid w:val="007A77E7"/>
    <w:pPr>
      <w:spacing w:after="0" w:line="240" w:lineRule="auto"/>
    </w:pPr>
    <w:rPr>
      <w:rFonts w:ascii="Times New Roman" w:eastAsia="Calibri" w:hAnsi="Times New Roman" w:cs="Times New Roman"/>
      <w:sz w:val="20"/>
      <w:szCs w:val="20"/>
      <w:lang w:eastAsia="ru-RU"/>
    </w:rPr>
  </w:style>
  <w:style w:type="character" w:customStyle="1" w:styleId="afd">
    <w:name w:val="Текст примечания Знак"/>
    <w:basedOn w:val="a0"/>
    <w:link w:val="afc"/>
    <w:uiPriority w:val="99"/>
    <w:semiHidden/>
    <w:rsid w:val="007A77E7"/>
    <w:rPr>
      <w:rFonts w:ascii="Times New Roman" w:eastAsia="Calibri" w:hAnsi="Times New Roman" w:cs="Times New Roman"/>
      <w:sz w:val="20"/>
      <w:szCs w:val="20"/>
      <w:lang w:eastAsia="ru-RU"/>
    </w:rPr>
  </w:style>
  <w:style w:type="paragraph" w:styleId="afe">
    <w:name w:val="annotation subject"/>
    <w:basedOn w:val="afc"/>
    <w:next w:val="afc"/>
    <w:link w:val="aff"/>
    <w:uiPriority w:val="99"/>
    <w:semiHidden/>
    <w:rsid w:val="007A77E7"/>
    <w:rPr>
      <w:b/>
      <w:bCs/>
    </w:rPr>
  </w:style>
  <w:style w:type="character" w:customStyle="1" w:styleId="aff">
    <w:name w:val="Тема примечания Знак"/>
    <w:basedOn w:val="afd"/>
    <w:link w:val="afe"/>
    <w:uiPriority w:val="99"/>
    <w:semiHidden/>
    <w:rsid w:val="007A77E7"/>
    <w:rPr>
      <w:rFonts w:ascii="Times New Roman" w:eastAsia="Calibri" w:hAnsi="Times New Roman" w:cs="Times New Roman"/>
      <w:b/>
      <w:bCs/>
      <w:sz w:val="20"/>
      <w:szCs w:val="20"/>
      <w:lang w:eastAsia="ru-RU"/>
    </w:rPr>
  </w:style>
  <w:style w:type="character" w:customStyle="1" w:styleId="FontStyle12">
    <w:name w:val="Font Style12"/>
    <w:uiPriority w:val="99"/>
    <w:rsid w:val="007A77E7"/>
    <w:rPr>
      <w:rFonts w:ascii="Times New Roman" w:hAnsi="Times New Roman" w:cs="Times New Roman"/>
      <w:b/>
      <w:bCs/>
      <w:sz w:val="26"/>
      <w:szCs w:val="26"/>
    </w:rPr>
  </w:style>
  <w:style w:type="paragraph" w:customStyle="1" w:styleId="ConsPlusCell">
    <w:name w:val="ConsPlusCell"/>
    <w:uiPriority w:val="99"/>
    <w:rsid w:val="007A77E7"/>
    <w:pPr>
      <w:autoSpaceDE w:val="0"/>
      <w:autoSpaceDN w:val="0"/>
      <w:adjustRightInd w:val="0"/>
      <w:spacing w:after="0" w:line="240" w:lineRule="auto"/>
    </w:pPr>
    <w:rPr>
      <w:rFonts w:ascii="Arial" w:eastAsia="Calibri" w:hAnsi="Arial" w:cs="Arial"/>
      <w:sz w:val="20"/>
      <w:szCs w:val="20"/>
      <w:lang w:eastAsia="ru-RU"/>
    </w:rPr>
  </w:style>
  <w:style w:type="character" w:customStyle="1" w:styleId="aff0">
    <w:name w:val="ОТЧЕТ Знак Знак"/>
    <w:link w:val="aff1"/>
    <w:locked/>
    <w:rsid w:val="007A77E7"/>
    <w:rPr>
      <w:b/>
      <w:lang w:val="x-none" w:eastAsia="x-none"/>
    </w:rPr>
  </w:style>
  <w:style w:type="paragraph" w:customStyle="1" w:styleId="aff1">
    <w:name w:val="ОТЧЕТ Знак"/>
    <w:basedOn w:val="1"/>
    <w:link w:val="aff0"/>
    <w:rsid w:val="007A77E7"/>
    <w:pPr>
      <w:keepNext/>
      <w:numPr>
        <w:numId w:val="0"/>
      </w:numPr>
      <w:overflowPunct/>
      <w:autoSpaceDE/>
      <w:autoSpaceDN/>
      <w:adjustRightInd/>
      <w:ind w:right="0"/>
      <w:textAlignment w:val="auto"/>
    </w:pPr>
    <w:rPr>
      <w:rFonts w:asciiTheme="minorHAnsi" w:eastAsiaTheme="minorHAnsi" w:hAnsiTheme="minorHAnsi" w:cstheme="minorBidi"/>
      <w:bCs w:val="0"/>
      <w:caps w:val="0"/>
      <w:spacing w:val="0"/>
      <w:sz w:val="22"/>
      <w:szCs w:val="22"/>
      <w:lang w:val="x-none" w:eastAsia="x-none"/>
    </w:rPr>
  </w:style>
  <w:style w:type="character" w:customStyle="1" w:styleId="FontStyle13">
    <w:name w:val="Font Style13"/>
    <w:uiPriority w:val="99"/>
    <w:rsid w:val="007A77E7"/>
    <w:rPr>
      <w:rFonts w:ascii="Times New Roman" w:hAnsi="Times New Roman"/>
      <w:color w:val="000000"/>
      <w:spacing w:val="10"/>
      <w:sz w:val="18"/>
    </w:rPr>
  </w:style>
  <w:style w:type="character" w:customStyle="1" w:styleId="41">
    <w:name w:val="Основной текст (4)_"/>
    <w:link w:val="42"/>
    <w:locked/>
    <w:rsid w:val="007A77E7"/>
    <w:rPr>
      <w:sz w:val="28"/>
      <w:shd w:val="clear" w:color="auto" w:fill="FFFFFF"/>
    </w:rPr>
  </w:style>
  <w:style w:type="paragraph" w:customStyle="1" w:styleId="42">
    <w:name w:val="Основной текст (4)"/>
    <w:basedOn w:val="a"/>
    <w:link w:val="41"/>
    <w:rsid w:val="007A77E7"/>
    <w:pPr>
      <w:widowControl w:val="0"/>
      <w:shd w:val="clear" w:color="auto" w:fill="FFFFFF"/>
      <w:spacing w:before="60" w:after="720" w:line="240" w:lineRule="atLeast"/>
      <w:jc w:val="center"/>
    </w:pPr>
    <w:rPr>
      <w:sz w:val="28"/>
      <w:shd w:val="clear" w:color="auto" w:fill="FFFFFF"/>
    </w:rPr>
  </w:style>
  <w:style w:type="paragraph" w:customStyle="1" w:styleId="16">
    <w:name w:val="Должность1"/>
    <w:basedOn w:val="a"/>
    <w:rsid w:val="007A77E7"/>
    <w:pPr>
      <w:overflowPunct w:val="0"/>
      <w:autoSpaceDE w:val="0"/>
      <w:autoSpaceDN w:val="0"/>
      <w:adjustRightInd w:val="0"/>
      <w:spacing w:after="0" w:line="240" w:lineRule="auto"/>
      <w:textAlignment w:val="baseline"/>
    </w:pPr>
    <w:rPr>
      <w:rFonts w:ascii="Times New Roman" w:eastAsia="Calibri" w:hAnsi="Times New Roman" w:cs="Times New Roman"/>
      <w:sz w:val="28"/>
      <w:szCs w:val="28"/>
      <w:lang w:eastAsia="ru-RU"/>
    </w:rPr>
  </w:style>
  <w:style w:type="character" w:customStyle="1" w:styleId="iceouttxt4">
    <w:name w:val="iceouttxt4"/>
    <w:rsid w:val="007A77E7"/>
    <w:rPr>
      <w:rFonts w:cs="Times New Roman"/>
    </w:rPr>
  </w:style>
  <w:style w:type="paragraph" w:customStyle="1" w:styleId="justifyfull">
    <w:name w:val="justifyfull"/>
    <w:basedOn w:val="a"/>
    <w:rsid w:val="007A77E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ink">
    <w:name w:val="link"/>
    <w:rsid w:val="007A77E7"/>
    <w:rPr>
      <w:rFonts w:cs="Times New Roman"/>
    </w:rPr>
  </w:style>
  <w:style w:type="character" w:customStyle="1" w:styleId="17">
    <w:name w:val="Основной текст Знак1"/>
    <w:uiPriority w:val="99"/>
    <w:locked/>
    <w:rsid w:val="007A77E7"/>
    <w:rPr>
      <w:rFonts w:ascii="Times New Roman" w:hAnsi="Times New Roman" w:cs="Times New Roman"/>
      <w:spacing w:val="10"/>
      <w:shd w:val="clear" w:color="auto" w:fill="FFFFFF"/>
    </w:rPr>
  </w:style>
  <w:style w:type="paragraph" w:styleId="aff2">
    <w:name w:val="Title"/>
    <w:basedOn w:val="a"/>
    <w:next w:val="ab"/>
    <w:link w:val="aff3"/>
    <w:uiPriority w:val="10"/>
    <w:qFormat/>
    <w:rsid w:val="007A77E7"/>
    <w:pPr>
      <w:keepNext/>
      <w:suppressAutoHyphens/>
      <w:spacing w:before="240" w:after="120"/>
    </w:pPr>
    <w:rPr>
      <w:rFonts w:ascii="Liberation Sans" w:eastAsia="Microsoft YaHei" w:hAnsi="Liberation Sans" w:cs="Arial"/>
      <w:sz w:val="28"/>
      <w:szCs w:val="28"/>
    </w:rPr>
  </w:style>
  <w:style w:type="character" w:customStyle="1" w:styleId="aff3">
    <w:name w:val="Заголовок Знак"/>
    <w:basedOn w:val="a0"/>
    <w:link w:val="aff2"/>
    <w:uiPriority w:val="99"/>
    <w:rsid w:val="007A77E7"/>
    <w:rPr>
      <w:rFonts w:ascii="Liberation Sans" w:eastAsia="Microsoft YaHei" w:hAnsi="Liberation Sans" w:cs="Arial"/>
      <w:sz w:val="28"/>
      <w:szCs w:val="28"/>
    </w:rPr>
  </w:style>
  <w:style w:type="paragraph" w:styleId="aff4">
    <w:name w:val="List Paragraph"/>
    <w:basedOn w:val="a"/>
    <w:uiPriority w:val="34"/>
    <w:qFormat/>
    <w:rsid w:val="007A77E7"/>
    <w:pPr>
      <w:spacing w:after="0" w:line="240" w:lineRule="auto"/>
      <w:ind w:left="720"/>
      <w:contextualSpacing/>
      <w:jc w:val="both"/>
    </w:pPr>
    <w:rPr>
      <w:rFonts w:ascii="Times New Roman" w:eastAsia="Times New Roman" w:hAnsi="Times New Roman" w:cs="Times New Roman"/>
      <w:sz w:val="24"/>
      <w:szCs w:val="24"/>
      <w:lang w:eastAsia="ru-RU"/>
    </w:rPr>
  </w:style>
  <w:style w:type="table" w:styleId="aff5">
    <w:name w:val="Table Grid"/>
    <w:basedOn w:val="a1"/>
    <w:uiPriority w:val="39"/>
    <w:rsid w:val="007A77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 Spacing"/>
    <w:link w:val="aff7"/>
    <w:uiPriority w:val="1"/>
    <w:qFormat/>
    <w:rsid w:val="007A77E7"/>
    <w:pPr>
      <w:spacing w:after="0" w:line="240" w:lineRule="auto"/>
      <w:ind w:left="567" w:right="641"/>
      <w:jc w:val="both"/>
    </w:pPr>
    <w:rPr>
      <w:rFonts w:ascii="Calibri" w:eastAsia="Times New Roman" w:hAnsi="Calibri" w:cs="Calibri"/>
    </w:rPr>
  </w:style>
  <w:style w:type="character" w:customStyle="1" w:styleId="aff7">
    <w:name w:val="Без интервала Знак"/>
    <w:link w:val="aff6"/>
    <w:uiPriority w:val="1"/>
    <w:locked/>
    <w:rsid w:val="007A77E7"/>
    <w:rPr>
      <w:rFonts w:ascii="Calibri" w:eastAsia="Times New Roman" w:hAnsi="Calibri" w:cs="Calibri"/>
    </w:rPr>
  </w:style>
  <w:style w:type="table" w:customStyle="1" w:styleId="18">
    <w:name w:val="Сетка таблицы1"/>
    <w:basedOn w:val="a1"/>
    <w:next w:val="aff5"/>
    <w:uiPriority w:val="39"/>
    <w:rsid w:val="007A77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7A7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
    <w:rsid w:val="007A77E7"/>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92">
    <w:name w:val="xl92"/>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3">
    <w:name w:val="xl93"/>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4">
    <w:name w:val="xl94"/>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lang w:eastAsia="ru-RU"/>
    </w:rPr>
  </w:style>
  <w:style w:type="paragraph" w:customStyle="1" w:styleId="xl95">
    <w:name w:val="xl95"/>
    <w:basedOn w:val="a"/>
    <w:rsid w:val="007A77E7"/>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6">
    <w:name w:val="xl96"/>
    <w:basedOn w:val="a"/>
    <w:rsid w:val="007A77E7"/>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7A77E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7A77E7"/>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7A7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a"/>
    <w:rsid w:val="007A7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2">
    <w:name w:val="xl102"/>
    <w:basedOn w:val="a"/>
    <w:rsid w:val="007A77E7"/>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7A77E7"/>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04">
    <w:name w:val="xl104"/>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5">
    <w:name w:val="xl105"/>
    <w:basedOn w:val="a"/>
    <w:rsid w:val="007A77E7"/>
    <w:pPr>
      <w:pBdr>
        <w:top w:val="single" w:sz="4" w:space="0" w:color="000000"/>
        <w:left w:val="single" w:sz="4" w:space="0" w:color="000000"/>
        <w:bottom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6">
    <w:name w:val="xl106"/>
    <w:basedOn w:val="a"/>
    <w:rsid w:val="007A7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7">
    <w:name w:val="xl107"/>
    <w:basedOn w:val="a"/>
    <w:rsid w:val="007A77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08">
    <w:name w:val="xl108"/>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109">
    <w:name w:val="xl109"/>
    <w:basedOn w:val="a"/>
    <w:rsid w:val="007A77E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0">
    <w:name w:val="xl110"/>
    <w:basedOn w:val="a"/>
    <w:rsid w:val="007A77E7"/>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11">
    <w:name w:val="xl111"/>
    <w:basedOn w:val="a"/>
    <w:rsid w:val="007A77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112">
    <w:name w:val="xl112"/>
    <w:basedOn w:val="a"/>
    <w:rsid w:val="007A77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13">
    <w:name w:val="xl113"/>
    <w:basedOn w:val="a"/>
    <w:rsid w:val="007A77E7"/>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14">
    <w:name w:val="xl114"/>
    <w:basedOn w:val="a"/>
    <w:rsid w:val="007A77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b/>
      <w:bCs/>
      <w:i/>
      <w:iCs/>
      <w:color w:val="000000"/>
      <w:sz w:val="24"/>
      <w:szCs w:val="24"/>
      <w:lang w:eastAsia="ru-RU"/>
    </w:rPr>
  </w:style>
  <w:style w:type="paragraph" w:customStyle="1" w:styleId="xl115">
    <w:name w:val="xl115"/>
    <w:basedOn w:val="a"/>
    <w:rsid w:val="007A77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6">
    <w:name w:val="xl116"/>
    <w:basedOn w:val="a"/>
    <w:rsid w:val="007A77E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7">
    <w:name w:val="xl117"/>
    <w:basedOn w:val="a"/>
    <w:rsid w:val="007A77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118">
    <w:name w:val="xl118"/>
    <w:basedOn w:val="a"/>
    <w:rsid w:val="007A77E7"/>
    <w:pP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styleId="aff8">
    <w:name w:val="Normal (Web)"/>
    <w:basedOn w:val="a"/>
    <w:uiPriority w:val="99"/>
    <w:unhideWhenUsed/>
    <w:rsid w:val="007A77E7"/>
    <w:rPr>
      <w:rFonts w:ascii="Times New Roman" w:hAnsi="Times New Roman" w:cs="Times New Roman"/>
      <w:sz w:val="24"/>
      <w:szCs w:val="24"/>
    </w:rPr>
  </w:style>
  <w:style w:type="paragraph" w:customStyle="1" w:styleId="43">
    <w:name w:val="Абзац списка4"/>
    <w:basedOn w:val="a"/>
    <w:rsid w:val="007A77E7"/>
    <w:pPr>
      <w:spacing w:after="0" w:line="240" w:lineRule="auto"/>
      <w:ind w:left="720"/>
      <w:contextualSpacing/>
      <w:jc w:val="both"/>
    </w:pPr>
    <w:rPr>
      <w:rFonts w:ascii="Times New Roman" w:eastAsia="Calibri" w:hAnsi="Times New Roman" w:cs="Times New Roman"/>
      <w:sz w:val="24"/>
      <w:szCs w:val="24"/>
      <w:lang w:eastAsia="ru-RU"/>
    </w:rPr>
  </w:style>
  <w:style w:type="paragraph" w:customStyle="1" w:styleId="2a">
    <w:name w:val="Без интервала2"/>
    <w:rsid w:val="007A77E7"/>
    <w:pPr>
      <w:spacing w:after="0" w:line="240" w:lineRule="auto"/>
      <w:ind w:left="567" w:right="641"/>
      <w:jc w:val="both"/>
    </w:pPr>
    <w:rPr>
      <w:rFonts w:ascii="Calibri" w:eastAsia="Calibri" w:hAnsi="Calibri" w:cs="Calibri"/>
    </w:rPr>
  </w:style>
  <w:style w:type="table" w:customStyle="1" w:styleId="2b">
    <w:name w:val="Сетка таблицы2"/>
    <w:basedOn w:val="a1"/>
    <w:next w:val="aff5"/>
    <w:uiPriority w:val="39"/>
    <w:rsid w:val="007A77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5"/>
    <w:uiPriority w:val="39"/>
    <w:rsid w:val="007A77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аголовок Знак1"/>
    <w:aliases w:val="Название1 Знак1"/>
    <w:basedOn w:val="a0"/>
    <w:link w:val="1a"/>
    <w:uiPriority w:val="10"/>
    <w:rsid w:val="00524476"/>
    <w:rPr>
      <w:rFonts w:asciiTheme="majorHAnsi" w:eastAsiaTheme="majorEastAsia" w:hAnsiTheme="majorHAnsi" w:cstheme="majorBidi"/>
      <w:spacing w:val="-10"/>
      <w:kern w:val="28"/>
      <w:sz w:val="56"/>
      <w:szCs w:val="56"/>
      <w:lang w:eastAsia="ru-RU"/>
    </w:rPr>
  </w:style>
  <w:style w:type="character" w:styleId="aff9">
    <w:name w:val="annotation reference"/>
    <w:basedOn w:val="a0"/>
    <w:uiPriority w:val="99"/>
    <w:semiHidden/>
    <w:unhideWhenUsed/>
    <w:rsid w:val="00524476"/>
    <w:rPr>
      <w:sz w:val="16"/>
      <w:szCs w:val="16"/>
    </w:rPr>
  </w:style>
  <w:style w:type="table" w:customStyle="1" w:styleId="111">
    <w:name w:val="Сетка таблицы111"/>
    <w:basedOn w:val="a1"/>
    <w:next w:val="aff5"/>
    <w:uiPriority w:val="59"/>
    <w:rsid w:val="00524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Календарь 4"/>
    <w:basedOn w:val="a1"/>
    <w:uiPriority w:val="99"/>
    <w:qFormat/>
    <w:rsid w:val="00524476"/>
    <w:pPr>
      <w:snapToGrid w:val="0"/>
      <w:spacing w:after="0" w:line="240" w:lineRule="auto"/>
    </w:pPr>
    <w:rPr>
      <w:rFonts w:eastAsiaTheme="minorEastAsia"/>
      <w:b/>
      <w:bCs/>
      <w:color w:val="FFFFFF" w:themeColor="background1"/>
      <w:sz w:val="16"/>
      <w:szCs w:val="16"/>
      <w:lang w:eastAsia="ru-RU"/>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character" w:customStyle="1" w:styleId="1b">
    <w:name w:val="Неразрешенное упоминание1"/>
    <w:basedOn w:val="a0"/>
    <w:uiPriority w:val="99"/>
    <w:semiHidden/>
    <w:unhideWhenUsed/>
    <w:rsid w:val="00524476"/>
    <w:rPr>
      <w:color w:val="605E5C"/>
      <w:shd w:val="clear" w:color="auto" w:fill="E1DFDD"/>
    </w:rPr>
  </w:style>
  <w:style w:type="paragraph" w:customStyle="1" w:styleId="112">
    <w:name w:val="Заголовок 11"/>
    <w:basedOn w:val="a"/>
    <w:next w:val="a"/>
    <w:uiPriority w:val="9"/>
    <w:qFormat/>
    <w:rsid w:val="006F4305"/>
    <w:pPr>
      <w:keepNext/>
      <w:keepLines/>
      <w:spacing w:before="240" w:after="0" w:line="240" w:lineRule="auto"/>
      <w:jc w:val="both"/>
      <w:outlineLvl w:val="0"/>
    </w:pPr>
    <w:rPr>
      <w:rFonts w:asciiTheme="majorHAnsi" w:eastAsiaTheme="majorEastAsia" w:hAnsiTheme="majorHAnsi" w:cstheme="majorBidi"/>
      <w:color w:val="2F5496" w:themeColor="accent1" w:themeShade="BF"/>
      <w:sz w:val="32"/>
      <w:szCs w:val="32"/>
    </w:rPr>
  </w:style>
  <w:style w:type="table" w:customStyle="1" w:styleId="35">
    <w:name w:val="Сетка таблицы3"/>
    <w:basedOn w:val="a1"/>
    <w:next w:val="aff5"/>
    <w:uiPriority w:val="39"/>
    <w:rsid w:val="006F43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1"/>
    <w:basedOn w:val="a"/>
    <w:next w:val="a"/>
    <w:link w:val="19"/>
    <w:uiPriority w:val="10"/>
    <w:qFormat/>
    <w:rsid w:val="006F4305"/>
    <w:pPr>
      <w:spacing w:after="0" w:line="240" w:lineRule="auto"/>
      <w:contextualSpacing/>
      <w:jc w:val="both"/>
    </w:pPr>
    <w:rPr>
      <w:rFonts w:asciiTheme="majorHAnsi" w:eastAsiaTheme="majorEastAsia" w:hAnsiTheme="majorHAnsi" w:cstheme="majorBidi"/>
      <w:spacing w:val="-10"/>
      <w:kern w:val="28"/>
      <w:sz w:val="56"/>
      <w:szCs w:val="56"/>
      <w:lang w:eastAsia="ru-RU"/>
    </w:rPr>
  </w:style>
  <w:style w:type="character" w:customStyle="1" w:styleId="1c">
    <w:name w:val="Гиперссылка1"/>
    <w:basedOn w:val="a0"/>
    <w:unhideWhenUsed/>
    <w:rsid w:val="006F4305"/>
    <w:rPr>
      <w:color w:val="0000FF"/>
      <w:u w:val="single"/>
    </w:rPr>
  </w:style>
  <w:style w:type="table" w:customStyle="1" w:styleId="120">
    <w:name w:val="Сетка таблицы12"/>
    <w:basedOn w:val="a1"/>
    <w:next w:val="aff5"/>
    <w:uiPriority w:val="59"/>
    <w:rsid w:val="006F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Текст сноски1"/>
    <w:basedOn w:val="a"/>
    <w:next w:val="af3"/>
    <w:uiPriority w:val="99"/>
    <w:unhideWhenUsed/>
    <w:rsid w:val="006F4305"/>
    <w:pPr>
      <w:spacing w:after="0" w:line="240" w:lineRule="auto"/>
    </w:pPr>
    <w:rPr>
      <w:rFonts w:ascii="Calibri" w:eastAsia="Times New Roman" w:hAnsi="Calibri"/>
      <w:sz w:val="20"/>
      <w:szCs w:val="20"/>
      <w:lang w:eastAsia="ru-RU"/>
    </w:rPr>
  </w:style>
  <w:style w:type="table" w:customStyle="1" w:styleId="410">
    <w:name w:val="Календарь 41"/>
    <w:basedOn w:val="a1"/>
    <w:uiPriority w:val="99"/>
    <w:qFormat/>
    <w:rsid w:val="006F4305"/>
    <w:pPr>
      <w:snapToGrid w:val="0"/>
      <w:spacing w:after="0" w:line="240" w:lineRule="auto"/>
    </w:pPr>
    <w:rPr>
      <w:rFonts w:eastAsia="Times New Roman"/>
      <w:b/>
      <w:bCs/>
      <w:color w:val="FFFFFF"/>
      <w:sz w:val="16"/>
      <w:szCs w:val="16"/>
      <w:lang w:eastAsia="ru-RU"/>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character" w:customStyle="1" w:styleId="blk">
    <w:name w:val="blk"/>
    <w:basedOn w:val="a0"/>
    <w:rsid w:val="006F4305"/>
  </w:style>
  <w:style w:type="character" w:customStyle="1" w:styleId="affa">
    <w:name w:val="Основной текст + Полужирный"/>
    <w:basedOn w:val="17"/>
    <w:uiPriority w:val="99"/>
    <w:rsid w:val="006F4305"/>
    <w:rPr>
      <w:rFonts w:ascii="Times New Roman" w:hAnsi="Times New Roman" w:cs="Times New Roman"/>
      <w:b/>
      <w:bCs/>
      <w:spacing w:val="10"/>
      <w:sz w:val="28"/>
      <w:szCs w:val="28"/>
      <w:u w:val="none"/>
      <w:shd w:val="clear" w:color="auto" w:fill="FFFFFF"/>
    </w:rPr>
  </w:style>
  <w:style w:type="character" w:customStyle="1" w:styleId="FontStyle16">
    <w:name w:val="Font Style16"/>
    <w:basedOn w:val="a0"/>
    <w:rsid w:val="006F4305"/>
    <w:rPr>
      <w:rFonts w:ascii="Times New Roman" w:hAnsi="Times New Roman" w:cs="Times New Roman" w:hint="default"/>
      <w:sz w:val="26"/>
      <w:szCs w:val="26"/>
    </w:rPr>
  </w:style>
  <w:style w:type="character" w:customStyle="1" w:styleId="212pt">
    <w:name w:val="Основной текст (2) + 12 pt"/>
    <w:basedOn w:val="a0"/>
    <w:rsid w:val="006F430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Абзац списка Знак"/>
    <w:link w:val="12"/>
    <w:rsid w:val="006F4305"/>
    <w:rPr>
      <w:rFonts w:ascii="Times New Roman" w:eastAsia="Calibri" w:hAnsi="Times New Roman" w:cs="Times New Roman"/>
      <w:sz w:val="24"/>
      <w:szCs w:val="24"/>
      <w:lang w:eastAsia="ru-RU"/>
    </w:rPr>
  </w:style>
  <w:style w:type="table" w:customStyle="1" w:styleId="211">
    <w:name w:val="Сетка таблицы21"/>
    <w:basedOn w:val="a1"/>
    <w:next w:val="aff5"/>
    <w:uiPriority w:val="59"/>
    <w:rsid w:val="006F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6F4305"/>
  </w:style>
  <w:style w:type="character" w:customStyle="1" w:styleId="eop">
    <w:name w:val="eop"/>
    <w:basedOn w:val="a0"/>
    <w:rsid w:val="006F4305"/>
  </w:style>
  <w:style w:type="character" w:customStyle="1" w:styleId="spellingerror">
    <w:name w:val="spellingerror"/>
    <w:basedOn w:val="a0"/>
    <w:rsid w:val="006F4305"/>
  </w:style>
  <w:style w:type="paragraph" w:customStyle="1" w:styleId="paragraph">
    <w:name w:val="paragraph"/>
    <w:basedOn w:val="a"/>
    <w:rsid w:val="006F43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0"/>
    <w:uiPriority w:val="9"/>
    <w:rsid w:val="006F4305"/>
    <w:rPr>
      <w:rFonts w:asciiTheme="majorHAnsi" w:eastAsiaTheme="majorEastAsia" w:hAnsiTheme="majorHAnsi" w:cstheme="majorBidi"/>
      <w:color w:val="2F5496" w:themeColor="accent1" w:themeShade="BF"/>
      <w:sz w:val="32"/>
      <w:szCs w:val="32"/>
    </w:rPr>
  </w:style>
  <w:style w:type="character" w:customStyle="1" w:styleId="2c">
    <w:name w:val="Заголовок Знак2"/>
    <w:basedOn w:val="a0"/>
    <w:uiPriority w:val="10"/>
    <w:rsid w:val="006F4305"/>
    <w:rPr>
      <w:rFonts w:asciiTheme="majorHAnsi" w:eastAsiaTheme="majorEastAsia" w:hAnsiTheme="majorHAnsi" w:cstheme="majorBidi"/>
      <w:spacing w:val="-10"/>
      <w:kern w:val="28"/>
      <w:sz w:val="56"/>
      <w:szCs w:val="56"/>
    </w:rPr>
  </w:style>
  <w:style w:type="character" w:customStyle="1" w:styleId="1e">
    <w:name w:val="Текст сноски Знак1"/>
    <w:basedOn w:val="a0"/>
    <w:uiPriority w:val="99"/>
    <w:semiHidden/>
    <w:rsid w:val="006F4305"/>
    <w:rPr>
      <w:sz w:val="20"/>
      <w:szCs w:val="20"/>
    </w:rPr>
  </w:style>
  <w:style w:type="paragraph" w:customStyle="1" w:styleId="13">
    <w:name w:val="Знак сноски1"/>
    <w:basedOn w:val="a"/>
    <w:link w:val="af5"/>
    <w:uiPriority w:val="99"/>
    <w:rsid w:val="006F4305"/>
    <w:pPr>
      <w:spacing w:after="0" w:line="240" w:lineRule="auto"/>
    </w:pPr>
    <w:rPr>
      <w:vertAlign w:val="superscript"/>
    </w:rPr>
  </w:style>
  <w:style w:type="table" w:customStyle="1" w:styleId="-4111">
    <w:name w:val="Таблица-сетка 4 — акцент 111"/>
    <w:basedOn w:val="a1"/>
    <w:uiPriority w:val="49"/>
    <w:rsid w:val="006F430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52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7.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consultantplus://offline/ref=4EC7A271591CB694532365756A42DF9DFD5A9C967A936B88EF9E5F9116EA8F9B7353C49CB41C56E735D840C3Z6F" TargetMode="Externa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6.xml"/><Relationship Id="rId32"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image" Target="media/image1.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1.xml"/><Relationship Id="rId4" Type="http://schemas.openxmlformats.org/officeDocument/2006/relationships/oleObject" Target="&#1044;&#1080;&#1072;&#1075;&#1088;&#1072;&#1084;&#1084;&#1072;%20&#1074;%20Microsoft%20Word" TargetMode="Externa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8.xlsx"/></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265309965582312E-3"/>
          <c:y val="0.13693897637795274"/>
          <c:w val="0.99043367250860437"/>
          <c:h val="0.78345432258383585"/>
        </c:manualLayout>
      </c:layout>
      <c:bar3DChart>
        <c:barDir val="col"/>
        <c:grouping val="clustered"/>
        <c:varyColors val="0"/>
        <c:ser>
          <c:idx val="0"/>
          <c:order val="0"/>
          <c:tx>
            <c:strRef>
              <c:f>Лист1!$B$26</c:f>
              <c:strCache>
                <c:ptCount val="1"/>
                <c:pt idx="0">
                  <c:v>2020г</c:v>
                </c:pt>
              </c:strCache>
            </c:strRef>
          </c:tx>
          <c:spPr>
            <a:solidFill>
              <a:srgbClr val="FF0000"/>
            </a:solidFill>
            <a:ln>
              <a:noFill/>
            </a:ln>
            <a:effectLst/>
            <a:scene3d>
              <a:camera prst="orthographicFront"/>
              <a:lightRig rig="threePt" dir="t"/>
            </a:scene3d>
            <a:sp3d>
              <a:bevelT w="152400" h="50800" prst="softRound"/>
            </a:sp3d>
          </c:spPr>
          <c:invertIfNegative val="0"/>
          <c:dLbls>
            <c:dLbl>
              <c:idx val="0"/>
              <c:layout>
                <c:manualLayout>
                  <c:x val="-7.6530619931164581E-3"/>
                  <c:y val="4.0760873925975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1F-433B-A823-49D06141BFC2}"/>
                </c:ext>
              </c:extLst>
            </c:dLbl>
            <c:dLbl>
              <c:idx val="1"/>
              <c:layout>
                <c:manualLayout>
                  <c:x val="-7.6530619931164624E-3"/>
                  <c:y val="-4.075926916715906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4566332010920378E-2"/>
                      <c:h val="4.0699893090967672E-2"/>
                    </c:manualLayout>
                  </c15:layout>
                </c:ext>
                <c:ext xmlns:c16="http://schemas.microsoft.com/office/drawing/2014/chart" uri="{C3380CC4-5D6E-409C-BE32-E72D297353CC}">
                  <c16:uniqueId val="{00000001-C31F-433B-A823-49D06141BFC2}"/>
                </c:ext>
              </c:extLst>
            </c:dLbl>
            <c:dLbl>
              <c:idx val="2"/>
              <c:layout>
                <c:manualLayout>
                  <c:x val="-3.8265309965582312E-3"/>
                  <c:y val="-1.86818514017303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1F-433B-A823-49D06141BFC2}"/>
                </c:ext>
              </c:extLst>
            </c:dLbl>
            <c:dLbl>
              <c:idx val="3"/>
              <c:layout>
                <c:manualLayout>
                  <c:x val="-3.8265309965582312E-3"/>
                  <c:y val="-3.736370280346063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1F-433B-A823-49D06141BFC2}"/>
                </c:ext>
              </c:extLst>
            </c:dLbl>
            <c:dLbl>
              <c:idx val="5"/>
              <c:layout>
                <c:manualLayout>
                  <c:x val="0"/>
                  <c:y val="8.15217478519500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1F-433B-A823-49D06141BFC2}"/>
                </c:ext>
              </c:extLst>
            </c:dLbl>
            <c:dLbl>
              <c:idx val="6"/>
              <c:layout>
                <c:manualLayout>
                  <c:x val="-3.82653099655830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1F-433B-A823-49D06141BFC2}"/>
                </c:ext>
              </c:extLst>
            </c:dLbl>
            <c:dLbl>
              <c:idx val="7"/>
              <c:layout>
                <c:manualLayout>
                  <c:x val="-3.8265309965582312E-3"/>
                  <c:y val="8.15217478519497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1F-433B-A823-49D06141BFC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Лист1!$A$27:$A$36</c:f>
              <c:strCache>
                <c:ptCount val="10"/>
                <c:pt idx="0">
                  <c:v>ВРП</c:v>
                </c:pt>
                <c:pt idx="1">
                  <c:v>ИПЦ</c:v>
                </c:pt>
                <c:pt idx="2">
                  <c:v>Промышленность</c:v>
                </c:pt>
                <c:pt idx="3">
                  <c:v>Сельское хозяйство</c:v>
                </c:pt>
                <c:pt idx="4">
                  <c:v>Инвестиции </c:v>
                </c:pt>
                <c:pt idx="5">
                  <c:v>Строительство</c:v>
                </c:pt>
                <c:pt idx="6">
                  <c:v>Розничная торговля</c:v>
                </c:pt>
                <c:pt idx="7">
                  <c:v>Платные услуги</c:v>
                </c:pt>
                <c:pt idx="8">
                  <c:v>Заработная плата </c:v>
                </c:pt>
                <c:pt idx="9">
                  <c:v>Денежные доходы населения</c:v>
                </c:pt>
              </c:strCache>
            </c:strRef>
          </c:cat>
          <c:val>
            <c:numRef>
              <c:f>Лист1!$B$27:$B$36</c:f>
              <c:numCache>
                <c:formatCode>#\ ##0.0</c:formatCode>
                <c:ptCount val="10"/>
                <c:pt idx="0">
                  <c:v>99.3</c:v>
                </c:pt>
                <c:pt idx="1">
                  <c:v>104.7</c:v>
                </c:pt>
                <c:pt idx="2">
                  <c:v>109.4</c:v>
                </c:pt>
                <c:pt idx="3">
                  <c:v>101.3</c:v>
                </c:pt>
                <c:pt idx="4">
                  <c:v>111</c:v>
                </c:pt>
                <c:pt idx="5">
                  <c:v>99.6</c:v>
                </c:pt>
                <c:pt idx="6">
                  <c:v>94.4</c:v>
                </c:pt>
                <c:pt idx="7">
                  <c:v>89.2</c:v>
                </c:pt>
                <c:pt idx="8">
                  <c:v>116.8</c:v>
                </c:pt>
                <c:pt idx="9">
                  <c:v>97.2</c:v>
                </c:pt>
              </c:numCache>
            </c:numRef>
          </c:val>
          <c:extLst>
            <c:ext xmlns:c16="http://schemas.microsoft.com/office/drawing/2014/chart" uri="{C3380CC4-5D6E-409C-BE32-E72D297353CC}">
              <c16:uniqueId val="{00000007-C31F-433B-A823-49D06141BFC2}"/>
            </c:ext>
          </c:extLst>
        </c:ser>
        <c:ser>
          <c:idx val="1"/>
          <c:order val="1"/>
          <c:tx>
            <c:strRef>
              <c:f>Лист1!$C$26</c:f>
              <c:strCache>
                <c:ptCount val="1"/>
                <c:pt idx="0">
                  <c:v>2021г</c:v>
                </c:pt>
              </c:strCache>
            </c:strRef>
          </c:tx>
          <c:spPr>
            <a:solidFill>
              <a:srgbClr val="00B050"/>
            </a:solidFill>
            <a:ln>
              <a:noFill/>
            </a:ln>
            <a:effectLst/>
            <a:scene3d>
              <a:camera prst="orthographicFront"/>
              <a:lightRig rig="threePt" dir="t"/>
            </a:scene3d>
            <a:sp3d>
              <a:bevelT w="152400" h="50800" prst="softRound"/>
            </a:sp3d>
          </c:spPr>
          <c:invertIfNegative val="0"/>
          <c:dLbls>
            <c:dLbl>
              <c:idx val="0"/>
              <c:layout>
                <c:manualLayout>
                  <c:x val="1.1479592989674676E-2"/>
                  <c:y val="4.0760873925975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1F-433B-A823-49D06141BFC2}"/>
                </c:ext>
              </c:extLst>
            </c:dLbl>
            <c:dLbl>
              <c:idx val="2"/>
              <c:layout>
                <c:manualLayout>
                  <c:x val="1.530612398623289E-2"/>
                  <c:y val="-4.0760873925975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1F-433B-A823-49D06141BFC2}"/>
                </c:ext>
              </c:extLst>
            </c:dLbl>
            <c:dLbl>
              <c:idx val="3"/>
              <c:layout>
                <c:manualLayout>
                  <c:x val="1.5306123986232855E-2"/>
                  <c:y val="4.07608739259746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1F-433B-A823-49D06141BFC2}"/>
                </c:ext>
              </c:extLst>
            </c:dLbl>
            <c:dLbl>
              <c:idx val="4"/>
              <c:layout>
                <c:manualLayout>
                  <c:x val="1.33928584879537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1F-433B-A823-49D06141BFC2}"/>
                </c:ext>
              </c:extLst>
            </c:dLbl>
            <c:dLbl>
              <c:idx val="5"/>
              <c:layout>
                <c:manualLayout>
                  <c:x val="1.5306123986232925E-2"/>
                  <c:y val="-4.0760873925975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31F-433B-A823-49D06141BFC2}"/>
                </c:ext>
              </c:extLst>
            </c:dLbl>
            <c:dLbl>
              <c:idx val="7"/>
              <c:layout>
                <c:manualLayout>
                  <c:x val="-1.403045157307301E-16"/>
                  <c:y val="8.15217478519500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31F-433B-A823-49D06141BFC2}"/>
                </c:ext>
              </c:extLst>
            </c:dLbl>
            <c:dLbl>
              <c:idx val="8"/>
              <c:layout>
                <c:manualLayout>
                  <c:x val="1.339285848795366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31F-433B-A823-49D06141BFC2}"/>
                </c:ext>
              </c:extLst>
            </c:dLbl>
            <c:dLbl>
              <c:idx val="9"/>
              <c:layout>
                <c:manualLayout>
                  <c:x val="1.91326549827911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31F-433B-A823-49D06141BFC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Лист1!$A$27:$A$36</c:f>
              <c:strCache>
                <c:ptCount val="10"/>
                <c:pt idx="0">
                  <c:v>ВРП</c:v>
                </c:pt>
                <c:pt idx="1">
                  <c:v>ИПЦ</c:v>
                </c:pt>
                <c:pt idx="2">
                  <c:v>Промышленность</c:v>
                </c:pt>
                <c:pt idx="3">
                  <c:v>Сельское хозяйство</c:v>
                </c:pt>
                <c:pt idx="4">
                  <c:v>Инвестиции </c:v>
                </c:pt>
                <c:pt idx="5">
                  <c:v>Строительство</c:v>
                </c:pt>
                <c:pt idx="6">
                  <c:v>Розничная торговля</c:v>
                </c:pt>
                <c:pt idx="7">
                  <c:v>Платные услуги</c:v>
                </c:pt>
                <c:pt idx="8">
                  <c:v>Заработная плата </c:v>
                </c:pt>
                <c:pt idx="9">
                  <c:v>Денежные доходы населения</c:v>
                </c:pt>
              </c:strCache>
            </c:strRef>
          </c:cat>
          <c:val>
            <c:numRef>
              <c:f>Лист1!$C$27:$C$36</c:f>
              <c:numCache>
                <c:formatCode>#\ ##0.0</c:formatCode>
                <c:ptCount val="10"/>
                <c:pt idx="0">
                  <c:v>102</c:v>
                </c:pt>
                <c:pt idx="1">
                  <c:v>110.1</c:v>
                </c:pt>
                <c:pt idx="2">
                  <c:v>105.2</c:v>
                </c:pt>
                <c:pt idx="3">
                  <c:v>100.5</c:v>
                </c:pt>
                <c:pt idx="4">
                  <c:v>88.6</c:v>
                </c:pt>
                <c:pt idx="5">
                  <c:v>102</c:v>
                </c:pt>
                <c:pt idx="6">
                  <c:v>101</c:v>
                </c:pt>
                <c:pt idx="7">
                  <c:v>116.6</c:v>
                </c:pt>
                <c:pt idx="8">
                  <c:v>106.7</c:v>
                </c:pt>
                <c:pt idx="9">
                  <c:v>100</c:v>
                </c:pt>
              </c:numCache>
            </c:numRef>
          </c:val>
          <c:extLst>
            <c:ext xmlns:c16="http://schemas.microsoft.com/office/drawing/2014/chart" uri="{C3380CC4-5D6E-409C-BE32-E72D297353CC}">
              <c16:uniqueId val="{00000010-C31F-433B-A823-49D06141BFC2}"/>
            </c:ext>
          </c:extLst>
        </c:ser>
        <c:dLbls>
          <c:showLegendKey val="0"/>
          <c:showVal val="0"/>
          <c:showCatName val="0"/>
          <c:showSerName val="0"/>
          <c:showPercent val="0"/>
          <c:showBubbleSize val="0"/>
        </c:dLbls>
        <c:gapWidth val="150"/>
        <c:shape val="box"/>
        <c:axId val="604865456"/>
        <c:axId val="604865784"/>
        <c:axId val="0"/>
      </c:bar3DChart>
      <c:catAx>
        <c:axId val="604865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4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04865784"/>
        <c:crosses val="autoZero"/>
        <c:auto val="1"/>
        <c:lblAlgn val="ctr"/>
        <c:lblOffset val="100"/>
        <c:noMultiLvlLbl val="0"/>
      </c:catAx>
      <c:valAx>
        <c:axId val="604865784"/>
        <c:scaling>
          <c:orientation val="minMax"/>
          <c:max val="115"/>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 ##0.0" sourceLinked="1"/>
        <c:majorTickMark val="none"/>
        <c:minorTickMark val="none"/>
        <c:tickLblPos val="nextTo"/>
        <c:crossAx val="604865456"/>
        <c:crosses val="autoZero"/>
        <c:crossBetween val="between"/>
        <c:majorUnit val="15"/>
      </c:valAx>
      <c:spPr>
        <a:noFill/>
        <a:ln>
          <a:noFill/>
        </a:ln>
        <a:effectLst/>
      </c:spPr>
    </c:plotArea>
    <c:legend>
      <c:legendPos val="t"/>
      <c:layout>
        <c:manualLayout>
          <c:xMode val="edge"/>
          <c:yMode val="edge"/>
          <c:x val="0.4275014553141947"/>
          <c:y val="2.5000000000000001E-2"/>
          <c:w val="0.23838230337939276"/>
          <c:h val="6.6105643044619425E-2"/>
        </c:manualLayout>
      </c:layout>
      <c:overlay val="0"/>
      <c:spPr>
        <a:noFill/>
        <a:ln>
          <a:noFill/>
        </a:ln>
        <a:effectLst/>
      </c:spPr>
      <c:txPr>
        <a:bodyPr rot="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336283185840708E-2"/>
          <c:y val="6.0185185185185182E-2"/>
          <c:w val="0.95132743362831862"/>
          <c:h val="0.84633493729950426"/>
        </c:manualLayout>
      </c:layout>
      <c:bar3D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dPt>
            <c:idx val="0"/>
            <c:invertIfNegative val="0"/>
            <c:bubble3D val="0"/>
            <c:spPr>
              <a:solidFill>
                <a:srgbClr val="0036A2"/>
              </a:solidFill>
              <a:ln>
                <a:noFill/>
              </a:ln>
              <a:effectLst/>
              <a:scene3d>
                <a:camera prst="orthographicFront"/>
                <a:lightRig rig="threePt" dir="t"/>
              </a:scene3d>
              <a:sp3d>
                <a:bevelT/>
              </a:sp3d>
            </c:spPr>
            <c:extLst>
              <c:ext xmlns:c16="http://schemas.microsoft.com/office/drawing/2014/chart" uri="{C3380CC4-5D6E-409C-BE32-E72D297353CC}">
                <c16:uniqueId val="{00000001-E590-43F6-B3D4-D4140C16A07E}"/>
              </c:ext>
            </c:extLst>
          </c:dPt>
          <c:dPt>
            <c:idx val="1"/>
            <c:invertIfNegative val="0"/>
            <c:bubble3D val="0"/>
            <c:spPr>
              <a:solidFill>
                <a:srgbClr val="00B050"/>
              </a:solidFill>
              <a:ln>
                <a:noFill/>
              </a:ln>
              <a:effectLst/>
              <a:scene3d>
                <a:camera prst="orthographicFront"/>
                <a:lightRig rig="threePt" dir="t"/>
              </a:scene3d>
              <a:sp3d>
                <a:bevelT/>
              </a:sp3d>
            </c:spPr>
            <c:extLst>
              <c:ext xmlns:c16="http://schemas.microsoft.com/office/drawing/2014/chart" uri="{C3380CC4-5D6E-409C-BE32-E72D297353CC}">
                <c16:uniqueId val="{00000003-E590-43F6-B3D4-D4140C16A07E}"/>
              </c:ext>
            </c:extLst>
          </c:dPt>
          <c:dPt>
            <c:idx val="2"/>
            <c:invertIfNegative val="0"/>
            <c:bubble3D val="0"/>
            <c:spPr>
              <a:solidFill>
                <a:srgbClr val="C00000"/>
              </a:solidFill>
              <a:ln>
                <a:noFill/>
              </a:ln>
              <a:effectLst/>
              <a:scene3d>
                <a:camera prst="orthographicFront"/>
                <a:lightRig rig="threePt" dir="t"/>
              </a:scene3d>
              <a:sp3d>
                <a:bevelT/>
              </a:sp3d>
            </c:spPr>
            <c:extLst>
              <c:ext xmlns:c16="http://schemas.microsoft.com/office/drawing/2014/chart" uri="{C3380CC4-5D6E-409C-BE32-E72D297353CC}">
                <c16:uniqueId val="{00000005-E590-43F6-B3D4-D4140C16A07E}"/>
              </c:ext>
            </c:extLst>
          </c:dPt>
          <c:dLbls>
            <c:dLbl>
              <c:idx val="0"/>
              <c:layout>
                <c:manualLayout>
                  <c:x val="-2.5462668816039986E-17"/>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90-43F6-B3D4-D4140C16A07E}"/>
                </c:ext>
              </c:extLst>
            </c:dLbl>
            <c:dLbl>
              <c:idx val="1"/>
              <c:layout>
                <c:manualLayout>
                  <c:x val="-1.0185067526415994E-16"/>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90-43F6-B3D4-D4140C16A07E}"/>
                </c:ext>
              </c:extLst>
            </c:dLbl>
            <c:dLbl>
              <c:idx val="2"/>
              <c:layout>
                <c:manualLayout>
                  <c:x val="-2.7777777777778798E-3"/>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90-43F6-B3D4-D4140C16A07E}"/>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Лист1!$A$199:$C$199</c:f>
              <c:strCache>
                <c:ptCount val="3"/>
                <c:pt idx="0">
                  <c:v>РФ</c:v>
                </c:pt>
                <c:pt idx="1">
                  <c:v>СКФО</c:v>
                </c:pt>
                <c:pt idx="2">
                  <c:v>РД</c:v>
                </c:pt>
              </c:strCache>
            </c:strRef>
          </c:cat>
          <c:val>
            <c:numRef>
              <c:f>Лист1!$A$200:$C$200</c:f>
              <c:numCache>
                <c:formatCode>General</c:formatCode>
                <c:ptCount val="3"/>
                <c:pt idx="0">
                  <c:v>269.10000000000002</c:v>
                </c:pt>
                <c:pt idx="1">
                  <c:v>186.3</c:v>
                </c:pt>
                <c:pt idx="2">
                  <c:v>209.2</c:v>
                </c:pt>
              </c:numCache>
            </c:numRef>
          </c:val>
          <c:extLst>
            <c:ext xmlns:c16="http://schemas.microsoft.com/office/drawing/2014/chart" uri="{C3380CC4-5D6E-409C-BE32-E72D297353CC}">
              <c16:uniqueId val="{00000006-E590-43F6-B3D4-D4140C16A07E}"/>
            </c:ext>
          </c:extLst>
        </c:ser>
        <c:dLbls>
          <c:showLegendKey val="0"/>
          <c:showVal val="0"/>
          <c:showCatName val="0"/>
          <c:showSerName val="0"/>
          <c:showPercent val="0"/>
          <c:showBubbleSize val="0"/>
        </c:dLbls>
        <c:gapWidth val="150"/>
        <c:shape val="box"/>
        <c:axId val="604855288"/>
        <c:axId val="604853648"/>
        <c:axId val="0"/>
      </c:bar3DChart>
      <c:catAx>
        <c:axId val="604855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04853648"/>
        <c:crosses val="autoZero"/>
        <c:auto val="1"/>
        <c:lblAlgn val="ctr"/>
        <c:lblOffset val="100"/>
        <c:noMultiLvlLbl val="0"/>
      </c:catAx>
      <c:valAx>
        <c:axId val="604853648"/>
        <c:scaling>
          <c:orientation val="minMax"/>
          <c:max val="26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604855288"/>
        <c:crosses val="autoZero"/>
        <c:crossBetween val="between"/>
        <c:majorUnit val="3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143032902137232E-2"/>
          <c:y val="0.12962962962962962"/>
          <c:w val="0.97174581692913398"/>
          <c:h val="0.76271754036435957"/>
        </c:manualLayout>
      </c:layout>
      <c:bar3DChart>
        <c:barDir val="col"/>
        <c:grouping val="stacked"/>
        <c:varyColors val="0"/>
        <c:ser>
          <c:idx val="0"/>
          <c:order val="0"/>
          <c:tx>
            <c:strRef>
              <c:f>Лист1!$E$200</c:f>
              <c:strCache>
                <c:ptCount val="1"/>
                <c:pt idx="0">
                  <c:v>Объем</c:v>
                </c:pt>
              </c:strCache>
            </c:strRef>
          </c:tx>
          <c:spPr>
            <a:solidFill>
              <a:srgbClr val="00B050"/>
            </a:solidFill>
            <a:ln>
              <a:noFill/>
            </a:ln>
            <a:effectLst/>
            <a:scene3d>
              <a:camera prst="orthographicFront"/>
              <a:lightRig rig="threePt" dir="t"/>
            </a:scene3d>
            <a:sp3d>
              <a:bevelT/>
            </a:sp3d>
          </c:spPr>
          <c:invertIfNegative val="0"/>
          <c:dLbls>
            <c:dLbl>
              <c:idx val="0"/>
              <c:layout>
                <c:manualLayout>
                  <c:x val="-7.2662401574803562E-3"/>
                  <c:y val="1.382771236235563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4D-4639-B823-F6C3E81EAC07}"/>
                </c:ext>
              </c:extLst>
            </c:dLbl>
            <c:dLbl>
              <c:idx val="1"/>
              <c:layout>
                <c:manualLayout>
                  <c:x val="-5.03409730033754E-3"/>
                  <c:y val="4.62963126689783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4D-4639-B823-F6C3E81EAC07}"/>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Лист1!$F$199:$G$199</c:f>
              <c:strCache>
                <c:ptCount val="2"/>
                <c:pt idx="0">
                  <c:v>Республика Дагестан</c:v>
                </c:pt>
                <c:pt idx="1">
                  <c:v>Ставропольский край</c:v>
                </c:pt>
              </c:strCache>
            </c:strRef>
          </c:cat>
          <c:val>
            <c:numRef>
              <c:f>Лист1!$F$200:$G$200</c:f>
              <c:numCache>
                <c:formatCode>_-* #\ ##0.0\ _₽_-;\-* #\ ##0.0\ _₽_-;_-* "-"??\ _₽_-;_-@_-</c:formatCode>
                <c:ptCount val="2"/>
                <c:pt idx="0">
                  <c:v>803551.3</c:v>
                </c:pt>
                <c:pt idx="1">
                  <c:v>781975.6</c:v>
                </c:pt>
              </c:numCache>
            </c:numRef>
          </c:val>
          <c:extLst>
            <c:ext xmlns:c16="http://schemas.microsoft.com/office/drawing/2014/chart" uri="{C3380CC4-5D6E-409C-BE32-E72D297353CC}">
              <c16:uniqueId val="{00000002-C54D-4639-B823-F6C3E81EAC07}"/>
            </c:ext>
          </c:extLst>
        </c:ser>
        <c:ser>
          <c:idx val="1"/>
          <c:order val="1"/>
          <c:tx>
            <c:strRef>
              <c:f>Лист1!$E$201</c:f>
              <c:strCache>
                <c:ptCount val="1"/>
                <c:pt idx="0">
                  <c:v>Налоги</c:v>
                </c:pt>
              </c:strCache>
            </c:strRef>
          </c:tx>
          <c:spPr>
            <a:solidFill>
              <a:srgbClr val="FF0000"/>
            </a:solidFill>
            <a:ln>
              <a:noFill/>
            </a:ln>
            <a:effectLst/>
            <a:scene3d>
              <a:camera prst="orthographicFront"/>
              <a:lightRig rig="threePt" dir="t"/>
            </a:scene3d>
            <a:sp3d>
              <a:bevelT/>
            </a:sp3d>
          </c:spPr>
          <c:invertIfNegative val="0"/>
          <c:dLbls>
            <c:dLbl>
              <c:idx val="0"/>
              <c:layout>
                <c:manualLayout>
                  <c:x val="0.1388888888888889"/>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4D-4639-B823-F6C3E81EAC07}"/>
                </c:ext>
              </c:extLst>
            </c:dLbl>
            <c:dLbl>
              <c:idx val="1"/>
              <c:layout>
                <c:manualLayout>
                  <c:x val="0.14875984251968505"/>
                  <c:y val="-0.10226671924262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4D-4639-B823-F6C3E81EAC07}"/>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Лист1!$F$199:$G$199</c:f>
              <c:strCache>
                <c:ptCount val="2"/>
                <c:pt idx="0">
                  <c:v>Республика Дагестан</c:v>
                </c:pt>
                <c:pt idx="1">
                  <c:v>Ставропольский край</c:v>
                </c:pt>
              </c:strCache>
            </c:strRef>
          </c:cat>
          <c:val>
            <c:numRef>
              <c:f>Лист1!$F$201:$G$201</c:f>
              <c:numCache>
                <c:formatCode>_-* #\ ##0.0\ _₽_-;\-* #\ ##0.0\ _₽_-;_-* "-"??\ _₽_-;_-@_-</c:formatCode>
                <c:ptCount val="2"/>
                <c:pt idx="0">
                  <c:v>4876.1000000000004</c:v>
                </c:pt>
                <c:pt idx="1">
                  <c:v>26118.5</c:v>
                </c:pt>
              </c:numCache>
            </c:numRef>
          </c:val>
          <c:extLst>
            <c:ext xmlns:c16="http://schemas.microsoft.com/office/drawing/2014/chart" uri="{C3380CC4-5D6E-409C-BE32-E72D297353CC}">
              <c16:uniqueId val="{00000005-C54D-4639-B823-F6C3E81EAC07}"/>
            </c:ext>
          </c:extLst>
        </c:ser>
        <c:dLbls>
          <c:showLegendKey val="0"/>
          <c:showVal val="0"/>
          <c:showCatName val="0"/>
          <c:showSerName val="0"/>
          <c:showPercent val="0"/>
          <c:showBubbleSize val="0"/>
        </c:dLbls>
        <c:gapWidth val="150"/>
        <c:shape val="box"/>
        <c:axId val="729600264"/>
        <c:axId val="729607152"/>
        <c:axId val="0"/>
      </c:bar3DChart>
      <c:catAx>
        <c:axId val="729600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29607152"/>
        <c:crosses val="autoZero"/>
        <c:auto val="1"/>
        <c:lblAlgn val="ctr"/>
        <c:lblOffset val="100"/>
        <c:noMultiLvlLbl val="0"/>
      </c:catAx>
      <c:valAx>
        <c:axId val="729607152"/>
        <c:scaling>
          <c:orientation val="minMax"/>
          <c:max val="85000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 _₽_-;\-* #\ ##0.0\ _₽_-;_-* &quot;-&quot;??\ _₽_-;_-@_-" sourceLinked="1"/>
        <c:majorTickMark val="none"/>
        <c:minorTickMark val="none"/>
        <c:tickLblPos val="nextTo"/>
        <c:crossAx val="729600264"/>
        <c:crosses val="autoZero"/>
        <c:crossBetween val="between"/>
        <c:majorUnit val="90000"/>
        <c:minorUnit val="15000"/>
      </c:valAx>
      <c:spPr>
        <a:noFill/>
        <a:ln>
          <a:noFill/>
        </a:ln>
        <a:effectLst/>
      </c:spPr>
    </c:plotArea>
    <c:legend>
      <c:legendPos val="t"/>
      <c:layout>
        <c:manualLayout>
          <c:xMode val="edge"/>
          <c:yMode val="edge"/>
          <c:x val="0.37478827646544183"/>
          <c:y val="2.7777777777777776E-2"/>
          <c:w val="0.32820100612423447"/>
          <c:h val="7.3450714494021574E-2"/>
        </c:manualLayout>
      </c:layout>
      <c:overlay val="0"/>
      <c:spPr>
        <a:noFill/>
        <a:ln>
          <a:noFill/>
        </a:ln>
        <a:effectLst/>
      </c:spPr>
      <c:txPr>
        <a:bodyPr rot="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a:scene3d>
              <a:camera prst="orthographicFront"/>
              <a:lightRig rig="threePt" dir="t"/>
            </a:scene3d>
            <a:sp3d>
              <a:bevelT/>
            </a:sp3d>
          </c:spPr>
          <c:invertIfNegative val="0"/>
          <c:dPt>
            <c:idx val="0"/>
            <c:invertIfNegative val="0"/>
            <c:bubble3D val="0"/>
            <c:spPr>
              <a:solidFill>
                <a:srgbClr val="FF0000"/>
              </a:solidFill>
              <a:ln w="25400">
                <a:noFill/>
              </a:ln>
              <a:scene3d>
                <a:camera prst="orthographicFront"/>
                <a:lightRig rig="threePt" dir="t"/>
              </a:scene3d>
              <a:sp3d>
                <a:bevelT/>
              </a:sp3d>
            </c:spPr>
            <c:extLst>
              <c:ext xmlns:c16="http://schemas.microsoft.com/office/drawing/2014/chart" uri="{C3380CC4-5D6E-409C-BE32-E72D297353CC}">
                <c16:uniqueId val="{00000001-5D89-4669-B8DD-4FAFEFD29362}"/>
              </c:ext>
            </c:extLst>
          </c:dPt>
          <c:dPt>
            <c:idx val="1"/>
            <c:invertIfNegative val="0"/>
            <c:bubble3D val="0"/>
            <c:spPr>
              <a:solidFill>
                <a:srgbClr val="0070C0"/>
              </a:solidFill>
              <a:ln w="25400">
                <a:noFill/>
              </a:ln>
              <a:scene3d>
                <a:camera prst="orthographicFront"/>
                <a:lightRig rig="threePt" dir="t"/>
              </a:scene3d>
              <a:sp3d>
                <a:bevelT/>
              </a:sp3d>
            </c:spPr>
            <c:extLst>
              <c:ext xmlns:c16="http://schemas.microsoft.com/office/drawing/2014/chart" uri="{C3380CC4-5D6E-409C-BE32-E72D297353CC}">
                <c16:uniqueId val="{00000003-5D89-4669-B8DD-4FAFEFD29362}"/>
              </c:ext>
            </c:extLst>
          </c:dPt>
          <c:dPt>
            <c:idx val="2"/>
            <c:invertIfNegative val="0"/>
            <c:bubble3D val="0"/>
            <c:spPr>
              <a:solidFill>
                <a:srgbClr val="009A46"/>
              </a:solidFill>
              <a:ln w="25400">
                <a:noFill/>
              </a:ln>
              <a:scene3d>
                <a:camera prst="orthographicFront"/>
                <a:lightRig rig="threePt" dir="t"/>
              </a:scene3d>
              <a:sp3d>
                <a:bevelT/>
              </a:sp3d>
            </c:spPr>
            <c:extLst>
              <c:ext xmlns:c16="http://schemas.microsoft.com/office/drawing/2014/chart" uri="{C3380CC4-5D6E-409C-BE32-E72D297353CC}">
                <c16:uniqueId val="{00000005-5D89-4669-B8DD-4FAFEFD29362}"/>
              </c:ext>
            </c:extLst>
          </c:dPt>
          <c:dLbls>
            <c:dLbl>
              <c:idx val="0"/>
              <c:layout>
                <c:manualLayout>
                  <c:x val="-2.5462668816040029E-17"/>
                  <c:y val="0.11574074074074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89-4669-B8DD-4FAFEFD29362}"/>
                </c:ext>
              </c:extLst>
            </c:dLbl>
            <c:dLbl>
              <c:idx val="1"/>
              <c:layout>
                <c:manualLayout>
                  <c:x val="0"/>
                  <c:y val="0.11574074074074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89-4669-B8DD-4FAFEFD29362}"/>
                </c:ext>
              </c:extLst>
            </c:dLbl>
            <c:dLbl>
              <c:idx val="2"/>
              <c:layout>
                <c:manualLayout>
                  <c:x val="-2.7777777777777809E-3"/>
                  <c:y val="0.11574074074074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89-4669-B8DD-4FAFEFD29362}"/>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Лист1!$A$224:$C$224</c:f>
              <c:strCache>
                <c:ptCount val="3"/>
                <c:pt idx="0">
                  <c:v>РФ</c:v>
                </c:pt>
                <c:pt idx="1">
                  <c:v>СКФО</c:v>
                </c:pt>
                <c:pt idx="2">
                  <c:v>РД</c:v>
                </c:pt>
              </c:strCache>
            </c:strRef>
          </c:cat>
          <c:val>
            <c:numRef>
              <c:f>Лист1!$A$225:$C$225</c:f>
              <c:numCache>
                <c:formatCode>0.0</c:formatCode>
                <c:ptCount val="3"/>
                <c:pt idx="0" formatCode="General">
                  <c:v>56.5</c:v>
                </c:pt>
                <c:pt idx="1">
                  <c:v>34</c:v>
                </c:pt>
                <c:pt idx="2" formatCode="General">
                  <c:v>32.1</c:v>
                </c:pt>
              </c:numCache>
            </c:numRef>
          </c:val>
          <c:extLst>
            <c:ext xmlns:c16="http://schemas.microsoft.com/office/drawing/2014/chart" uri="{C3380CC4-5D6E-409C-BE32-E72D297353CC}">
              <c16:uniqueId val="{00000006-5D89-4669-B8DD-4FAFEFD29362}"/>
            </c:ext>
          </c:extLst>
        </c:ser>
        <c:dLbls>
          <c:showLegendKey val="0"/>
          <c:showVal val="0"/>
          <c:showCatName val="0"/>
          <c:showSerName val="0"/>
          <c:showPercent val="0"/>
          <c:showBubbleSize val="0"/>
        </c:dLbls>
        <c:gapWidth val="150"/>
        <c:shape val="box"/>
        <c:axId val="58504704"/>
        <c:axId val="58506240"/>
        <c:axId val="0"/>
      </c:bar3DChart>
      <c:catAx>
        <c:axId val="58504704"/>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506240"/>
        <c:crosses val="autoZero"/>
        <c:auto val="1"/>
        <c:lblAlgn val="ctr"/>
        <c:lblOffset val="100"/>
        <c:noMultiLvlLbl val="0"/>
      </c:catAx>
      <c:valAx>
        <c:axId val="58506240"/>
        <c:scaling>
          <c:orientation val="minMax"/>
          <c:max val="45"/>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one"/>
        <c:crossAx val="58504704"/>
        <c:crosses val="autoZero"/>
        <c:crossBetween val="between"/>
        <c:minorUnit val="0.8"/>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chemeClr val="bg1"/>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3.0555555555555555E-2"/>
          <c:y val="0.12961034877381253"/>
          <c:w val="0.94887360671018184"/>
          <c:h val="0.71975725914849742"/>
        </c:manualLayout>
      </c:layout>
      <c:bar3DChart>
        <c:barDir val="col"/>
        <c:grouping val="clustered"/>
        <c:varyColors val="0"/>
        <c:ser>
          <c:idx val="0"/>
          <c:order val="0"/>
          <c:tx>
            <c:strRef>
              <c:f>Лист1!$B$101</c:f>
              <c:strCache>
                <c:ptCount val="1"/>
                <c:pt idx="0">
                  <c:v>2020 год</c:v>
                </c:pt>
              </c:strCache>
            </c:strRef>
          </c:tx>
          <c:spPr>
            <a:solidFill>
              <a:srgbClr val="C00000"/>
            </a:solidFill>
            <a:ln>
              <a:noFill/>
            </a:ln>
            <a:effectLst/>
            <a:scene3d>
              <a:camera prst="orthographicFront"/>
              <a:lightRig rig="threePt" dir="t"/>
            </a:scene3d>
            <a:sp3d>
              <a:bevelT/>
            </a:sp3d>
          </c:spPr>
          <c:invertIfNegative val="0"/>
          <c:dLbls>
            <c:dLbl>
              <c:idx val="0"/>
              <c:layout>
                <c:manualLayout>
                  <c:x val="-1.3888888888888914E-2"/>
                  <c:y val="-2.3148148148148126E-2"/>
                </c:manualLayout>
              </c:layout>
              <c:spPr>
                <a:noFill/>
                <a:ln w="25372">
                  <a:noFill/>
                </a:ln>
              </c:spPr>
              <c:txPr>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54-42B1-8D4B-C5C200E28147}"/>
                </c:ext>
              </c:extLst>
            </c:dLbl>
            <c:dLbl>
              <c:idx val="1"/>
              <c:layout>
                <c:manualLayout>
                  <c:x val="-5.0925337632079971E-17"/>
                  <c:y val="-1.3888888888888888E-2"/>
                </c:manualLayout>
              </c:layout>
              <c:spPr>
                <a:noFill/>
                <a:ln w="25372">
                  <a:noFill/>
                </a:ln>
              </c:spPr>
              <c:txPr>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54-42B1-8D4B-C5C200E28147}"/>
                </c:ext>
              </c:extLst>
            </c:dLbl>
            <c:dLbl>
              <c:idx val="2"/>
              <c:layout>
                <c:manualLayout>
                  <c:x val="-8.3333333333334356E-3"/>
                  <c:y val="-1.3888888888888888E-2"/>
                </c:manualLayout>
              </c:layout>
              <c:spPr>
                <a:noFill/>
                <a:ln w="25372">
                  <a:noFill/>
                </a:ln>
              </c:spPr>
              <c:txPr>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54-42B1-8D4B-C5C200E28147}"/>
                </c:ext>
              </c:extLst>
            </c:dLbl>
            <c:spPr>
              <a:noFill/>
              <a:ln w="25372">
                <a:noFill/>
              </a:ln>
            </c:spPr>
            <c:txPr>
              <a:bodyPr wrap="square" lIns="38100" tIns="19050" rIns="38100" bIns="19050" anchor="ctr">
                <a:spAutoFit/>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Лист1!$A$102:$A$104</c:f>
              <c:strCache>
                <c:ptCount val="3"/>
                <c:pt idx="0">
                  <c:v>Доходы, всего</c:v>
                </c:pt>
                <c:pt idx="1">
                  <c:v>Безвозмездные поступления</c:v>
                </c:pt>
                <c:pt idx="2">
                  <c:v>Налоговые и неналоговые доходы</c:v>
                </c:pt>
              </c:strCache>
            </c:strRef>
          </c:cat>
          <c:val>
            <c:numRef>
              <c:f>Лист1!$B$102:$B$104</c:f>
              <c:numCache>
                <c:formatCode>#\ #,#00</c:formatCode>
                <c:ptCount val="3"/>
                <c:pt idx="0">
                  <c:v>169673.3</c:v>
                </c:pt>
                <c:pt idx="1">
                  <c:v>135146.4</c:v>
                </c:pt>
                <c:pt idx="2">
                  <c:v>34526.9</c:v>
                </c:pt>
              </c:numCache>
            </c:numRef>
          </c:val>
          <c:extLst>
            <c:ext xmlns:c16="http://schemas.microsoft.com/office/drawing/2014/chart" uri="{C3380CC4-5D6E-409C-BE32-E72D297353CC}">
              <c16:uniqueId val="{00000003-5154-42B1-8D4B-C5C200E28147}"/>
            </c:ext>
          </c:extLst>
        </c:ser>
        <c:ser>
          <c:idx val="1"/>
          <c:order val="1"/>
          <c:tx>
            <c:strRef>
              <c:f>Лист1!$C$101</c:f>
              <c:strCache>
                <c:ptCount val="1"/>
                <c:pt idx="0">
                  <c:v>2021 год</c:v>
                </c:pt>
              </c:strCache>
            </c:strRef>
          </c:tx>
          <c:spPr>
            <a:solidFill>
              <a:srgbClr val="00B050"/>
            </a:solidFill>
            <a:ln>
              <a:noFill/>
            </a:ln>
            <a:effectLst/>
            <a:scene3d>
              <a:camera prst="orthographicFront"/>
              <a:lightRig rig="threePt" dir="t"/>
            </a:scene3d>
            <a:sp3d>
              <a:bevelT/>
            </a:sp3d>
          </c:spPr>
          <c:invertIfNegative val="0"/>
          <c:dLbls>
            <c:dLbl>
              <c:idx val="0"/>
              <c:layout>
                <c:manualLayout>
                  <c:x val="5.2777777777777778E-2"/>
                  <c:y val="-1.3888888888888911E-2"/>
                </c:manualLayout>
              </c:layout>
              <c:spPr>
                <a:noFill/>
                <a:ln w="25372">
                  <a:noFill/>
                </a:ln>
              </c:spPr>
              <c:txPr>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54-42B1-8D4B-C5C200E28147}"/>
                </c:ext>
              </c:extLst>
            </c:dLbl>
            <c:dLbl>
              <c:idx val="1"/>
              <c:layout>
                <c:manualLayout>
                  <c:x val="7.2222222222222215E-2"/>
                  <c:y val="-1.3888888888888888E-2"/>
                </c:manualLayout>
              </c:layout>
              <c:spPr>
                <a:noFill/>
                <a:ln w="25372">
                  <a:noFill/>
                </a:ln>
              </c:spPr>
              <c:txPr>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54-42B1-8D4B-C5C200E28147}"/>
                </c:ext>
              </c:extLst>
            </c:dLbl>
            <c:dLbl>
              <c:idx val="2"/>
              <c:layout>
                <c:manualLayout>
                  <c:x val="5.5555555555555552E-2"/>
                  <c:y val="-1.3888888888888888E-2"/>
                </c:manualLayout>
              </c:layout>
              <c:spPr>
                <a:noFill/>
                <a:ln w="25372">
                  <a:noFill/>
                </a:ln>
              </c:spPr>
              <c:txPr>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54-42B1-8D4B-C5C200E28147}"/>
                </c:ext>
              </c:extLst>
            </c:dLbl>
            <c:spPr>
              <a:noFill/>
              <a:ln w="25372">
                <a:noFill/>
              </a:ln>
            </c:spPr>
            <c:txPr>
              <a:bodyPr wrap="square" lIns="38100" tIns="19050" rIns="38100" bIns="19050" anchor="ctr">
                <a:spAutoFit/>
              </a:bodyPr>
              <a:lstStyle/>
              <a:p>
                <a:pPr>
                  <a:defRPr sz="899" b="1" i="0" u="none" strike="noStrike" baseline="0">
                    <a:solidFill>
                      <a:srgbClr val="333333"/>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Лист1!$A$102:$A$104</c:f>
              <c:strCache>
                <c:ptCount val="3"/>
                <c:pt idx="0">
                  <c:v>Доходы, всего</c:v>
                </c:pt>
                <c:pt idx="1">
                  <c:v>Безвозмездные поступления</c:v>
                </c:pt>
                <c:pt idx="2">
                  <c:v>Налоговые и неналоговые доходы</c:v>
                </c:pt>
              </c:strCache>
            </c:strRef>
          </c:cat>
          <c:val>
            <c:numRef>
              <c:f>Лист1!$C$102:$C$104</c:f>
              <c:numCache>
                <c:formatCode>#\ #,#00</c:formatCode>
                <c:ptCount val="3"/>
                <c:pt idx="0">
                  <c:v>172846.8</c:v>
                </c:pt>
                <c:pt idx="1">
                  <c:v>131112.29999999999</c:v>
                </c:pt>
                <c:pt idx="2">
                  <c:v>41734.5</c:v>
                </c:pt>
              </c:numCache>
            </c:numRef>
          </c:val>
          <c:extLst>
            <c:ext xmlns:c16="http://schemas.microsoft.com/office/drawing/2014/chart" uri="{C3380CC4-5D6E-409C-BE32-E72D297353CC}">
              <c16:uniqueId val="{00000007-5154-42B1-8D4B-C5C200E28147}"/>
            </c:ext>
          </c:extLst>
        </c:ser>
        <c:dLbls>
          <c:showLegendKey val="0"/>
          <c:showVal val="0"/>
          <c:showCatName val="0"/>
          <c:showSerName val="0"/>
          <c:showPercent val="0"/>
          <c:showBubbleSize val="0"/>
        </c:dLbls>
        <c:gapWidth val="150"/>
        <c:shape val="box"/>
        <c:axId val="201960328"/>
        <c:axId val="1"/>
        <c:axId val="0"/>
      </c:bar3DChart>
      <c:catAx>
        <c:axId val="201960328"/>
        <c:scaling>
          <c:orientation val="minMax"/>
        </c:scaling>
        <c:delete val="0"/>
        <c:axPos val="b"/>
        <c:numFmt formatCode="General" sourceLinked="1"/>
        <c:majorTickMark val="none"/>
        <c:minorTickMark val="none"/>
        <c:tickLblPos val="nextTo"/>
        <c:spPr>
          <a:ln w="9515">
            <a:noFill/>
          </a:ln>
        </c:spPr>
        <c:txPr>
          <a:bodyPr rot="0" vert="horz"/>
          <a:lstStyle/>
          <a:p>
            <a:pPr>
              <a:defRPr sz="899" b="1" i="0" u="none" strike="noStrike" baseline="0">
                <a:solidFill>
                  <a:srgbClr val="333333"/>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max val="170000"/>
          <c:min val="0"/>
        </c:scaling>
        <c:delete val="1"/>
        <c:axPos val="l"/>
        <c:majorGridlines>
          <c:spPr>
            <a:ln w="9515" cap="flat" cmpd="sng" algn="ctr">
              <a:solidFill>
                <a:schemeClr val="tx1">
                  <a:lumMod val="15000"/>
                  <a:lumOff val="85000"/>
                </a:schemeClr>
              </a:solidFill>
              <a:round/>
            </a:ln>
            <a:effectLst/>
          </c:spPr>
        </c:majorGridlines>
        <c:minorGridlines>
          <c:spPr>
            <a:ln w="9515" cap="flat" cmpd="sng" algn="ctr">
              <a:solidFill>
                <a:schemeClr val="tx1">
                  <a:lumMod val="5000"/>
                  <a:lumOff val="95000"/>
                </a:schemeClr>
              </a:solidFill>
              <a:round/>
            </a:ln>
            <a:effectLst/>
          </c:spPr>
        </c:minorGridlines>
        <c:numFmt formatCode="#\ #,#00" sourceLinked="1"/>
        <c:majorTickMark val="out"/>
        <c:minorTickMark val="none"/>
        <c:tickLblPos val="nextTo"/>
        <c:crossAx val="201960328"/>
        <c:crosses val="autoZero"/>
        <c:crossBetween val="between"/>
      </c:valAx>
      <c:spPr>
        <a:noFill/>
        <a:ln w="25372">
          <a:noFill/>
        </a:ln>
      </c:spPr>
    </c:plotArea>
    <c:legend>
      <c:legendPos val="r"/>
      <c:layout>
        <c:manualLayout>
          <c:xMode val="edge"/>
          <c:yMode val="edge"/>
          <c:x val="0.35917721518987344"/>
          <c:y val="2.4221453287197232E-2"/>
          <c:w val="0.32436708860759494"/>
          <c:h val="6.9204152249134954E-2"/>
        </c:manualLayout>
      </c:layout>
      <c:overlay val="0"/>
      <c:spPr>
        <a:noFill/>
        <a:ln w="25372">
          <a:noFill/>
        </a:ln>
      </c:spPr>
      <c:txPr>
        <a:bodyPr/>
        <a:lstStyle/>
        <a:p>
          <a:pPr>
            <a:defRPr sz="919" b="1" i="0" u="none" strike="noStrike" baseline="0">
              <a:solidFill>
                <a:srgbClr val="333333"/>
              </a:solidFill>
              <a:latin typeface="Times New Roman"/>
              <a:ea typeface="Times New Roman"/>
              <a:cs typeface="Times New Roman"/>
            </a:defRPr>
          </a:pPr>
          <a:endParaRPr lang="ru-RU"/>
        </a:p>
      </c:txPr>
    </c:legend>
    <c:plotVisOnly val="1"/>
    <c:dispBlanksAs val="gap"/>
    <c:showDLblsOverMax val="0"/>
  </c:chart>
  <c:spPr>
    <a:solidFill>
      <a:schemeClr val="bg1"/>
    </a:solidFill>
    <a:ln>
      <a:noFill/>
    </a:ln>
    <a:effectLst/>
  </c:spPr>
  <c:txPr>
    <a:bodyPr/>
    <a:lstStyle/>
    <a:p>
      <a:pPr>
        <a:defRPr sz="999" b="0" i="0" u="none" strike="noStrike" baseline="0">
          <a:solidFill>
            <a:srgbClr val="000000"/>
          </a:solidFill>
          <a:latin typeface="Calibri"/>
          <a:ea typeface="Calibri"/>
          <a:cs typeface="Calibri"/>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587453853266821E-3"/>
          <c:y val="0.12958924496161708"/>
          <c:w val="0.98344128375241924"/>
          <c:h val="0.73160398986573871"/>
        </c:manualLayout>
      </c:layout>
      <c:bar3DChart>
        <c:barDir val="col"/>
        <c:grouping val="clustered"/>
        <c:varyColors val="0"/>
        <c:ser>
          <c:idx val="0"/>
          <c:order val="0"/>
          <c:tx>
            <c:strRef>
              <c:f>Лист1!$B$134</c:f>
              <c:strCache>
                <c:ptCount val="1"/>
                <c:pt idx="0">
                  <c:v>Утверждено</c:v>
                </c:pt>
              </c:strCache>
            </c:strRef>
          </c:tx>
          <c:spPr>
            <a:solidFill>
              <a:srgbClr val="C00000"/>
            </a:solidFill>
            <a:ln>
              <a:noFill/>
            </a:ln>
            <a:effectLst/>
            <a:scene3d>
              <a:camera prst="orthographicFront"/>
              <a:lightRig rig="threePt" dir="t"/>
            </a:scene3d>
            <a:sp3d>
              <a:bevelT/>
            </a:sp3d>
          </c:spPr>
          <c:invertIfNegative val="0"/>
          <c:dLbls>
            <c:dLbl>
              <c:idx val="1"/>
              <c:layout>
                <c:manualLayout>
                  <c:x val="0"/>
                  <c:y val="0.16394003123198891"/>
                </c:manualLayout>
              </c:layout>
              <c:spPr>
                <a:solidFill>
                  <a:schemeClr val="bg1"/>
                </a:solidFill>
                <a:ln>
                  <a:noFill/>
                </a:ln>
                <a:effectLst/>
              </c:spPr>
              <c:txPr>
                <a:bodyPr rot="-5400000" spcFirstLastPara="1" vertOverflow="ellipsis" vert="horz" wrap="square" lIns="38100" tIns="19050" rIns="38100" bIns="19050" anchor="ctr" anchorCtr="0">
                  <a:spAutoFit/>
                </a:bodyPr>
                <a:lstStyle/>
                <a:p>
                  <a:pPr algn="ctr">
                    <a:defRPr lang="en-US"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90-40E4-9D8B-DD8BE37CA0F5}"/>
                </c:ext>
              </c:extLst>
            </c:dLbl>
            <c:spPr>
              <a:noFill/>
              <a:ln>
                <a:noFill/>
              </a:ln>
              <a:effectLst/>
            </c:spPr>
            <c:txPr>
              <a:bodyPr rot="-5400000" spcFirstLastPara="1" vertOverflow="ellipsis" vert="horz" wrap="square" lIns="38100" tIns="19050" rIns="38100" bIns="19050" anchor="ctr" anchorCtr="0">
                <a:spAutoFit/>
              </a:bodyPr>
              <a:lstStyle/>
              <a:p>
                <a:pPr algn="ctr">
                  <a:defRPr lang="en-US"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Лист1!$A$135:$A$143</c:f>
              <c:strCache>
                <c:ptCount val="9"/>
                <c:pt idx="0">
                  <c:v>Налог на прибыль организаций</c:v>
                </c:pt>
                <c:pt idx="1">
                  <c:v>Налог на доходы физических лиц</c:v>
                </c:pt>
                <c:pt idx="2">
                  <c:v>Акцизы на алкогольную продукцию</c:v>
                </c:pt>
                <c:pt idx="3">
                  <c:v>Акцизы на ГСМ</c:v>
                </c:pt>
                <c:pt idx="4">
                  <c:v>Налог на имущество организаций</c:v>
                </c:pt>
                <c:pt idx="5">
                  <c:v>Транспортный налог</c:v>
                </c:pt>
                <c:pt idx="6">
                  <c:v>НДПИ</c:v>
                </c:pt>
                <c:pt idx="7">
                  <c:v>Прочие налоговые доходы</c:v>
                </c:pt>
                <c:pt idx="8">
                  <c:v>Неналоговые доходы</c:v>
                </c:pt>
              </c:strCache>
            </c:strRef>
          </c:cat>
          <c:val>
            <c:numRef>
              <c:f>Лист1!$B$135:$B$143</c:f>
              <c:numCache>
                <c:formatCode>#\ #,#00</c:formatCode>
                <c:ptCount val="9"/>
                <c:pt idx="0">
                  <c:v>5307.7</c:v>
                </c:pt>
                <c:pt idx="1">
                  <c:v>19672.599999999999</c:v>
                </c:pt>
                <c:pt idx="2">
                  <c:v>1552.3</c:v>
                </c:pt>
                <c:pt idx="3">
                  <c:v>7249.9</c:v>
                </c:pt>
                <c:pt idx="4">
                  <c:v>3659.4</c:v>
                </c:pt>
                <c:pt idx="5">
                  <c:v>1353.1</c:v>
                </c:pt>
                <c:pt idx="6">
                  <c:v>45</c:v>
                </c:pt>
                <c:pt idx="7">
                  <c:v>149.9</c:v>
                </c:pt>
                <c:pt idx="8">
                  <c:v>2242.8000000000002</c:v>
                </c:pt>
              </c:numCache>
            </c:numRef>
          </c:val>
          <c:extLst>
            <c:ext xmlns:c16="http://schemas.microsoft.com/office/drawing/2014/chart" uri="{C3380CC4-5D6E-409C-BE32-E72D297353CC}">
              <c16:uniqueId val="{00000001-4A90-40E4-9D8B-DD8BE37CA0F5}"/>
            </c:ext>
          </c:extLst>
        </c:ser>
        <c:ser>
          <c:idx val="1"/>
          <c:order val="1"/>
          <c:tx>
            <c:strRef>
              <c:f>Лист1!$C$134</c:f>
              <c:strCache>
                <c:ptCount val="1"/>
                <c:pt idx="0">
                  <c:v>Исполнено</c:v>
                </c:pt>
              </c:strCache>
            </c:strRef>
          </c:tx>
          <c:spPr>
            <a:solidFill>
              <a:srgbClr val="0070C0"/>
            </a:solidFill>
            <a:ln>
              <a:noFill/>
            </a:ln>
            <a:effectLst/>
            <a:scene3d>
              <a:camera prst="orthographicFront"/>
              <a:lightRig rig="threePt" dir="t"/>
            </a:scene3d>
            <a:sp3d>
              <a:bevelT/>
            </a:sp3d>
          </c:spPr>
          <c:invertIfNegative val="0"/>
          <c:dLbls>
            <c:dLbl>
              <c:idx val="0"/>
              <c:layout>
                <c:manualLayout>
                  <c:x val="6.300485534267117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90-40E4-9D8B-DD8BE37CA0F5}"/>
                </c:ext>
              </c:extLst>
            </c:dLbl>
            <c:dLbl>
              <c:idx val="1"/>
              <c:layout>
                <c:manualLayout>
                  <c:x val="6.5433905881308145E-3"/>
                  <c:y val="0.16413889443224905"/>
                </c:manualLayout>
              </c:layout>
              <c:spPr>
                <a:solidFill>
                  <a:schemeClr val="bg1"/>
                </a:solidFill>
                <a:ln>
                  <a:noFill/>
                </a:ln>
                <a:effectLst/>
              </c:spPr>
              <c:txPr>
                <a:bodyPr rot="-5400000" spcFirstLastPara="1" vertOverflow="ellipsis" vert="horz" wrap="square" lIns="38100" tIns="19050" rIns="38100" bIns="19050" anchor="ctr" anchorCtr="0">
                  <a:spAutoFit/>
                </a:bodyPr>
                <a:lstStyle/>
                <a:p>
                  <a:pPr algn="ctr">
                    <a:defRPr lang="en-US"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90-40E4-9D8B-DD8BE37CA0F5}"/>
                </c:ext>
              </c:extLst>
            </c:dLbl>
            <c:dLbl>
              <c:idx val="2"/>
              <c:layout>
                <c:manualLayout>
                  <c:x val="1.0500809223778529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A90-40E4-9D8B-DD8BE37CA0F5}"/>
                </c:ext>
              </c:extLst>
            </c:dLbl>
            <c:dLbl>
              <c:idx val="3"/>
              <c:layout>
                <c:manualLayout>
                  <c:x val="1.26009710685342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A90-40E4-9D8B-DD8BE37CA0F5}"/>
                </c:ext>
              </c:extLst>
            </c:dLbl>
            <c:dLbl>
              <c:idx val="4"/>
              <c:layout>
                <c:manualLayout>
                  <c:x val="1.2600971068534235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A90-40E4-9D8B-DD8BE37CA0F5}"/>
                </c:ext>
              </c:extLst>
            </c:dLbl>
            <c:dLbl>
              <c:idx val="5"/>
              <c:layout>
                <c:manualLayout>
                  <c:x val="8.4006473790227462E-3"/>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A90-40E4-9D8B-DD8BE37CA0F5}"/>
                </c:ext>
              </c:extLst>
            </c:dLbl>
            <c:dLbl>
              <c:idx val="6"/>
              <c:layout>
                <c:manualLayout>
                  <c:x val="6.300485534267117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A90-40E4-9D8B-DD8BE37CA0F5}"/>
                </c:ext>
              </c:extLst>
            </c:dLbl>
            <c:dLbl>
              <c:idx val="7"/>
              <c:layout>
                <c:manualLayout>
                  <c:x val="8.400647379022822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A90-40E4-9D8B-DD8BE37CA0F5}"/>
                </c:ext>
              </c:extLst>
            </c:dLbl>
            <c:dLbl>
              <c:idx val="8"/>
              <c:layout>
                <c:manualLayout>
                  <c:x val="1.260097106853408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A90-40E4-9D8B-DD8BE37CA0F5}"/>
                </c:ext>
              </c:extLst>
            </c:dLbl>
            <c:spPr>
              <a:noFill/>
              <a:ln>
                <a:noFill/>
              </a:ln>
              <a:effectLst/>
            </c:spPr>
            <c:txPr>
              <a:bodyPr rot="-5400000" spcFirstLastPara="1" vertOverflow="ellipsis" vert="horz" wrap="square" lIns="38100" tIns="19050" rIns="38100" bIns="19050" anchor="ctr" anchorCtr="0">
                <a:spAutoFit/>
              </a:bodyPr>
              <a:lstStyle/>
              <a:p>
                <a:pPr algn="ctr">
                  <a:defRPr lang="en-US" sz="7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Лист1!$A$135:$A$143</c:f>
              <c:strCache>
                <c:ptCount val="9"/>
                <c:pt idx="0">
                  <c:v>Налог на прибыль организаций</c:v>
                </c:pt>
                <c:pt idx="1">
                  <c:v>Налог на доходы физических лиц</c:v>
                </c:pt>
                <c:pt idx="2">
                  <c:v>Акцизы на алкогольную продукцию</c:v>
                </c:pt>
                <c:pt idx="3">
                  <c:v>Акцизы на ГСМ</c:v>
                </c:pt>
                <c:pt idx="4">
                  <c:v>Налог на имущество организаций</c:v>
                </c:pt>
                <c:pt idx="5">
                  <c:v>Транспортный налог</c:v>
                </c:pt>
                <c:pt idx="6">
                  <c:v>НДПИ</c:v>
                </c:pt>
                <c:pt idx="7">
                  <c:v>Прочие налоговые доходы</c:v>
                </c:pt>
                <c:pt idx="8">
                  <c:v>Неналоговые доходы</c:v>
                </c:pt>
              </c:strCache>
            </c:strRef>
          </c:cat>
          <c:val>
            <c:numRef>
              <c:f>Лист1!$C$135:$C$143</c:f>
              <c:numCache>
                <c:formatCode>#\ #,#00</c:formatCode>
                <c:ptCount val="9"/>
                <c:pt idx="0">
                  <c:v>5964.6</c:v>
                </c:pt>
                <c:pt idx="1">
                  <c:v>18619.599999999999</c:v>
                </c:pt>
                <c:pt idx="2">
                  <c:v>1538.3</c:v>
                </c:pt>
                <c:pt idx="3">
                  <c:v>7389.3</c:v>
                </c:pt>
                <c:pt idx="4">
                  <c:v>3702.5</c:v>
                </c:pt>
                <c:pt idx="5">
                  <c:v>1553.8</c:v>
                </c:pt>
                <c:pt idx="6">
                  <c:v>23.2</c:v>
                </c:pt>
                <c:pt idx="7">
                  <c:v>174.6</c:v>
                </c:pt>
                <c:pt idx="8">
                  <c:v>2768.7</c:v>
                </c:pt>
              </c:numCache>
            </c:numRef>
          </c:val>
          <c:extLst>
            <c:ext xmlns:c16="http://schemas.microsoft.com/office/drawing/2014/chart" uri="{C3380CC4-5D6E-409C-BE32-E72D297353CC}">
              <c16:uniqueId val="{0000000B-4A90-40E4-9D8B-DD8BE37CA0F5}"/>
            </c:ext>
          </c:extLst>
        </c:ser>
        <c:dLbls>
          <c:showLegendKey val="0"/>
          <c:showVal val="0"/>
          <c:showCatName val="0"/>
          <c:showSerName val="0"/>
          <c:showPercent val="0"/>
          <c:showBubbleSize val="0"/>
        </c:dLbls>
        <c:gapWidth val="150"/>
        <c:shape val="box"/>
        <c:axId val="201958688"/>
        <c:axId val="1"/>
        <c:axId val="0"/>
      </c:bar3DChart>
      <c:catAx>
        <c:axId val="201958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
        <c:crosses val="autoZero"/>
        <c:auto val="1"/>
        <c:lblAlgn val="ctr"/>
        <c:lblOffset val="100"/>
        <c:noMultiLvlLbl val="0"/>
      </c:catAx>
      <c:valAx>
        <c:axId val="1"/>
        <c:scaling>
          <c:orientation val="minMax"/>
          <c:max val="16000"/>
        </c:scaling>
        <c:delete val="1"/>
        <c:axPos val="l"/>
        <c:majorGridlines>
          <c:spPr>
            <a:ln w="9523" cap="flat" cmpd="sng" algn="ctr">
              <a:solidFill>
                <a:schemeClr val="tx1">
                  <a:lumMod val="15000"/>
                  <a:lumOff val="85000"/>
                </a:schemeClr>
              </a:solidFill>
              <a:round/>
            </a:ln>
            <a:effectLst/>
          </c:spPr>
        </c:majorGridlines>
        <c:minorGridlines>
          <c:spPr>
            <a:ln w="9523" cap="flat" cmpd="sng" algn="ctr">
              <a:solidFill>
                <a:schemeClr val="tx1">
                  <a:lumMod val="5000"/>
                  <a:lumOff val="95000"/>
                </a:schemeClr>
              </a:solidFill>
              <a:round/>
            </a:ln>
            <a:effectLst/>
          </c:spPr>
        </c:minorGridlines>
        <c:numFmt formatCode="#\ #,#00" sourceLinked="1"/>
        <c:majorTickMark val="out"/>
        <c:minorTickMark val="none"/>
        <c:tickLblPos val="nextTo"/>
        <c:crossAx val="201958688"/>
        <c:crosses val="autoZero"/>
        <c:crossBetween val="between"/>
      </c:valAx>
      <c:spPr>
        <a:noFill/>
        <a:ln w="25394">
          <a:noFill/>
        </a:ln>
      </c:spPr>
    </c:plotArea>
    <c:legend>
      <c:legendPos val="t"/>
      <c:layout>
        <c:manualLayout>
          <c:xMode val="edge"/>
          <c:yMode val="edge"/>
          <c:x val="0.35201966842752247"/>
          <c:y val="2.6584867075664622E-2"/>
          <c:w val="0.3454279211933951"/>
          <c:h val="7.5165128898764949E-2"/>
        </c:manualLayout>
      </c:layout>
      <c:overlay val="0"/>
      <c:spPr>
        <a:noFill/>
        <a:ln>
          <a:noFill/>
        </a:ln>
        <a:effectLst/>
      </c:spPr>
      <c:txPr>
        <a:bodyPr rot="0" spcFirstLastPara="1" vertOverflow="ellipsis" vert="horz" wrap="square" anchor="ctr" anchorCtr="1"/>
        <a:lstStyle/>
        <a:p>
          <a:pPr>
            <a:defRPr lang="en-US"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90"/>
      <c:rAngAx val="0"/>
      <c:perspective val="0"/>
    </c:view3D>
    <c:floor>
      <c:thickness val="0"/>
    </c:floor>
    <c:sideWall>
      <c:thickness val="0"/>
    </c:sideWall>
    <c:backWall>
      <c:thickness val="0"/>
    </c:backWall>
    <c:plotArea>
      <c:layout>
        <c:manualLayout>
          <c:layoutTarget val="inner"/>
          <c:xMode val="edge"/>
          <c:yMode val="edge"/>
          <c:x val="0.10839624461791365"/>
          <c:y val="4.7596971775162179E-2"/>
          <c:w val="0.79731811054964885"/>
          <c:h val="0.74422491566882398"/>
        </c:manualLayout>
      </c:layout>
      <c:pie3DChart>
        <c:varyColors val="1"/>
        <c:ser>
          <c:idx val="0"/>
          <c:order val="0"/>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1-7C5D-4CD3-B6FD-7376674F616D}"/>
              </c:ext>
            </c:extLst>
          </c:dPt>
          <c:dPt>
            <c:idx val="1"/>
            <c:bubble3D val="0"/>
            <c:spPr>
              <a:solidFill>
                <a:schemeClr val="accent4">
                  <a:lumMod val="60000"/>
                  <a:lumOff val="40000"/>
                </a:schemeClr>
              </a:solidFill>
              <a:ln w="25400">
                <a:noFill/>
              </a:ln>
              <a:effectLst/>
              <a:scene3d>
                <a:camera prst="orthographicFront"/>
                <a:lightRig rig="threePt" dir="t"/>
              </a:scene3d>
              <a:sp3d>
                <a:bevelT/>
                <a:contourClr>
                  <a:srgbClr val="000000"/>
                </a:contourClr>
              </a:sp3d>
            </c:spPr>
            <c:extLst>
              <c:ext xmlns:c16="http://schemas.microsoft.com/office/drawing/2014/chart" uri="{C3380CC4-5D6E-409C-BE32-E72D297353CC}">
                <c16:uniqueId val="{00000003-7C5D-4CD3-B6FD-7376674F616D}"/>
              </c:ext>
            </c:extLst>
          </c:dPt>
          <c:dPt>
            <c:idx val="2"/>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7C5D-4CD3-B6FD-7376674F616D}"/>
              </c:ext>
            </c:extLst>
          </c:dPt>
          <c:dPt>
            <c:idx val="3"/>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C5D-4CD3-B6FD-7376674F616D}"/>
              </c:ext>
            </c:extLst>
          </c:dPt>
          <c:dPt>
            <c:idx val="4"/>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9-7C5D-4CD3-B6FD-7376674F616D}"/>
              </c:ext>
            </c:extLst>
          </c:dPt>
          <c:dLbls>
            <c:dLbl>
              <c:idx val="0"/>
              <c:layout>
                <c:manualLayout>
                  <c:x val="0"/>
                  <c:y val="0.190647558626420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7C5D-4CD3-B6FD-7376674F616D}"/>
                </c:ext>
              </c:extLst>
            </c:dLbl>
            <c:dLbl>
              <c:idx val="1"/>
              <c:layout>
                <c:manualLayout>
                  <c:x val="9.242641316799402E-2"/>
                  <c:y val="-0.39437905913970567"/>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7C5D-4CD3-B6FD-7376674F616D}"/>
                </c:ext>
              </c:extLst>
            </c:dLbl>
            <c:dLbl>
              <c:idx val="2"/>
              <c:layout>
                <c:manualLayout>
                  <c:x val="1.1672482699472565E-2"/>
                  <c:y val="0.2453337911166223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7C5D-4CD3-B6FD-7376674F616D}"/>
                </c:ext>
              </c:extLst>
            </c:dLbl>
            <c:dLbl>
              <c:idx val="3"/>
              <c:layout>
                <c:manualLayout>
                  <c:x val="3.9924026986392157E-2"/>
                  <c:y val="0.1272413880244937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7C5D-4CD3-B6FD-7376674F616D}"/>
                </c:ext>
              </c:extLst>
            </c:dLbl>
            <c:dLbl>
              <c:idx val="4"/>
              <c:layout>
                <c:manualLayout>
                  <c:x val="1.0213300832994788E-2"/>
                  <c:y val="-0.12059902802383152"/>
                </c:manualLayout>
              </c:layout>
              <c:spPr>
                <a:noFill/>
                <a:ln>
                  <a:noFill/>
                </a:ln>
                <a:effectLst/>
              </c:spPr>
              <c:txPr>
                <a:bodyPr rot="0" spcFirstLastPara="1" vertOverflow="ellipsis" vert="horz" wrap="square" lIns="38100" tIns="19050" rIns="38100" bIns="19050" anchor="ctr" anchorCtr="1">
                  <a:no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9-7C5D-4CD3-B6FD-7376674F616D}"/>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Лист1!$A$334:$A$338</c:f>
              <c:strCache>
                <c:ptCount val="5"/>
                <c:pt idx="0">
                  <c:v>Доходы от использования государственной собственности</c:v>
                </c:pt>
                <c:pt idx="1">
                  <c:v>  Доходы от операций по управлению остатками средств на едином казначейском счете</c:v>
                </c:pt>
                <c:pt idx="2">
                  <c:v>Доходы от платных услуг (работ) и компенсации затрат государства</c:v>
                </c:pt>
                <c:pt idx="3">
                  <c:v>Штрафы, санкции, возмещение ущерба</c:v>
                </c:pt>
                <c:pt idx="4">
                  <c:v>Прочие неналоговые  доходы</c:v>
                </c:pt>
              </c:strCache>
            </c:strRef>
          </c:cat>
          <c:val>
            <c:numRef>
              <c:f>Лист1!$B$334:$B$338</c:f>
              <c:numCache>
                <c:formatCode>#,#00</c:formatCode>
                <c:ptCount val="5"/>
                <c:pt idx="0">
                  <c:v>6.6377036110443139</c:v>
                </c:pt>
                <c:pt idx="1">
                  <c:v>40.170904084071111</c:v>
                </c:pt>
                <c:pt idx="2">
                  <c:v>3.3697850409427077</c:v>
                </c:pt>
                <c:pt idx="3">
                  <c:v>48.261021165500658</c:v>
                </c:pt>
                <c:pt idx="4">
                  <c:v>1.6</c:v>
                </c:pt>
              </c:numCache>
            </c:numRef>
          </c:val>
          <c:extLst>
            <c:ext xmlns:c16="http://schemas.microsoft.com/office/drawing/2014/chart" uri="{C3380CC4-5D6E-409C-BE32-E72D297353CC}">
              <c16:uniqueId val="{0000000A-7C5D-4CD3-B6FD-7376674F616D}"/>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a:noFill/>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cene3d>
              <a:camera prst="orthographicFront"/>
              <a:lightRig rig="threePt" dir="t"/>
            </a:scene3d>
            <a:sp3d>
              <a:bevelT/>
            </a:sp3d>
          </c:spPr>
          <c:invertIfNegative val="0"/>
          <c:dPt>
            <c:idx val="0"/>
            <c:invertIfNegative val="0"/>
            <c:bubble3D val="0"/>
            <c:spPr>
              <a:solidFill>
                <a:srgbClr val="FF0000"/>
              </a:solidFill>
              <a:ln>
                <a:noFill/>
              </a:ln>
              <a:effectLst/>
              <a:scene3d>
                <a:camera prst="orthographicFront"/>
                <a:lightRig rig="threePt" dir="t"/>
              </a:scene3d>
              <a:sp3d>
                <a:bevelT/>
              </a:sp3d>
            </c:spPr>
            <c:extLst>
              <c:ext xmlns:c16="http://schemas.microsoft.com/office/drawing/2014/chart" uri="{C3380CC4-5D6E-409C-BE32-E72D297353CC}">
                <c16:uniqueId val="{00000001-0DDD-4FCF-B765-024ACBCD2C06}"/>
              </c:ext>
            </c:extLst>
          </c:dPt>
          <c:dPt>
            <c:idx val="1"/>
            <c:invertIfNegative val="0"/>
            <c:bubble3D val="0"/>
            <c:spPr>
              <a:solidFill>
                <a:schemeClr val="accent6">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3-0DDD-4FCF-B765-024ACBCD2C06}"/>
              </c:ext>
            </c:extLst>
          </c:dPt>
          <c:dPt>
            <c:idx val="2"/>
            <c:invertIfNegative val="0"/>
            <c:bubble3D val="0"/>
            <c:spPr>
              <a:solidFill>
                <a:srgbClr val="FF0000"/>
              </a:solidFill>
              <a:ln>
                <a:noFill/>
              </a:ln>
              <a:effectLst/>
              <a:scene3d>
                <a:camera prst="orthographicFront"/>
                <a:lightRig rig="threePt" dir="t"/>
              </a:scene3d>
              <a:sp3d>
                <a:bevelT/>
              </a:sp3d>
            </c:spPr>
            <c:extLst>
              <c:ext xmlns:c16="http://schemas.microsoft.com/office/drawing/2014/chart" uri="{C3380CC4-5D6E-409C-BE32-E72D297353CC}">
                <c16:uniqueId val="{00000005-0DDD-4FCF-B765-024ACBCD2C06}"/>
              </c:ext>
            </c:extLst>
          </c:dPt>
          <c:dPt>
            <c:idx val="3"/>
            <c:invertIfNegative val="0"/>
            <c:bubble3D val="0"/>
            <c:spPr>
              <a:solidFill>
                <a:schemeClr val="accent6">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7-0DDD-4FCF-B765-024ACBCD2C06}"/>
              </c:ext>
            </c:extLst>
          </c:dPt>
          <c:dPt>
            <c:idx val="4"/>
            <c:invertIfNegative val="0"/>
            <c:bubble3D val="0"/>
            <c:spPr>
              <a:solidFill>
                <a:srgbClr val="FF0000"/>
              </a:solidFill>
              <a:ln>
                <a:noFill/>
              </a:ln>
              <a:effectLst/>
              <a:scene3d>
                <a:camera prst="orthographicFront"/>
                <a:lightRig rig="threePt" dir="t"/>
              </a:scene3d>
              <a:sp3d>
                <a:bevelT/>
              </a:sp3d>
            </c:spPr>
            <c:extLst>
              <c:ext xmlns:c16="http://schemas.microsoft.com/office/drawing/2014/chart" uri="{C3380CC4-5D6E-409C-BE32-E72D297353CC}">
                <c16:uniqueId val="{00000009-0DDD-4FCF-B765-024ACBCD2C06}"/>
              </c:ext>
            </c:extLst>
          </c:dPt>
          <c:dPt>
            <c:idx val="5"/>
            <c:invertIfNegative val="0"/>
            <c:bubble3D val="0"/>
            <c:spPr>
              <a:solidFill>
                <a:schemeClr val="accent6">
                  <a:lumMod val="75000"/>
                </a:schemeClr>
              </a:solidFill>
              <a:ln>
                <a:noFill/>
              </a:ln>
              <a:effectLst/>
              <a:scene3d>
                <a:camera prst="orthographicFront"/>
                <a:lightRig rig="threePt" dir="t"/>
              </a:scene3d>
              <a:sp3d>
                <a:bevelT/>
              </a:sp3d>
            </c:spPr>
            <c:extLst>
              <c:ext xmlns:c16="http://schemas.microsoft.com/office/drawing/2014/chart" uri="{C3380CC4-5D6E-409C-BE32-E72D297353CC}">
                <c16:uniqueId val="{0000000B-0DDD-4FCF-B765-024ACBCD2C06}"/>
              </c:ext>
            </c:extLst>
          </c:dPt>
          <c:cat>
            <c:multiLvlStrRef>
              <c:f>'[Диаграмма в Microsoft Word]Лист1'!$B$9:$G$10</c:f>
              <c:multiLvlStrCache>
                <c:ptCount val="6"/>
                <c:lvl>
                  <c:pt idx="0">
                    <c:v>план</c:v>
                  </c:pt>
                  <c:pt idx="1">
                    <c:v>факт</c:v>
                  </c:pt>
                  <c:pt idx="2">
                    <c:v>план</c:v>
                  </c:pt>
                  <c:pt idx="3">
                    <c:v>факт</c:v>
                  </c:pt>
                  <c:pt idx="4">
                    <c:v>план</c:v>
                  </c:pt>
                  <c:pt idx="5">
                    <c:v>факт</c:v>
                  </c:pt>
                </c:lvl>
                <c:lvl>
                  <c:pt idx="0">
                    <c:v>Социальная сфера</c:v>
                  </c:pt>
                  <c:pt idx="2">
                    <c:v>Жилищно-комунальное хозяйство</c:v>
                  </c:pt>
                  <c:pt idx="4">
                    <c:v>Прочие расходы</c:v>
                  </c:pt>
                </c:lvl>
              </c:multiLvlStrCache>
            </c:multiLvlStrRef>
          </c:cat>
          <c:val>
            <c:numRef>
              <c:f>'[Диаграмма в Microsoft Word]Лист1'!$B$11:$G$11</c:f>
              <c:numCache>
                <c:formatCode>General</c:formatCode>
                <c:ptCount val="6"/>
                <c:pt idx="0" formatCode="0">
                  <c:v>14574.87</c:v>
                </c:pt>
                <c:pt idx="1">
                  <c:v>2000</c:v>
                </c:pt>
                <c:pt idx="2" formatCode="#,##0.00">
                  <c:v>900</c:v>
                </c:pt>
                <c:pt idx="3" formatCode="#,##0.00">
                  <c:v>800</c:v>
                </c:pt>
                <c:pt idx="4" formatCode="0.00">
                  <c:v>402.29</c:v>
                </c:pt>
                <c:pt idx="5">
                  <c:v>119.31</c:v>
                </c:pt>
              </c:numCache>
            </c:numRef>
          </c:val>
          <c:extLst>
            <c:ext xmlns:c16="http://schemas.microsoft.com/office/drawing/2014/chart" uri="{C3380CC4-5D6E-409C-BE32-E72D297353CC}">
              <c16:uniqueId val="{0000000C-0DDD-4FCF-B765-024ACBCD2C06}"/>
            </c:ext>
          </c:extLst>
        </c:ser>
        <c:dLbls>
          <c:showLegendKey val="0"/>
          <c:showVal val="0"/>
          <c:showCatName val="0"/>
          <c:showSerName val="0"/>
          <c:showPercent val="0"/>
          <c:showBubbleSize val="0"/>
        </c:dLbls>
        <c:gapWidth val="150"/>
        <c:shape val="box"/>
        <c:axId val="451070712"/>
        <c:axId val="365416664"/>
        <c:axId val="0"/>
      </c:bar3DChart>
      <c:catAx>
        <c:axId val="451070712"/>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65416664"/>
        <c:crosses val="autoZero"/>
        <c:auto val="1"/>
        <c:lblAlgn val="ctr"/>
        <c:lblOffset val="100"/>
        <c:noMultiLvlLbl val="0"/>
      </c:catAx>
      <c:valAx>
        <c:axId val="365416664"/>
        <c:scaling>
          <c:orientation val="minMax"/>
          <c:max val="3200"/>
          <c:min val="50"/>
        </c:scaling>
        <c:delete val="1"/>
        <c:axPos val="l"/>
        <c:numFmt formatCode="0" sourceLinked="1"/>
        <c:majorTickMark val="none"/>
        <c:minorTickMark val="none"/>
        <c:tickLblPos val="nextTo"/>
        <c:crossAx val="451070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818610312087373"/>
          <c:y val="1.5651976487729913E-2"/>
          <c:w val="0.65075657055783154"/>
          <c:h val="0.79682145245152325"/>
        </c:manualLayout>
      </c:layout>
      <c:pie3DChart>
        <c:varyColors val="1"/>
        <c:ser>
          <c:idx val="0"/>
          <c:order val="0"/>
          <c:spPr>
            <a:scene3d>
              <a:camera prst="orthographicFront"/>
              <a:lightRig rig="threePt" dir="t"/>
            </a:scene3d>
            <a:sp3d>
              <a:bevelT/>
              <a:contourClr>
                <a:srgbClr val="000000"/>
              </a:contourClr>
            </a:sp3d>
          </c:spPr>
          <c:dPt>
            <c:idx val="0"/>
            <c:bubble3D val="0"/>
            <c:spPr>
              <a:solidFill>
                <a:srgbClr val="FF000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1-3214-40F9-9485-C4CD34469AA2}"/>
              </c:ext>
            </c:extLst>
          </c:dPt>
          <c:dPt>
            <c:idx val="1"/>
            <c:bubble3D val="0"/>
            <c:spPr>
              <a:solidFill>
                <a:srgbClr val="FFFF0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3-3214-40F9-9485-C4CD34469AA2}"/>
              </c:ext>
            </c:extLst>
          </c:dPt>
          <c:dPt>
            <c:idx val="2"/>
            <c:bubble3D val="0"/>
            <c:spPr>
              <a:solidFill>
                <a:schemeClr val="accent3"/>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5-3214-40F9-9485-C4CD34469AA2}"/>
              </c:ext>
            </c:extLst>
          </c:dPt>
          <c:dPt>
            <c:idx val="3"/>
            <c:bubble3D val="0"/>
            <c:spPr>
              <a:solidFill>
                <a:srgbClr val="00206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7-3214-40F9-9485-C4CD34469AA2}"/>
              </c:ext>
            </c:extLst>
          </c:dPt>
          <c:dPt>
            <c:idx val="4"/>
            <c:bubble3D val="0"/>
            <c:spPr>
              <a:solidFill>
                <a:schemeClr val="accent5"/>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9-3214-40F9-9485-C4CD34469AA2}"/>
              </c:ext>
            </c:extLst>
          </c:dPt>
          <c:dPt>
            <c:idx val="5"/>
            <c:bubble3D val="0"/>
            <c:spPr>
              <a:solidFill>
                <a:srgbClr val="00B05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B-3214-40F9-9485-C4CD34469AA2}"/>
              </c:ext>
            </c:extLst>
          </c:dPt>
          <c:dPt>
            <c:idx val="6"/>
            <c:bubble3D val="0"/>
            <c:spPr/>
            <c:extLst>
              <c:ext xmlns:c16="http://schemas.microsoft.com/office/drawing/2014/chart" uri="{C3380CC4-5D6E-409C-BE32-E72D297353CC}">
                <c16:uniqueId val="{0000000D-3214-40F9-9485-C4CD34469AA2}"/>
              </c:ext>
            </c:extLst>
          </c:dPt>
          <c:dPt>
            <c:idx val="7"/>
            <c:bubble3D val="0"/>
            <c:spPr>
              <a:solidFill>
                <a:srgbClr val="FFC000"/>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0F-3214-40F9-9485-C4CD34469AA2}"/>
              </c:ext>
            </c:extLst>
          </c:dPt>
          <c:dPt>
            <c:idx val="8"/>
            <c:bubble3D val="0"/>
            <c:spPr>
              <a:solidFill>
                <a:schemeClr val="accent3">
                  <a:lumMod val="60000"/>
                </a:schemeClr>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11-3214-40F9-9485-C4CD34469AA2}"/>
              </c:ext>
            </c:extLst>
          </c:dPt>
          <c:dPt>
            <c:idx val="9"/>
            <c:bubble3D val="0"/>
            <c:spPr>
              <a:solidFill>
                <a:schemeClr val="accent4">
                  <a:lumMod val="60000"/>
                  <a:lumOff val="40000"/>
                </a:schemeClr>
              </a:solidFill>
              <a:ln w="25400">
                <a:solidFill>
                  <a:schemeClr val="lt1"/>
                </a:solidFill>
              </a:ln>
              <a:effectLst/>
              <a:scene3d>
                <a:camera prst="orthographicFront"/>
                <a:lightRig rig="threePt" dir="t"/>
              </a:scene3d>
              <a:sp3d contourW="25400">
                <a:bevelT/>
                <a:contourClr>
                  <a:schemeClr val="lt1"/>
                </a:contourClr>
              </a:sp3d>
            </c:spPr>
            <c:extLst>
              <c:ext xmlns:c16="http://schemas.microsoft.com/office/drawing/2014/chart" uri="{C3380CC4-5D6E-409C-BE32-E72D297353CC}">
                <c16:uniqueId val="{00000013-3214-40F9-9485-C4CD34469AA2}"/>
              </c:ext>
            </c:extLst>
          </c:dPt>
          <c:dLbls>
            <c:dLbl>
              <c:idx val="0"/>
              <c:layout>
                <c:manualLayout>
                  <c:x val="-0.10426324715824212"/>
                  <c:y val="4.7031093306951474E-2"/>
                </c:manualLayout>
              </c:layout>
              <c:tx>
                <c:rich>
                  <a:bodyPr/>
                  <a:lstStyle/>
                  <a:p>
                    <a:fld id="{4A9B7773-E2C0-459D-B9DA-9C81CDDA2E99}" type="VALUE">
                      <a:rPr lang="en-US" sz="1000">
                        <a:solidFill>
                          <a:sysClr val="windowText" lastClr="000000"/>
                        </a:solidFill>
                      </a:rPr>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214-40F9-9485-C4CD34469AA2}"/>
                </c:ext>
              </c:extLst>
            </c:dLbl>
            <c:dLbl>
              <c:idx val="1"/>
              <c:layout>
                <c:manualLayout>
                  <c:x val="-0.11949270101246511"/>
                  <c:y val="-0.11004167486801632"/>
                </c:manualLayout>
              </c:layout>
              <c:tx>
                <c:rich>
                  <a:bodyPr/>
                  <a:lstStyle/>
                  <a:p>
                    <a:fld id="{9D8C7AE2-040C-4B7B-935D-1E64DDA35670}" type="VALUE">
                      <a:rPr lang="en-US" sz="1000">
                        <a:solidFill>
                          <a:sysClr val="windowText" lastClr="000000"/>
                        </a:solidFill>
                      </a:rPr>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layout>
                    <c:manualLayout>
                      <c:w val="0.10860155638439932"/>
                      <c:h val="0.10395422292745726"/>
                    </c:manualLayout>
                  </c15:layout>
                  <c15:dlblFieldTable/>
                  <c15:showDataLabelsRange val="0"/>
                </c:ext>
                <c:ext xmlns:c16="http://schemas.microsoft.com/office/drawing/2014/chart" uri="{C3380CC4-5D6E-409C-BE32-E72D297353CC}">
                  <c16:uniqueId val="{00000003-3214-40F9-9485-C4CD34469AA2}"/>
                </c:ext>
              </c:extLst>
            </c:dLbl>
            <c:dLbl>
              <c:idx val="2"/>
              <c:layout>
                <c:manualLayout>
                  <c:x val="-6.2510278320473097E-3"/>
                  <c:y val="-9.6286787820723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14-40F9-9485-C4CD34469AA2}"/>
                </c:ext>
              </c:extLst>
            </c:dLbl>
            <c:dLbl>
              <c:idx val="3"/>
              <c:layout>
                <c:manualLayout>
                  <c:x val="-5.5156181135252828E-2"/>
                  <c:y val="-2.3040727323533284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530421799178798"/>
                      <c:h val="6.2233285917496446E-2"/>
                    </c:manualLayout>
                  </c15:layout>
                </c:ext>
                <c:ext xmlns:c16="http://schemas.microsoft.com/office/drawing/2014/chart" uri="{C3380CC4-5D6E-409C-BE32-E72D297353CC}">
                  <c16:uniqueId val="{00000007-3214-40F9-9485-C4CD34469AA2}"/>
                </c:ext>
              </c:extLst>
            </c:dLbl>
            <c:dLbl>
              <c:idx val="4"/>
              <c:layout>
                <c:manualLayout>
                  <c:x val="-0.13258957831838777"/>
                  <c:y val="-0.2889151947222813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4870720947115654"/>
                      <c:h val="0.10505622696878393"/>
                    </c:manualLayout>
                  </c15:layout>
                </c:ext>
                <c:ext xmlns:c16="http://schemas.microsoft.com/office/drawing/2014/chart" uri="{C3380CC4-5D6E-409C-BE32-E72D297353CC}">
                  <c16:uniqueId val="{00000009-3214-40F9-9485-C4CD34469AA2}"/>
                </c:ext>
              </c:extLst>
            </c:dLbl>
            <c:dLbl>
              <c:idx val="5"/>
              <c:layout>
                <c:manualLayout>
                  <c:x val="0.13723695722245247"/>
                  <c:y val="-0.14789402512898822"/>
                </c:manualLayout>
              </c:layout>
              <c:tx>
                <c:rich>
                  <a:bodyPr/>
                  <a:lstStyle/>
                  <a:p>
                    <a:fld id="{4D8A935E-DC13-42B4-B223-F34AD2814CC3}" type="VALUE">
                      <a:rPr lang="en-US" sz="1000">
                        <a:solidFill>
                          <a:sysClr val="windowText" lastClr="000000"/>
                        </a:solidFill>
                      </a:rPr>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3214-40F9-9485-C4CD34469AA2}"/>
                </c:ext>
              </c:extLst>
            </c:dLbl>
            <c:dLbl>
              <c:idx val="6"/>
              <c:layout>
                <c:manualLayout>
                  <c:x val="0.11642113814720528"/>
                  <c:y val="2.1652545332974032E-2"/>
                </c:manualLayout>
              </c:layout>
              <c:tx>
                <c:rich>
                  <a:bodyPr/>
                  <a:lstStyle/>
                  <a:p>
                    <a:fld id="{52CEDF3B-8D04-40D5-8618-C155D862D48A}" type="VALUE">
                      <a:rPr lang="en-US" sz="1000">
                        <a:solidFill>
                          <a:sysClr val="windowText" lastClr="000000"/>
                        </a:solidFill>
                      </a:rPr>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214-40F9-9485-C4CD34469AA2}"/>
                </c:ext>
              </c:extLst>
            </c:dLbl>
            <c:dLbl>
              <c:idx val="7"/>
              <c:layout>
                <c:manualLayout>
                  <c:x val="2.4977441929501253E-2"/>
                  <c:y val="-5.1560522395582488E-2"/>
                </c:manualLayout>
              </c:layout>
              <c:tx>
                <c:rich>
                  <a:bodyPr/>
                  <a:lstStyle/>
                  <a:p>
                    <a:fld id="{AF91206F-1C33-4B97-A045-2DBD059C57C6}" type="VALUE">
                      <a:rPr lang="en-US" sz="1000">
                        <a:solidFill>
                          <a:sysClr val="windowText" lastClr="000000"/>
                        </a:solidFill>
                      </a:rPr>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3214-40F9-9485-C4CD34469AA2}"/>
                </c:ext>
              </c:extLst>
            </c:dLbl>
            <c:dLbl>
              <c:idx val="8"/>
              <c:layout>
                <c:manualLayout>
                  <c:x val="5.0476732121810641E-2"/>
                  <c:y val="-3.4781756476741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214-40F9-9485-C4CD34469AA2}"/>
                </c:ext>
              </c:extLst>
            </c:dLbl>
            <c:dLbl>
              <c:idx val="9"/>
              <c:layout>
                <c:manualLayout>
                  <c:x val="5.2410718397042401E-2"/>
                  <c:y val="6.2972415995529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214-40F9-9485-C4CD34469AA2}"/>
                </c:ext>
              </c:extLst>
            </c:dLbl>
            <c:dLbl>
              <c:idx val="10"/>
              <c:layout>
                <c:manualLayout>
                  <c:x val="7.1891657583422044E-2"/>
                  <c:y val="4.40739497937481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214-40F9-9485-C4CD34469AA2}"/>
                </c:ext>
              </c:extLst>
            </c:dLbl>
            <c:dLbl>
              <c:idx val="11"/>
              <c:layout>
                <c:manualLayout>
                  <c:x val="6.9257839296009968E-2"/>
                  <c:y val="7.83036442634236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214-40F9-9485-C4CD34469AA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Лист1!$B$3:$B$12</c:f>
              <c:strCache>
                <c:ptCount val="10"/>
                <c:pt idx="0">
                  <c:v>Водоснабжение </c:v>
                </c:pt>
                <c:pt idx="1">
                  <c:v>Водотведение</c:v>
                </c:pt>
                <c:pt idx="2">
                  <c:v>Культура</c:v>
                </c:pt>
                <c:pt idx="3">
                  <c:v>Высшее образование</c:v>
                </c:pt>
                <c:pt idx="4">
                  <c:v>Общее образование</c:v>
                </c:pt>
                <c:pt idx="5">
                  <c:v>Дошкольное образование</c:v>
                </c:pt>
                <c:pt idx="6">
                  <c:v>Здравоохранение </c:v>
                </c:pt>
                <c:pt idx="7">
                  <c:v>Физкультура и спорт</c:v>
                </c:pt>
                <c:pt idx="8">
                  <c:v>Газификация </c:v>
                </c:pt>
                <c:pt idx="9">
                  <c:v>Прочие</c:v>
                </c:pt>
              </c:strCache>
            </c:strRef>
          </c:cat>
          <c:val>
            <c:numRef>
              <c:f>Лист1!$C$3:$C$12</c:f>
              <c:numCache>
                <c:formatCode>_-* #,##0.0\ _₽_-;\-* #,##0.0\ _₽_-;_-* "-"??\ _₽_-;_-@_-</c:formatCode>
                <c:ptCount val="10"/>
                <c:pt idx="0">
                  <c:v>8308.5</c:v>
                </c:pt>
                <c:pt idx="1">
                  <c:v>5733.1</c:v>
                </c:pt>
                <c:pt idx="2">
                  <c:v>579.70000000000005</c:v>
                </c:pt>
                <c:pt idx="3">
                  <c:v>47.2</c:v>
                </c:pt>
                <c:pt idx="4">
                  <c:v>11037.2</c:v>
                </c:pt>
                <c:pt idx="5">
                  <c:v>7535.6</c:v>
                </c:pt>
                <c:pt idx="6">
                  <c:v>4797.1000000000004</c:v>
                </c:pt>
                <c:pt idx="7">
                  <c:v>1035.7</c:v>
                </c:pt>
                <c:pt idx="8">
                  <c:v>2073.5</c:v>
                </c:pt>
                <c:pt idx="9">
                  <c:v>2726.3</c:v>
                </c:pt>
              </c:numCache>
            </c:numRef>
          </c:val>
          <c:extLst>
            <c:ext xmlns:c16="http://schemas.microsoft.com/office/drawing/2014/chart" uri="{C3380CC4-5D6E-409C-BE32-E72D297353CC}">
              <c16:uniqueId val="{00000016-3214-40F9-9485-C4CD34469AA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2253007847703245E-2"/>
          <c:y val="0.71686725946328955"/>
          <c:w val="0.94774699215229674"/>
          <c:h val="0.2641213336926039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ysClr val="window" lastClr="FFFFFF">
            <a:lumMod val="95000"/>
          </a:sysClr>
        </a:solidFill>
      </c:spPr>
    </c:floor>
    <c:sideWall>
      <c:thickness val="0"/>
    </c:sideWall>
    <c:backWall>
      <c:thickness val="0"/>
    </c:backWall>
    <c:plotArea>
      <c:layout/>
      <c:bar3DChart>
        <c:barDir val="col"/>
        <c:grouping val="clustered"/>
        <c:varyColors val="0"/>
        <c:ser>
          <c:idx val="0"/>
          <c:order val="0"/>
          <c:tx>
            <c:strRef>
              <c:f>Лист3!$B$244</c:f>
              <c:strCache>
                <c:ptCount val="1"/>
                <c:pt idx="0">
                  <c:v>2017г</c:v>
                </c:pt>
              </c:strCache>
            </c:strRef>
          </c:tx>
          <c:spPr>
            <a:solidFill>
              <a:schemeClr val="accent2">
                <a:lumMod val="40000"/>
                <a:lumOff val="60000"/>
              </a:schemeClr>
            </a:solidFill>
            <a:scene3d>
              <a:camera prst="orthographicFront"/>
              <a:lightRig rig="threePt" dir="t"/>
            </a:scene3d>
            <a:sp3d>
              <a:bevelT/>
            </a:sp3d>
          </c:spPr>
          <c:invertIfNegative val="0"/>
          <c:dPt>
            <c:idx val="0"/>
            <c:invertIfNegative val="0"/>
            <c:bubble3D val="0"/>
            <c:spPr>
              <a:solidFill>
                <a:srgbClr val="70AD47">
                  <a:lumMod val="75000"/>
                </a:srgbClr>
              </a:solidFill>
              <a:scene3d>
                <a:camera prst="orthographicFront"/>
                <a:lightRig rig="threePt" dir="t"/>
              </a:scene3d>
              <a:sp3d>
                <a:bevelT/>
              </a:sp3d>
            </c:spPr>
            <c:extLst>
              <c:ext xmlns:c16="http://schemas.microsoft.com/office/drawing/2014/chart" uri="{C3380CC4-5D6E-409C-BE32-E72D297353CC}">
                <c16:uniqueId val="{00000001-44F6-465B-8016-F9F69B416C5B}"/>
              </c:ext>
            </c:extLst>
          </c:dPt>
          <c:dPt>
            <c:idx val="1"/>
            <c:invertIfNegative val="0"/>
            <c:bubble3D val="0"/>
            <c:spPr>
              <a:solidFill>
                <a:srgbClr val="FF0000"/>
              </a:solidFill>
              <a:scene3d>
                <a:camera prst="orthographicFront"/>
                <a:lightRig rig="threePt" dir="t"/>
              </a:scene3d>
              <a:sp3d>
                <a:bevelT/>
              </a:sp3d>
            </c:spPr>
            <c:extLst>
              <c:ext xmlns:c16="http://schemas.microsoft.com/office/drawing/2014/chart" uri="{C3380CC4-5D6E-409C-BE32-E72D297353CC}">
                <c16:uniqueId val="{00000003-44F6-465B-8016-F9F69B416C5B}"/>
              </c:ext>
            </c:extLst>
          </c:dPt>
          <c:dLbls>
            <c:dLbl>
              <c:idx val="0"/>
              <c:layout>
                <c:manualLayout>
                  <c:x val="2.0321880041551686E-2"/>
                  <c:y val="0.21943211246762859"/>
                </c:manualLayout>
              </c:layout>
              <c:showLegendKey val="0"/>
              <c:showVal val="1"/>
              <c:showCatName val="0"/>
              <c:showSerName val="0"/>
              <c:showPercent val="0"/>
              <c:showBubbleSize val="0"/>
              <c:extLst>
                <c:ext xmlns:c15="http://schemas.microsoft.com/office/drawing/2012/chart" uri="{CE6537A1-D6FC-4f65-9D91-7224C49458BB}">
                  <c15:layout>
                    <c:manualLayout>
                      <c:w val="7.6442391816407565E-2"/>
                      <c:h val="8.9700507747297417E-2"/>
                    </c:manualLayout>
                  </c15:layout>
                </c:ext>
                <c:ext xmlns:c16="http://schemas.microsoft.com/office/drawing/2014/chart" uri="{C3380CC4-5D6E-409C-BE32-E72D297353CC}">
                  <c16:uniqueId val="{00000001-44F6-465B-8016-F9F69B416C5B}"/>
                </c:ext>
              </c:extLst>
            </c:dLbl>
            <c:dLbl>
              <c:idx val="1"/>
              <c:layout>
                <c:manualLayout>
                  <c:x val="1.3752439598896292E-2"/>
                  <c:y val="0.16108645686769732"/>
                </c:manualLayout>
              </c:layout>
              <c:showLegendKey val="0"/>
              <c:showVal val="1"/>
              <c:showCatName val="0"/>
              <c:showSerName val="0"/>
              <c:showPercent val="0"/>
              <c:showBubbleSize val="0"/>
              <c:extLst>
                <c:ext xmlns:c15="http://schemas.microsoft.com/office/drawing/2012/chart" uri="{CE6537A1-D6FC-4f65-9D91-7224C49458BB}">
                  <c15:layout>
                    <c:manualLayout>
                      <c:w val="7.2019146645130899E-2"/>
                      <c:h val="7.6381972786143129E-2"/>
                    </c:manualLayout>
                  </c15:layout>
                </c:ext>
                <c:ext xmlns:c16="http://schemas.microsoft.com/office/drawing/2014/chart" uri="{C3380CC4-5D6E-409C-BE32-E72D297353CC}">
                  <c16:uniqueId val="{00000003-44F6-465B-8016-F9F69B416C5B}"/>
                </c:ext>
              </c:extLst>
            </c:dLbl>
            <c:spPr>
              <a:solidFill>
                <a:sysClr val="window" lastClr="FFFFFF"/>
              </a:solidFill>
              <a:ln>
                <a:solidFill>
                  <a:sysClr val="windowText" lastClr="000000">
                    <a:lumMod val="65000"/>
                    <a:lumOff val="35000"/>
                  </a:sysClr>
                </a:solid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c15:spPr>
                <c15:showLeaderLines val="0"/>
              </c:ext>
            </c:extLst>
          </c:dLbls>
          <c:cat>
            <c:strRef>
              <c:f>Лист3!$A$245:$A$246</c:f>
              <c:strCache>
                <c:ptCount val="2"/>
                <c:pt idx="0">
                  <c:v>Норматив</c:v>
                </c:pt>
                <c:pt idx="1">
                  <c:v>Фактическая обеспеченность</c:v>
                </c:pt>
              </c:strCache>
            </c:strRef>
          </c:cat>
          <c:val>
            <c:numRef>
              <c:f>Лист3!$B$245:$B$246</c:f>
              <c:numCache>
                <c:formatCode>#,##0.0\ _₽</c:formatCode>
                <c:ptCount val="2"/>
                <c:pt idx="0" formatCode="General">
                  <c:v>134.69999999999999</c:v>
                </c:pt>
                <c:pt idx="1">
                  <c:v>59</c:v>
                </c:pt>
              </c:numCache>
            </c:numRef>
          </c:val>
          <c:extLst>
            <c:ext xmlns:c16="http://schemas.microsoft.com/office/drawing/2014/chart" uri="{C3380CC4-5D6E-409C-BE32-E72D297353CC}">
              <c16:uniqueId val="{00000004-44F6-465B-8016-F9F69B416C5B}"/>
            </c:ext>
          </c:extLst>
        </c:ser>
        <c:dLbls>
          <c:showLegendKey val="0"/>
          <c:showVal val="0"/>
          <c:showCatName val="0"/>
          <c:showSerName val="0"/>
          <c:showPercent val="0"/>
          <c:showBubbleSize val="0"/>
        </c:dLbls>
        <c:gapWidth val="150"/>
        <c:shape val="cylinder"/>
        <c:axId val="329249288"/>
        <c:axId val="329251640"/>
        <c:axId val="0"/>
      </c:bar3DChart>
      <c:catAx>
        <c:axId val="329249288"/>
        <c:scaling>
          <c:orientation val="minMax"/>
        </c:scaling>
        <c:delete val="0"/>
        <c:axPos val="b"/>
        <c:numFmt formatCode="General" sourceLinked="0"/>
        <c:majorTickMark val="out"/>
        <c:minorTickMark val="none"/>
        <c:tickLblPos val="nextTo"/>
        <c:txPr>
          <a:bodyPr/>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329251640"/>
        <c:crosses val="autoZero"/>
        <c:auto val="1"/>
        <c:lblAlgn val="ctr"/>
        <c:lblOffset val="100"/>
        <c:noMultiLvlLbl val="0"/>
      </c:catAx>
      <c:valAx>
        <c:axId val="329251640"/>
        <c:scaling>
          <c:orientation val="minMax"/>
          <c:max val="150"/>
          <c:min val="0"/>
        </c:scaling>
        <c:delete val="1"/>
        <c:axPos val="l"/>
        <c:majorGridlines/>
        <c:numFmt formatCode="General" sourceLinked="1"/>
        <c:majorTickMark val="out"/>
        <c:minorTickMark val="none"/>
        <c:tickLblPos val="nextTo"/>
        <c:crossAx val="329249288"/>
        <c:crosses val="autoZero"/>
        <c:crossBetween val="between"/>
        <c:majorUnit val="500"/>
      </c:valAx>
    </c:plotArea>
    <c:plotVisOnly val="1"/>
    <c:dispBlanksAs val="gap"/>
    <c:showDLblsOverMax val="0"/>
  </c:chart>
  <c:spPr>
    <a:noFill/>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ysClr val="window" lastClr="FFFFFF">
            <a:lumMod val="95000"/>
          </a:sysClr>
        </a:solidFill>
      </c:spPr>
    </c:floor>
    <c:sideWall>
      <c:thickness val="0"/>
    </c:sideWall>
    <c:backWall>
      <c:thickness val="0"/>
    </c:backWall>
    <c:plotArea>
      <c:layout/>
      <c:bar3DChart>
        <c:barDir val="col"/>
        <c:grouping val="clustered"/>
        <c:varyColors val="0"/>
        <c:ser>
          <c:idx val="0"/>
          <c:order val="0"/>
          <c:tx>
            <c:strRef>
              <c:f>Лист3!$B$266</c:f>
              <c:strCache>
                <c:ptCount val="1"/>
                <c:pt idx="0">
                  <c:v>207</c:v>
                </c:pt>
              </c:strCache>
            </c:strRef>
          </c:tx>
          <c:spPr>
            <a:solidFill>
              <a:srgbClr val="FF0000"/>
            </a:solidFill>
            <a:scene3d>
              <a:camera prst="orthographicFront"/>
              <a:lightRig rig="threePt" dir="t"/>
            </a:scene3d>
            <a:sp3d>
              <a:bevelT/>
            </a:sp3d>
          </c:spPr>
          <c:invertIfNegative val="0"/>
          <c:dPt>
            <c:idx val="0"/>
            <c:invertIfNegative val="0"/>
            <c:bubble3D val="0"/>
            <c:spPr>
              <a:solidFill>
                <a:srgbClr val="70AD47">
                  <a:lumMod val="75000"/>
                </a:srgbClr>
              </a:solidFill>
              <a:scene3d>
                <a:camera prst="orthographicFront"/>
                <a:lightRig rig="threePt" dir="t"/>
              </a:scene3d>
              <a:sp3d>
                <a:bevelT/>
              </a:sp3d>
            </c:spPr>
            <c:extLst>
              <c:ext xmlns:c16="http://schemas.microsoft.com/office/drawing/2014/chart" uri="{C3380CC4-5D6E-409C-BE32-E72D297353CC}">
                <c16:uniqueId val="{00000001-BA1A-43EC-B7A2-25975C35D32B}"/>
              </c:ext>
            </c:extLst>
          </c:dPt>
          <c:dLbls>
            <c:dLbl>
              <c:idx val="0"/>
              <c:layout>
                <c:manualLayout>
                  <c:x val="-6.2029261681020558E-3"/>
                  <c:y val="0.2189235058159350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1A-43EC-B7A2-25975C35D32B}"/>
                </c:ext>
              </c:extLst>
            </c:dLbl>
            <c:dLbl>
              <c:idx val="1"/>
              <c:layout>
                <c:manualLayout>
                  <c:x val="-5.5555555555555558E-3"/>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1A-43EC-B7A2-25975C35D32B}"/>
                </c:ext>
              </c:extLst>
            </c:dLbl>
            <c:spPr>
              <a:solidFill>
                <a:sysClr val="window" lastClr="FFFFFF"/>
              </a:solidFill>
            </c:spPr>
            <c:txPr>
              <a:bodyPr/>
              <a:lstStyle/>
              <a:p>
                <a:pPr algn="ctr">
                  <a:defRPr lang="ru-RU" sz="900" b="1" i="0" u="none" strike="noStrike" kern="1200" baseline="0">
                    <a:solidFill>
                      <a:sysClr val="windowText" lastClr="000000"/>
                    </a:solidFill>
                    <a:latin typeface="Times New Roman" pitchFamily="18" charset="0"/>
                    <a:ea typeface="+mn-ea"/>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Лист3!$A$267:$A$268</c:f>
              <c:strCache>
                <c:ptCount val="2"/>
                <c:pt idx="0">
                  <c:v>Норматив</c:v>
                </c:pt>
                <c:pt idx="1">
                  <c:v>Фактическая обеспеченность</c:v>
                </c:pt>
              </c:strCache>
            </c:strRef>
          </c:cat>
          <c:val>
            <c:numRef>
              <c:f>Лист3!$B$267:$B$268</c:f>
              <c:numCache>
                <c:formatCode>General</c:formatCode>
                <c:ptCount val="2"/>
                <c:pt idx="0">
                  <c:v>181.5</c:v>
                </c:pt>
                <c:pt idx="1">
                  <c:v>101.3</c:v>
                </c:pt>
              </c:numCache>
            </c:numRef>
          </c:val>
          <c:extLst>
            <c:ext xmlns:c16="http://schemas.microsoft.com/office/drawing/2014/chart" uri="{C3380CC4-5D6E-409C-BE32-E72D297353CC}">
              <c16:uniqueId val="{00000003-BA1A-43EC-B7A2-25975C35D32B}"/>
            </c:ext>
          </c:extLst>
        </c:ser>
        <c:dLbls>
          <c:showLegendKey val="0"/>
          <c:showVal val="0"/>
          <c:showCatName val="0"/>
          <c:showSerName val="0"/>
          <c:showPercent val="0"/>
          <c:showBubbleSize val="0"/>
        </c:dLbls>
        <c:gapWidth val="150"/>
        <c:shape val="box"/>
        <c:axId val="329779408"/>
        <c:axId val="329782544"/>
        <c:axId val="0"/>
      </c:bar3DChart>
      <c:catAx>
        <c:axId val="329779408"/>
        <c:scaling>
          <c:orientation val="minMax"/>
        </c:scaling>
        <c:delete val="0"/>
        <c:axPos val="b"/>
        <c:numFmt formatCode="General" sourceLinked="0"/>
        <c:majorTickMark val="out"/>
        <c:minorTickMark val="none"/>
        <c:tickLblPos val="nextTo"/>
        <c:txPr>
          <a:bodyPr/>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329782544"/>
        <c:crosses val="autoZero"/>
        <c:auto val="1"/>
        <c:lblAlgn val="ctr"/>
        <c:lblOffset val="100"/>
        <c:noMultiLvlLbl val="0"/>
      </c:catAx>
      <c:valAx>
        <c:axId val="329782544"/>
        <c:scaling>
          <c:orientation val="minMax"/>
        </c:scaling>
        <c:delete val="1"/>
        <c:axPos val="l"/>
        <c:numFmt formatCode="General" sourceLinked="1"/>
        <c:majorTickMark val="out"/>
        <c:minorTickMark val="none"/>
        <c:tickLblPos val="nextTo"/>
        <c:crossAx val="329779408"/>
        <c:crosses val="autoZero"/>
        <c:crossBetween val="between"/>
        <c:majorUnit val="50"/>
      </c:valAx>
    </c:plotArea>
    <c:plotVisOnly val="1"/>
    <c:dispBlanksAs val="gap"/>
    <c:showDLblsOverMax val="0"/>
  </c:chart>
  <c:spPr>
    <a:no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8.2706766917293228E-2"/>
          <c:y val="4.6263345195729534E-2"/>
          <c:w val="0.89854795412406885"/>
          <c:h val="0.81138790035587194"/>
        </c:manualLayout>
      </c:layout>
      <c:bar3DChart>
        <c:barDir val="col"/>
        <c:grouping val="clustered"/>
        <c:varyColors val="0"/>
        <c:ser>
          <c:idx val="0"/>
          <c:order val="0"/>
          <c:spPr>
            <a:solidFill>
              <a:srgbClr val="4F81BD"/>
            </a:solidFill>
            <a:ln w="25400">
              <a:noFill/>
            </a:ln>
            <a:scene3d>
              <a:camera prst="orthographicFront"/>
              <a:lightRig rig="threePt" dir="t"/>
            </a:scene3d>
            <a:sp3d>
              <a:bevelT/>
            </a:sp3d>
          </c:spPr>
          <c:invertIfNegative val="0"/>
          <c:dPt>
            <c:idx val="0"/>
            <c:invertIfNegative val="0"/>
            <c:bubble3D val="0"/>
            <c:spPr>
              <a:solidFill>
                <a:srgbClr val="FF0000"/>
              </a:solidFill>
              <a:ln w="25400">
                <a:noFill/>
              </a:ln>
              <a:scene3d>
                <a:camera prst="orthographicFront"/>
                <a:lightRig rig="threePt" dir="t"/>
              </a:scene3d>
              <a:sp3d>
                <a:bevelT/>
              </a:sp3d>
            </c:spPr>
            <c:extLst>
              <c:ext xmlns:c16="http://schemas.microsoft.com/office/drawing/2014/chart" uri="{C3380CC4-5D6E-409C-BE32-E72D297353CC}">
                <c16:uniqueId val="{00000001-4D27-486F-899D-FAC4D32A2080}"/>
              </c:ext>
            </c:extLst>
          </c:dPt>
          <c:dPt>
            <c:idx val="1"/>
            <c:invertIfNegative val="0"/>
            <c:bubble3D val="0"/>
            <c:spPr>
              <a:solidFill>
                <a:srgbClr val="1830A8"/>
              </a:solidFill>
              <a:ln w="25400">
                <a:noFill/>
              </a:ln>
              <a:scene3d>
                <a:camera prst="orthographicFront"/>
                <a:lightRig rig="threePt" dir="t"/>
              </a:scene3d>
              <a:sp3d>
                <a:bevelT/>
              </a:sp3d>
            </c:spPr>
            <c:extLst>
              <c:ext xmlns:c16="http://schemas.microsoft.com/office/drawing/2014/chart" uri="{C3380CC4-5D6E-409C-BE32-E72D297353CC}">
                <c16:uniqueId val="{00000003-4D27-486F-899D-FAC4D32A2080}"/>
              </c:ext>
            </c:extLst>
          </c:dPt>
          <c:dPt>
            <c:idx val="2"/>
            <c:invertIfNegative val="0"/>
            <c:bubble3D val="0"/>
            <c:spPr>
              <a:solidFill>
                <a:srgbClr val="009A46"/>
              </a:solidFill>
              <a:ln w="25400">
                <a:noFill/>
              </a:ln>
              <a:scene3d>
                <a:camera prst="orthographicFront"/>
                <a:lightRig rig="threePt" dir="t"/>
              </a:scene3d>
              <a:sp3d>
                <a:bevelT/>
              </a:sp3d>
            </c:spPr>
            <c:extLst>
              <c:ext xmlns:c16="http://schemas.microsoft.com/office/drawing/2014/chart" uri="{C3380CC4-5D6E-409C-BE32-E72D297353CC}">
                <c16:uniqueId val="{00000005-4D27-486F-899D-FAC4D32A2080}"/>
              </c:ext>
            </c:extLst>
          </c:dPt>
          <c:dLbls>
            <c:dLbl>
              <c:idx val="0"/>
              <c:layout>
                <c:manualLayout>
                  <c:x val="0"/>
                  <c:y val="0.11574074074074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27-486F-899D-FAC4D32A2080}"/>
                </c:ext>
              </c:extLst>
            </c:dLbl>
            <c:dLbl>
              <c:idx val="1"/>
              <c:layout>
                <c:manualLayout>
                  <c:x val="-1.018506752641601E-16"/>
                  <c:y val="0.120370370370370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27-486F-899D-FAC4D32A2080}"/>
                </c:ext>
              </c:extLst>
            </c:dLbl>
            <c:dLbl>
              <c:idx val="2"/>
              <c:layout>
                <c:manualLayout>
                  <c:x val="-2.777777777777882E-3"/>
                  <c:y val="0.120370370370370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27-486F-899D-FAC4D32A2080}"/>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Лист1!$A$91:$C$91</c:f>
              <c:strCache>
                <c:ptCount val="3"/>
                <c:pt idx="0">
                  <c:v>РФ</c:v>
                </c:pt>
                <c:pt idx="1">
                  <c:v>СКФО</c:v>
                </c:pt>
                <c:pt idx="2">
                  <c:v>РД</c:v>
                </c:pt>
              </c:strCache>
            </c:strRef>
          </c:cat>
          <c:val>
            <c:numRef>
              <c:f>Лист1!$A$92:$C$92</c:f>
              <c:numCache>
                <c:formatCode>General</c:formatCode>
                <c:ptCount val="3"/>
                <c:pt idx="0">
                  <c:v>105.3</c:v>
                </c:pt>
                <c:pt idx="1">
                  <c:v>105.5</c:v>
                </c:pt>
                <c:pt idx="2">
                  <c:v>105.2</c:v>
                </c:pt>
              </c:numCache>
            </c:numRef>
          </c:val>
          <c:extLst>
            <c:ext xmlns:c16="http://schemas.microsoft.com/office/drawing/2014/chart" uri="{C3380CC4-5D6E-409C-BE32-E72D297353CC}">
              <c16:uniqueId val="{00000006-4D27-486F-899D-FAC4D32A2080}"/>
            </c:ext>
          </c:extLst>
        </c:ser>
        <c:dLbls>
          <c:showLegendKey val="0"/>
          <c:showVal val="0"/>
          <c:showCatName val="0"/>
          <c:showSerName val="0"/>
          <c:showPercent val="0"/>
          <c:showBubbleSize val="0"/>
        </c:dLbls>
        <c:gapWidth val="150"/>
        <c:shape val="box"/>
        <c:axId val="52321280"/>
        <c:axId val="52327168"/>
        <c:axId val="0"/>
      </c:bar3DChart>
      <c:catAx>
        <c:axId val="52321280"/>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2327168"/>
        <c:crosses val="autoZero"/>
        <c:auto val="1"/>
        <c:lblAlgn val="ctr"/>
        <c:lblOffset val="100"/>
        <c:noMultiLvlLbl val="0"/>
      </c:catAx>
      <c:valAx>
        <c:axId val="52327168"/>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23212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ysClr val="window" lastClr="FFFFFF">
            <a:lumMod val="95000"/>
          </a:sysClr>
        </a:solid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169809706147099E-2"/>
          <c:y val="5.0925925925925923E-2"/>
          <c:w val="0.95018868220539698"/>
          <c:h val="0.84633493729950426"/>
        </c:manualLayout>
      </c:layout>
      <c:bar3DChart>
        <c:barDir val="col"/>
        <c:grouping val="clustered"/>
        <c:varyColors val="0"/>
        <c:ser>
          <c:idx val="0"/>
          <c:order val="0"/>
          <c:tx>
            <c:strRef>
              <c:f>Лист3!$B$289</c:f>
              <c:strCache>
                <c:ptCount val="1"/>
                <c:pt idx="0">
                  <c:v>2020</c:v>
                </c:pt>
              </c:strCache>
            </c:strRef>
          </c:tx>
          <c:spPr>
            <a:solidFill>
              <a:schemeClr val="accent2"/>
            </a:solidFill>
            <a:ln>
              <a:noFill/>
            </a:ln>
            <a:effectLst/>
            <a:scene3d>
              <a:camera prst="orthographicFront"/>
              <a:lightRig rig="threePt" dir="t"/>
            </a:scene3d>
            <a:sp3d>
              <a:bevelT/>
            </a:sp3d>
          </c:spPr>
          <c:invertIfNegative val="0"/>
          <c:dPt>
            <c:idx val="0"/>
            <c:invertIfNegative val="0"/>
            <c:bubble3D val="0"/>
            <c:spPr>
              <a:solidFill>
                <a:srgbClr val="70AD47">
                  <a:lumMod val="75000"/>
                </a:srgbClr>
              </a:solidFill>
              <a:ln>
                <a:noFill/>
              </a:ln>
              <a:effectLst/>
              <a:scene3d>
                <a:camera prst="orthographicFront"/>
                <a:lightRig rig="threePt" dir="t"/>
              </a:scene3d>
              <a:sp3d>
                <a:bevelT/>
              </a:sp3d>
            </c:spPr>
            <c:extLst>
              <c:ext xmlns:c16="http://schemas.microsoft.com/office/drawing/2014/chart" uri="{C3380CC4-5D6E-409C-BE32-E72D297353CC}">
                <c16:uniqueId val="{00000001-F3F7-4204-A17A-0CB157AD5FAB}"/>
              </c:ext>
            </c:extLst>
          </c:dPt>
          <c:dPt>
            <c:idx val="1"/>
            <c:invertIfNegative val="0"/>
            <c:bubble3D val="0"/>
            <c:spPr>
              <a:solidFill>
                <a:srgbClr val="FF0000"/>
              </a:solidFill>
              <a:ln>
                <a:noFill/>
              </a:ln>
              <a:effectLst/>
              <a:sp3d/>
            </c:spPr>
            <c:extLst>
              <c:ext xmlns:c16="http://schemas.microsoft.com/office/drawing/2014/chart" uri="{C3380CC4-5D6E-409C-BE32-E72D297353CC}">
                <c16:uniqueId val="{00000003-F3F7-4204-A17A-0CB157AD5FAB}"/>
              </c:ext>
            </c:extLst>
          </c:dPt>
          <c:dLbls>
            <c:dLbl>
              <c:idx val="0"/>
              <c:layout>
                <c:manualLayout>
                  <c:x val="2.0377328739318749E-2"/>
                  <c:y val="0.23687171733943907"/>
                </c:manualLayout>
              </c:layout>
              <c:tx>
                <c:rich>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sz="1200" b="1">
                        <a:solidFill>
                          <a:schemeClr val="bg1"/>
                        </a:solidFill>
                      </a:rPr>
                      <a:t>90,0</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3F7-4204-A17A-0CB157AD5FAB}"/>
                </c:ext>
              </c:extLst>
            </c:dLbl>
            <c:dLbl>
              <c:idx val="1"/>
              <c:layout>
                <c:manualLayout>
                  <c:x val="2.3434171282488283E-2"/>
                  <c:y val="0.20865704772475027"/>
                </c:manualLayout>
              </c:layout>
              <c:tx>
                <c:rich>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5703EC71-77A4-4AC2-AD25-5307305DF693}" type="VALUE">
                      <a:rPr lang="en-US" sz="1200" b="1" baseline="0">
                        <a:solidFill>
                          <a:schemeClr val="bg1"/>
                        </a:solidFill>
                        <a:latin typeface="Times New Roman" panose="02020603050405020304" pitchFamily="18" charset="0"/>
                        <a:cs typeface="Times New Roman" panose="02020603050405020304" pitchFamily="18" charset="0"/>
                      </a:rPr>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t>[ЗНАЧЕНИЕ]</a:t>
                    </a:fld>
                    <a:endParaRPr lang="ru-RU"/>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F3F7-4204-A17A-0CB157AD5FAB}"/>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Лист3!$A$290:$A$291</c:f>
              <c:strCache>
                <c:ptCount val="2"/>
                <c:pt idx="0">
                  <c:v>Норматив</c:v>
                </c:pt>
                <c:pt idx="1">
                  <c:v>Фактическая обеспеченность</c:v>
                </c:pt>
              </c:strCache>
            </c:strRef>
          </c:cat>
          <c:val>
            <c:numRef>
              <c:f>Лист3!$B$290:$B$291</c:f>
              <c:numCache>
                <c:formatCode>General</c:formatCode>
                <c:ptCount val="2"/>
                <c:pt idx="0">
                  <c:v>90</c:v>
                </c:pt>
                <c:pt idx="1">
                  <c:v>67.2</c:v>
                </c:pt>
              </c:numCache>
            </c:numRef>
          </c:val>
          <c:extLst>
            <c:ext xmlns:c16="http://schemas.microsoft.com/office/drawing/2014/chart" uri="{C3380CC4-5D6E-409C-BE32-E72D297353CC}">
              <c16:uniqueId val="{00000004-F3F7-4204-A17A-0CB157AD5FAB}"/>
            </c:ext>
          </c:extLst>
        </c:ser>
        <c:dLbls>
          <c:showLegendKey val="0"/>
          <c:showVal val="0"/>
          <c:showCatName val="0"/>
          <c:showSerName val="0"/>
          <c:showPercent val="0"/>
          <c:showBubbleSize val="0"/>
        </c:dLbls>
        <c:gapWidth val="150"/>
        <c:shape val="cylinder"/>
        <c:axId val="205020968"/>
        <c:axId val="205015872"/>
        <c:axId val="0"/>
      </c:bar3DChart>
      <c:catAx>
        <c:axId val="205020968"/>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205015872"/>
        <c:crosses val="autoZero"/>
        <c:auto val="1"/>
        <c:lblAlgn val="ctr"/>
        <c:lblOffset val="100"/>
        <c:noMultiLvlLbl val="0"/>
      </c:catAx>
      <c:valAx>
        <c:axId val="205015872"/>
        <c:scaling>
          <c:orientation val="minMax"/>
        </c:scaling>
        <c:delete val="1"/>
        <c:axPos val="l"/>
        <c:numFmt formatCode="General" sourceLinked="1"/>
        <c:majorTickMark val="out"/>
        <c:minorTickMark val="none"/>
        <c:tickLblPos val="nextTo"/>
        <c:crossAx val="205020968"/>
        <c:crosses val="autoZero"/>
        <c:crossBetween val="between"/>
      </c:valAx>
      <c:spPr>
        <a:noFill/>
        <a:ln>
          <a:noFill/>
        </a:ln>
        <a:effectLst/>
      </c:spPr>
    </c:plotArea>
    <c:plotVisOnly val="1"/>
    <c:dispBlanksAs val="gap"/>
    <c:showDLblsOverMax val="0"/>
  </c:chart>
  <c:spPr>
    <a:solidFill>
      <a:sysClr val="window" lastClr="FFFFFF"/>
    </a:solidFill>
    <a:ln w="6350" cap="flat" cmpd="sng" algn="ctr">
      <a:noFill/>
      <a:prstDash val="solid"/>
      <a:round/>
    </a:ln>
    <a:effectLst/>
  </c:spPr>
  <c:txPr>
    <a:bodyPr/>
    <a:lstStyle/>
    <a:p>
      <a:pPr>
        <a:defRPr/>
      </a:pPr>
      <a:endParaRPr lang="ru-RU"/>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solidFill>
          <a:sysClr val="window" lastClr="FFFFFF"/>
        </a:solidFill>
      </c:spPr>
    </c:floor>
    <c:sideWall>
      <c:thickness val="0"/>
    </c:sideWall>
    <c:backWall>
      <c:thickness val="0"/>
    </c:backWall>
    <c:plotArea>
      <c:layout/>
      <c:bar3DChart>
        <c:barDir val="col"/>
        <c:grouping val="clustered"/>
        <c:varyColors val="0"/>
        <c:ser>
          <c:idx val="0"/>
          <c:order val="0"/>
          <c:tx>
            <c:strRef>
              <c:f>Лист3!$B$311</c:f>
              <c:strCache>
                <c:ptCount val="1"/>
                <c:pt idx="0">
                  <c:v>2020</c:v>
                </c:pt>
              </c:strCache>
            </c:strRef>
          </c:tx>
          <c:spPr>
            <a:solidFill>
              <a:schemeClr val="tx2">
                <a:lumMod val="40000"/>
                <a:lumOff val="60000"/>
              </a:schemeClr>
            </a:solidFill>
            <a:scene3d>
              <a:camera prst="orthographicFront"/>
              <a:lightRig rig="threePt" dir="t"/>
            </a:scene3d>
            <a:sp3d>
              <a:bevelT/>
            </a:sp3d>
          </c:spPr>
          <c:invertIfNegative val="0"/>
          <c:dPt>
            <c:idx val="0"/>
            <c:invertIfNegative val="0"/>
            <c:bubble3D val="0"/>
            <c:spPr>
              <a:solidFill>
                <a:srgbClr val="70AD47">
                  <a:lumMod val="75000"/>
                </a:srgbClr>
              </a:solidFill>
              <a:scene3d>
                <a:camera prst="orthographicFront"/>
                <a:lightRig rig="threePt" dir="t"/>
              </a:scene3d>
              <a:sp3d>
                <a:bevelT/>
              </a:sp3d>
            </c:spPr>
            <c:extLst>
              <c:ext xmlns:c16="http://schemas.microsoft.com/office/drawing/2014/chart" uri="{C3380CC4-5D6E-409C-BE32-E72D297353CC}">
                <c16:uniqueId val="{00000001-F934-40BE-9DE0-08CAB7B5A312}"/>
              </c:ext>
            </c:extLst>
          </c:dPt>
          <c:dPt>
            <c:idx val="1"/>
            <c:invertIfNegative val="0"/>
            <c:bubble3D val="0"/>
            <c:spPr>
              <a:solidFill>
                <a:srgbClr val="FF0000"/>
              </a:solidFill>
              <a:scene3d>
                <a:camera prst="orthographicFront"/>
                <a:lightRig rig="threePt" dir="t"/>
              </a:scene3d>
              <a:sp3d>
                <a:bevelT/>
              </a:sp3d>
            </c:spPr>
            <c:extLst>
              <c:ext xmlns:c16="http://schemas.microsoft.com/office/drawing/2014/chart" uri="{C3380CC4-5D6E-409C-BE32-E72D297353CC}">
                <c16:uniqueId val="{00000003-F934-40BE-9DE0-08CAB7B5A312}"/>
              </c:ext>
            </c:extLst>
          </c:dPt>
          <c:dLbls>
            <c:dLbl>
              <c:idx val="0"/>
              <c:layout>
                <c:manualLayout>
                  <c:x val="0"/>
                  <c:y val="0.2638888888888889"/>
                </c:manualLayout>
              </c:layout>
              <c:tx>
                <c:rich>
                  <a:bodyPr wrap="square" lIns="38100" tIns="19050" rIns="38100" bIns="19050" anchor="ctr">
                    <a:spAutoFit/>
                  </a:bodyPr>
                  <a:lstStyle/>
                  <a:p>
                    <a:pPr>
                      <a:defRPr b="0">
                        <a:latin typeface="Times New Roman" panose="02020603050405020304" pitchFamily="18" charset="0"/>
                        <a:cs typeface="Times New Roman" panose="02020603050405020304" pitchFamily="18" charset="0"/>
                      </a:defRPr>
                    </a:pPr>
                    <a:r>
                      <a:rPr lang="en-US" sz="1600" b="0">
                        <a:solidFill>
                          <a:schemeClr val="bg1"/>
                        </a:solidFill>
                      </a:rPr>
                      <a:t>100,0</a:t>
                    </a:r>
                    <a:endParaRPr lang="en-US" b="0">
                      <a:solidFill>
                        <a:schemeClr val="bg1"/>
                      </a:solidFill>
                    </a:endParaRPr>
                  </a:p>
                </c:rich>
              </c:tx>
              <c:spPr>
                <a:noFill/>
                <a:ln>
                  <a:noFill/>
                </a:ln>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934-40BE-9DE0-08CAB7B5A312}"/>
                </c:ext>
              </c:extLst>
            </c:dLbl>
            <c:dLbl>
              <c:idx val="1"/>
              <c:layout>
                <c:manualLayout>
                  <c:x val="4.5283139138923428E-3"/>
                  <c:y val="0.12740978964754821"/>
                </c:manualLayout>
              </c:layout>
              <c:tx>
                <c:rich>
                  <a:bodyPr wrap="square" lIns="38100" tIns="19050" rIns="38100" bIns="19050" anchor="ctr">
                    <a:noAutofit/>
                  </a:bodyPr>
                  <a:lstStyle/>
                  <a:p>
                    <a:pPr>
                      <a:defRPr sz="1600" b="0"/>
                    </a:pPr>
                    <a:r>
                      <a:rPr lang="en-US" sz="1600" b="0" baseline="0">
                        <a:solidFill>
                          <a:schemeClr val="bg1"/>
                        </a:solidFill>
                        <a:latin typeface="Times New Roman" panose="02020603050405020304" pitchFamily="18" charset="0"/>
                        <a:cs typeface="Times New Roman" panose="02020603050405020304" pitchFamily="18" charset="0"/>
                      </a:rPr>
                      <a:t>24,8</a:t>
                    </a:r>
                    <a:endParaRPr lang="en-US" b="0"/>
                  </a:p>
                </c:rich>
              </c:tx>
              <c:spPr>
                <a:noFill/>
                <a:ln>
                  <a:noFill/>
                </a:ln>
                <a:effectLst/>
              </c:sp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c15:spPr>
                  <c15:layout>
                    <c:manualLayout>
                      <c:w val="0.15585082648648468"/>
                      <c:h val="9.923881601370306E-2"/>
                    </c:manualLayout>
                  </c15:layout>
                  <c15:showDataLabelsRange val="0"/>
                </c:ext>
                <c:ext xmlns:c16="http://schemas.microsoft.com/office/drawing/2014/chart" uri="{C3380CC4-5D6E-409C-BE32-E72D297353CC}">
                  <c16:uniqueId val="{00000003-F934-40BE-9DE0-08CAB7B5A312}"/>
                </c:ext>
              </c:extLst>
            </c:dLbl>
            <c:spPr>
              <a:solidFill>
                <a:sysClr val="window" lastClr="FFFFFF"/>
              </a:solidFill>
            </c:spPr>
            <c:txPr>
              <a:bodyPr wrap="square" lIns="38100" tIns="19050" rIns="38100" bIns="19050" anchor="ctr">
                <a:spAutoFit/>
              </a:bodyPr>
              <a:lstStyle/>
              <a:p>
                <a:pPr>
                  <a:defRPr b="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Лист3!$A$312:$A$313</c:f>
              <c:strCache>
                <c:ptCount val="2"/>
                <c:pt idx="0">
                  <c:v>Норматив</c:v>
                </c:pt>
                <c:pt idx="1">
                  <c:v>Фактическая обеспеченность</c:v>
                </c:pt>
              </c:strCache>
            </c:strRef>
          </c:cat>
          <c:val>
            <c:numRef>
              <c:f>Лист3!$B$312:$B$313</c:f>
              <c:numCache>
                <c:formatCode>0.0%</c:formatCode>
                <c:ptCount val="2"/>
                <c:pt idx="0" formatCode="0%">
                  <c:v>1</c:v>
                </c:pt>
                <c:pt idx="1">
                  <c:v>0.248</c:v>
                </c:pt>
              </c:numCache>
            </c:numRef>
          </c:val>
          <c:extLst>
            <c:ext xmlns:c16="http://schemas.microsoft.com/office/drawing/2014/chart" uri="{C3380CC4-5D6E-409C-BE32-E72D297353CC}">
              <c16:uniqueId val="{00000004-F934-40BE-9DE0-08CAB7B5A312}"/>
            </c:ext>
          </c:extLst>
        </c:ser>
        <c:dLbls>
          <c:showLegendKey val="0"/>
          <c:showVal val="0"/>
          <c:showCatName val="0"/>
          <c:showSerName val="0"/>
          <c:showPercent val="0"/>
          <c:showBubbleSize val="0"/>
        </c:dLbls>
        <c:gapWidth val="150"/>
        <c:shape val="box"/>
        <c:axId val="400855640"/>
        <c:axId val="327728968"/>
        <c:axId val="0"/>
      </c:bar3DChart>
      <c:catAx>
        <c:axId val="400855640"/>
        <c:scaling>
          <c:orientation val="minMax"/>
        </c:scaling>
        <c:delete val="0"/>
        <c:axPos val="b"/>
        <c:numFmt formatCode="General" sourceLinked="0"/>
        <c:majorTickMark val="out"/>
        <c:minorTickMark val="none"/>
        <c:tickLblPos val="nextTo"/>
        <c:txPr>
          <a:bodyPr/>
          <a:lstStyle/>
          <a:p>
            <a:pPr algn="ct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ru-RU"/>
          </a:p>
        </c:txPr>
        <c:crossAx val="327728968"/>
        <c:crosses val="autoZero"/>
        <c:auto val="1"/>
        <c:lblAlgn val="ctr"/>
        <c:lblOffset val="100"/>
        <c:noMultiLvlLbl val="0"/>
      </c:catAx>
      <c:valAx>
        <c:axId val="327728968"/>
        <c:scaling>
          <c:orientation val="minMax"/>
        </c:scaling>
        <c:delete val="1"/>
        <c:axPos val="l"/>
        <c:numFmt formatCode="0%" sourceLinked="1"/>
        <c:majorTickMark val="out"/>
        <c:minorTickMark val="none"/>
        <c:tickLblPos val="nextTo"/>
        <c:crossAx val="400855640"/>
        <c:crosses val="autoZero"/>
        <c:crossBetween val="between"/>
      </c:valAx>
    </c:plotArea>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1"/>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74240542277651"/>
          <c:y val="5.0925925925925923E-2"/>
          <c:w val="0.82300385744551152"/>
          <c:h val="0.79540901137357811"/>
        </c:manualLayout>
      </c:layout>
      <c:bar3DChart>
        <c:barDir val="col"/>
        <c:grouping val="clustered"/>
        <c:varyColors val="0"/>
        <c:ser>
          <c:idx val="0"/>
          <c:order val="0"/>
          <c:spPr>
            <a:solidFill>
              <a:srgbClr val="FF0000"/>
            </a:solidFill>
            <a:ln>
              <a:noFill/>
            </a:ln>
            <a:effectLst/>
            <a:scene3d>
              <a:camera prst="orthographicFront"/>
              <a:lightRig rig="threePt" dir="t"/>
            </a:scene3d>
            <a:sp3d>
              <a:bevelT/>
            </a:sp3d>
          </c:spPr>
          <c:invertIfNegative val="0"/>
          <c:dPt>
            <c:idx val="1"/>
            <c:invertIfNegative val="0"/>
            <c:bubble3D val="0"/>
            <c:spPr>
              <a:solidFill>
                <a:srgbClr val="0036A2"/>
              </a:solidFill>
              <a:ln>
                <a:noFill/>
              </a:ln>
              <a:effectLst/>
              <a:scene3d>
                <a:camera prst="orthographicFront"/>
                <a:lightRig rig="threePt" dir="t"/>
              </a:scene3d>
              <a:sp3d>
                <a:bevelT/>
              </a:sp3d>
            </c:spPr>
            <c:extLst>
              <c:ext xmlns:c16="http://schemas.microsoft.com/office/drawing/2014/chart" uri="{C3380CC4-5D6E-409C-BE32-E72D297353CC}">
                <c16:uniqueId val="{00000001-1DB1-432F-B405-04E2BC02050F}"/>
              </c:ext>
            </c:extLst>
          </c:dPt>
          <c:dPt>
            <c:idx val="2"/>
            <c:invertIfNegative val="0"/>
            <c:bubble3D val="0"/>
            <c:spPr>
              <a:solidFill>
                <a:srgbClr val="00B050"/>
              </a:solidFill>
              <a:ln>
                <a:noFill/>
              </a:ln>
              <a:effectLst/>
              <a:scene3d>
                <a:camera prst="orthographicFront"/>
                <a:lightRig rig="threePt" dir="t"/>
              </a:scene3d>
              <a:sp3d>
                <a:bevelT/>
              </a:sp3d>
            </c:spPr>
            <c:extLst>
              <c:ext xmlns:c16="http://schemas.microsoft.com/office/drawing/2014/chart" uri="{C3380CC4-5D6E-409C-BE32-E72D297353CC}">
                <c16:uniqueId val="{00000003-1DB1-432F-B405-04E2BC02050F}"/>
              </c:ext>
            </c:extLst>
          </c:dPt>
          <c:dLbls>
            <c:dLbl>
              <c:idx val="0"/>
              <c:layout>
                <c:manualLayout>
                  <c:x val="1.343283739955781E-2"/>
                  <c:y val="0.10185185185185187"/>
                </c:manualLayout>
              </c:layout>
              <c:spPr>
                <a:solidFill>
                  <a:schemeClr val="bg1"/>
                </a:solid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B1-432F-B405-04E2BC02050F}"/>
                </c:ext>
              </c:extLst>
            </c:dLbl>
            <c:dLbl>
              <c:idx val="1"/>
              <c:layout>
                <c:manualLayout>
                  <c:x val="1.791044986607708E-2"/>
                  <c:y val="-1.8518518518518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B1-432F-B405-04E2BC02050F}"/>
                </c:ext>
              </c:extLst>
            </c:dLbl>
            <c:dLbl>
              <c:idx val="2"/>
              <c:layout>
                <c:manualLayout>
                  <c:x val="2.686567479911562E-2"/>
                  <c:y val="-1.8518518518518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B1-432F-B405-04E2BC02050F}"/>
                </c:ext>
              </c:extLst>
            </c:dLbl>
            <c:spPr>
              <a:noFill/>
              <a:ln>
                <a:noFill/>
              </a:ln>
              <a:effectLst/>
            </c:spPr>
            <c:txPr>
              <a:bodyPr rot="0" spcFirstLastPara="1" vertOverflow="ellipsis" vert="horz" wrap="square" lIns="38100" tIns="19050" rIns="38100" bIns="19050" anchor="ctr" anchorCtr="0">
                <a:spAutoFit/>
              </a:bodyPr>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Лист1!$F$91:$H$91</c:f>
              <c:strCache>
                <c:ptCount val="3"/>
                <c:pt idx="0">
                  <c:v>РФ</c:v>
                </c:pt>
                <c:pt idx="1">
                  <c:v>СКФО</c:v>
                </c:pt>
                <c:pt idx="2">
                  <c:v>РД</c:v>
                </c:pt>
              </c:strCache>
            </c:strRef>
          </c:cat>
          <c:val>
            <c:numRef>
              <c:f>Лист1!$F$92:$H$92</c:f>
              <c:numCache>
                <c:formatCode>0.0</c:formatCode>
                <c:ptCount val="3"/>
                <c:pt idx="0" formatCode="General">
                  <c:v>628.29999999999995</c:v>
                </c:pt>
                <c:pt idx="1">
                  <c:v>80.900000000000006</c:v>
                </c:pt>
                <c:pt idx="2" formatCode="General">
                  <c:v>23.6</c:v>
                </c:pt>
              </c:numCache>
            </c:numRef>
          </c:val>
          <c:extLst>
            <c:ext xmlns:c16="http://schemas.microsoft.com/office/drawing/2014/chart" uri="{C3380CC4-5D6E-409C-BE32-E72D297353CC}">
              <c16:uniqueId val="{00000005-1DB1-432F-B405-04E2BC02050F}"/>
            </c:ext>
          </c:extLst>
        </c:ser>
        <c:dLbls>
          <c:showLegendKey val="0"/>
          <c:showVal val="0"/>
          <c:showCatName val="0"/>
          <c:showSerName val="0"/>
          <c:showPercent val="0"/>
          <c:showBubbleSize val="0"/>
        </c:dLbls>
        <c:gapWidth val="150"/>
        <c:shape val="box"/>
        <c:axId val="596740680"/>
        <c:axId val="596731496"/>
        <c:axId val="0"/>
      </c:bar3DChart>
      <c:catAx>
        <c:axId val="596740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96731496"/>
        <c:crosses val="autoZero"/>
        <c:auto val="1"/>
        <c:lblAlgn val="ctr"/>
        <c:lblOffset val="100"/>
        <c:noMultiLvlLbl val="0"/>
      </c:catAx>
      <c:valAx>
        <c:axId val="596731496"/>
        <c:scaling>
          <c:orientation val="minMax"/>
          <c:max val="62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596740680"/>
        <c:crosses val="autoZero"/>
        <c:crossBetween val="between"/>
        <c:majorUnit val="75"/>
        <c:minorUnit val="1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a:scene3d>
              <a:camera prst="orthographicFront"/>
              <a:lightRig rig="threePt" dir="t"/>
            </a:scene3d>
            <a:sp3d>
              <a:bevelT/>
            </a:sp3d>
          </c:spPr>
          <c:invertIfNegative val="0"/>
          <c:dPt>
            <c:idx val="0"/>
            <c:invertIfNegative val="0"/>
            <c:bubble3D val="0"/>
            <c:spPr>
              <a:solidFill>
                <a:srgbClr val="00B050"/>
              </a:solidFill>
              <a:ln w="25400">
                <a:noFill/>
              </a:ln>
              <a:scene3d>
                <a:camera prst="orthographicFront"/>
                <a:lightRig rig="threePt" dir="t"/>
              </a:scene3d>
              <a:sp3d>
                <a:bevelT/>
              </a:sp3d>
            </c:spPr>
            <c:extLst>
              <c:ext xmlns:c16="http://schemas.microsoft.com/office/drawing/2014/chart" uri="{C3380CC4-5D6E-409C-BE32-E72D297353CC}">
                <c16:uniqueId val="{00000001-03E6-44A2-923E-8B539D0EAA81}"/>
              </c:ext>
            </c:extLst>
          </c:dPt>
          <c:dPt>
            <c:idx val="1"/>
            <c:invertIfNegative val="0"/>
            <c:bubble3D val="0"/>
            <c:spPr>
              <a:solidFill>
                <a:srgbClr val="007AD6"/>
              </a:solidFill>
              <a:ln w="25400">
                <a:noFill/>
              </a:ln>
              <a:scene3d>
                <a:camera prst="orthographicFront"/>
                <a:lightRig rig="threePt" dir="t"/>
              </a:scene3d>
              <a:sp3d>
                <a:bevelT/>
              </a:sp3d>
            </c:spPr>
            <c:extLst>
              <c:ext xmlns:c16="http://schemas.microsoft.com/office/drawing/2014/chart" uri="{C3380CC4-5D6E-409C-BE32-E72D297353CC}">
                <c16:uniqueId val="{00000003-03E6-44A2-923E-8B539D0EAA81}"/>
              </c:ext>
            </c:extLst>
          </c:dPt>
          <c:dLbls>
            <c:dLbl>
              <c:idx val="0"/>
              <c:layout>
                <c:manualLayout>
                  <c:x val="-5.0925337632080051E-17"/>
                  <c:y val="0.120370370370370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E6-44A2-923E-8B539D0EAA81}"/>
                </c:ext>
              </c:extLst>
            </c:dLbl>
            <c:dLbl>
              <c:idx val="1"/>
              <c:layout>
                <c:manualLayout>
                  <c:x val="0"/>
                  <c:y val="0.12962962962962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E6-44A2-923E-8B539D0EAA81}"/>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Лист1!$A$112:$B$112</c:f>
              <c:strCache>
                <c:ptCount val="2"/>
                <c:pt idx="0">
                  <c:v>Республика Дагестан</c:v>
                </c:pt>
                <c:pt idx="1">
                  <c:v>Ставрополький край</c:v>
                </c:pt>
              </c:strCache>
            </c:strRef>
          </c:cat>
          <c:val>
            <c:numRef>
              <c:f>Лист1!$A$113:$B$113</c:f>
              <c:numCache>
                <c:formatCode>General</c:formatCode>
                <c:ptCount val="2"/>
                <c:pt idx="0" formatCode="0.0">
                  <c:v>176.2</c:v>
                </c:pt>
                <c:pt idx="1">
                  <c:v>271.8</c:v>
                </c:pt>
              </c:numCache>
            </c:numRef>
          </c:val>
          <c:extLst>
            <c:ext xmlns:c16="http://schemas.microsoft.com/office/drawing/2014/chart" uri="{C3380CC4-5D6E-409C-BE32-E72D297353CC}">
              <c16:uniqueId val="{00000004-03E6-44A2-923E-8B539D0EAA81}"/>
            </c:ext>
          </c:extLst>
        </c:ser>
        <c:dLbls>
          <c:showLegendKey val="0"/>
          <c:showVal val="0"/>
          <c:showCatName val="0"/>
          <c:showSerName val="0"/>
          <c:showPercent val="0"/>
          <c:showBubbleSize val="0"/>
        </c:dLbls>
        <c:gapWidth val="150"/>
        <c:shape val="box"/>
        <c:axId val="58802560"/>
        <c:axId val="58804096"/>
        <c:axId val="0"/>
      </c:bar3DChart>
      <c:catAx>
        <c:axId val="58802560"/>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804096"/>
        <c:crosses val="autoZero"/>
        <c:auto val="1"/>
        <c:lblAlgn val="ctr"/>
        <c:lblOffset val="100"/>
        <c:noMultiLvlLbl val="0"/>
      </c:catAx>
      <c:valAx>
        <c:axId val="58804096"/>
        <c:scaling>
          <c:orientation val="minMax"/>
          <c:max val="27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out"/>
        <c:minorTickMark val="none"/>
        <c:tickLblPos val="none"/>
        <c:crossAx val="58802560"/>
        <c:crosses val="autoZero"/>
        <c:crossBetween val="between"/>
        <c:majorUnit val="30"/>
        <c:minorUnit val="7"/>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a:scene3d>
              <a:camera prst="orthographicFront"/>
              <a:lightRig rig="threePt" dir="t"/>
            </a:scene3d>
            <a:sp3d>
              <a:bevelT/>
            </a:sp3d>
          </c:spPr>
          <c:invertIfNegative val="0"/>
          <c:dPt>
            <c:idx val="0"/>
            <c:invertIfNegative val="0"/>
            <c:bubble3D val="0"/>
            <c:spPr>
              <a:solidFill>
                <a:srgbClr val="00B050"/>
              </a:solidFill>
              <a:ln w="25400">
                <a:noFill/>
              </a:ln>
              <a:scene3d>
                <a:camera prst="orthographicFront"/>
                <a:lightRig rig="threePt" dir="t"/>
              </a:scene3d>
              <a:sp3d>
                <a:bevelT/>
              </a:sp3d>
            </c:spPr>
            <c:extLst>
              <c:ext xmlns:c16="http://schemas.microsoft.com/office/drawing/2014/chart" uri="{C3380CC4-5D6E-409C-BE32-E72D297353CC}">
                <c16:uniqueId val="{00000001-93D8-465B-9D96-B2C682EFDDD1}"/>
              </c:ext>
            </c:extLst>
          </c:dPt>
          <c:dPt>
            <c:idx val="1"/>
            <c:invertIfNegative val="0"/>
            <c:bubble3D val="0"/>
            <c:spPr>
              <a:solidFill>
                <a:srgbClr val="007AD6"/>
              </a:solidFill>
              <a:ln w="25400">
                <a:noFill/>
              </a:ln>
              <a:scene3d>
                <a:camera prst="orthographicFront"/>
                <a:lightRig rig="threePt" dir="t"/>
              </a:scene3d>
              <a:sp3d>
                <a:bevelT/>
              </a:sp3d>
            </c:spPr>
            <c:extLst>
              <c:ext xmlns:c16="http://schemas.microsoft.com/office/drawing/2014/chart" uri="{C3380CC4-5D6E-409C-BE32-E72D297353CC}">
                <c16:uniqueId val="{00000003-93D8-465B-9D96-B2C682EFDDD1}"/>
              </c:ext>
            </c:extLst>
          </c:dPt>
          <c:dLbls>
            <c:dLbl>
              <c:idx val="0"/>
              <c:layout>
                <c:manualLayout>
                  <c:x val="1.666666666666667E-2"/>
                  <c:y val="1.8518518518518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D8-465B-9D96-B2C682EFDDD1}"/>
                </c:ext>
              </c:extLst>
            </c:dLbl>
            <c:dLbl>
              <c:idx val="1"/>
              <c:layout>
                <c:manualLayout>
                  <c:x val="0"/>
                  <c:y val="0.15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D8-465B-9D96-B2C682EFDDD1}"/>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Лист1!$F$112:$G$112</c:f>
              <c:strCache>
                <c:ptCount val="2"/>
                <c:pt idx="0">
                  <c:v>Республика Дагестан</c:v>
                </c:pt>
                <c:pt idx="1">
                  <c:v>Ставропольский край</c:v>
                </c:pt>
              </c:strCache>
            </c:strRef>
          </c:cat>
          <c:val>
            <c:numRef>
              <c:f>Лист1!$F$113:$G$113</c:f>
              <c:numCache>
                <c:formatCode>_-* #\ ##0.0\ _₽_-;\-* #\ ##0.0\ _₽_-;_-* "-"??\ _₽_-;_-@_-</c:formatCode>
                <c:ptCount val="2"/>
                <c:pt idx="0">
                  <c:v>523.1</c:v>
                </c:pt>
                <c:pt idx="1">
                  <c:v>7397.7</c:v>
                </c:pt>
              </c:numCache>
            </c:numRef>
          </c:val>
          <c:extLst>
            <c:ext xmlns:c16="http://schemas.microsoft.com/office/drawing/2014/chart" uri="{C3380CC4-5D6E-409C-BE32-E72D297353CC}">
              <c16:uniqueId val="{00000004-93D8-465B-9D96-B2C682EFDDD1}"/>
            </c:ext>
          </c:extLst>
        </c:ser>
        <c:dLbls>
          <c:showLegendKey val="0"/>
          <c:showVal val="0"/>
          <c:showCatName val="0"/>
          <c:showSerName val="0"/>
          <c:showPercent val="0"/>
          <c:showBubbleSize val="0"/>
        </c:dLbls>
        <c:gapWidth val="150"/>
        <c:shape val="box"/>
        <c:axId val="58858112"/>
        <c:axId val="58868096"/>
        <c:axId val="0"/>
      </c:bar3DChart>
      <c:catAx>
        <c:axId val="5885811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868096"/>
        <c:crosses val="autoZero"/>
        <c:auto val="1"/>
        <c:lblAlgn val="ctr"/>
        <c:lblOffset val="100"/>
        <c:noMultiLvlLbl val="0"/>
      </c:catAx>
      <c:valAx>
        <c:axId val="58868096"/>
        <c:scaling>
          <c:orientation val="minMax"/>
          <c:max val="7500"/>
          <c:min val="0"/>
        </c:scaling>
        <c:delete val="0"/>
        <c:axPos val="l"/>
        <c:majorGridlines>
          <c:spPr>
            <a:ln w="9525" cap="flat" cmpd="sng" algn="ctr">
              <a:solidFill>
                <a:schemeClr val="tx1">
                  <a:lumMod val="15000"/>
                  <a:lumOff val="85000"/>
                </a:schemeClr>
              </a:solidFill>
              <a:round/>
            </a:ln>
            <a:effectLst/>
          </c:spPr>
        </c:majorGridlines>
        <c:minorGridlines>
          <c:spPr>
            <a:ln>
              <a:solidFill>
                <a:schemeClr val="bg1">
                  <a:lumMod val="95000"/>
                </a:schemeClr>
              </a:solidFill>
            </a:ln>
          </c:spPr>
        </c:minorGridlines>
        <c:numFmt formatCode="_-* #\ ##0.0\ _₽_-;\-* #\ ##0.0\ _₽_-;_-* &quot;-&quot;??\ _₽_-;_-@_-" sourceLinked="1"/>
        <c:majorTickMark val="out"/>
        <c:minorTickMark val="none"/>
        <c:tickLblPos val="none"/>
        <c:crossAx val="58858112"/>
        <c:crosses val="autoZero"/>
        <c:crossBetween val="between"/>
        <c:majorUnit val="900"/>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FF0000"/>
            </a:solidFill>
            <a:ln w="25400">
              <a:noFill/>
            </a:ln>
            <a:scene3d>
              <a:camera prst="orthographicFront"/>
              <a:lightRig rig="threePt" dir="t"/>
            </a:scene3d>
            <a:sp3d>
              <a:bevelT/>
            </a:sp3d>
          </c:spPr>
          <c:invertIfNegative val="0"/>
          <c:dPt>
            <c:idx val="1"/>
            <c:invertIfNegative val="0"/>
            <c:bubble3D val="0"/>
            <c:spPr>
              <a:solidFill>
                <a:srgbClr val="0070C0"/>
              </a:solidFill>
              <a:ln w="25400">
                <a:noFill/>
              </a:ln>
              <a:scene3d>
                <a:camera prst="orthographicFront"/>
                <a:lightRig rig="threePt" dir="t"/>
              </a:scene3d>
              <a:sp3d>
                <a:bevelT/>
              </a:sp3d>
            </c:spPr>
            <c:extLst>
              <c:ext xmlns:c16="http://schemas.microsoft.com/office/drawing/2014/chart" uri="{C3380CC4-5D6E-409C-BE32-E72D297353CC}">
                <c16:uniqueId val="{00000001-8978-46CE-A854-0C1911CF1583}"/>
              </c:ext>
            </c:extLst>
          </c:dPt>
          <c:dPt>
            <c:idx val="2"/>
            <c:invertIfNegative val="0"/>
            <c:bubble3D val="0"/>
            <c:spPr>
              <a:solidFill>
                <a:srgbClr val="009A46"/>
              </a:solidFill>
              <a:ln w="25400">
                <a:noFill/>
              </a:ln>
              <a:scene3d>
                <a:camera prst="orthographicFront"/>
                <a:lightRig rig="threePt" dir="t"/>
              </a:scene3d>
              <a:sp3d>
                <a:bevelT/>
              </a:sp3d>
            </c:spPr>
            <c:extLst>
              <c:ext xmlns:c16="http://schemas.microsoft.com/office/drawing/2014/chart" uri="{C3380CC4-5D6E-409C-BE32-E72D297353CC}">
                <c16:uniqueId val="{00000003-8978-46CE-A854-0C1911CF1583}"/>
              </c:ext>
            </c:extLst>
          </c:dPt>
          <c:dLbls>
            <c:dLbl>
              <c:idx val="0"/>
              <c:layout>
                <c:manualLayout>
                  <c:x val="0"/>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78-46CE-A854-0C1911CF1583}"/>
                </c:ext>
              </c:extLst>
            </c:dLbl>
            <c:dLbl>
              <c:idx val="1"/>
              <c:layout>
                <c:manualLayout>
                  <c:x val="-1.018506752641601E-16"/>
                  <c:y val="0.115740740740740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78-46CE-A854-0C1911CF1583}"/>
                </c:ext>
              </c:extLst>
            </c:dLbl>
            <c:dLbl>
              <c:idx val="2"/>
              <c:layout>
                <c:manualLayout>
                  <c:x val="0"/>
                  <c:y val="0.106481481481481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78-46CE-A854-0C1911CF1583}"/>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Лист1!$A$133:$C$133</c:f>
              <c:strCache>
                <c:ptCount val="3"/>
                <c:pt idx="0">
                  <c:v>РФ</c:v>
                </c:pt>
                <c:pt idx="1">
                  <c:v>СКФО</c:v>
                </c:pt>
                <c:pt idx="2">
                  <c:v>РД</c:v>
                </c:pt>
              </c:strCache>
            </c:strRef>
          </c:cat>
          <c:val>
            <c:numRef>
              <c:f>Лист1!$A$134:$C$134</c:f>
              <c:numCache>
                <c:formatCode>General</c:formatCode>
                <c:ptCount val="3"/>
                <c:pt idx="0">
                  <c:v>107.7</c:v>
                </c:pt>
                <c:pt idx="1">
                  <c:v>97.8</c:v>
                </c:pt>
                <c:pt idx="2">
                  <c:v>88.6</c:v>
                </c:pt>
              </c:numCache>
            </c:numRef>
          </c:val>
          <c:extLst>
            <c:ext xmlns:c16="http://schemas.microsoft.com/office/drawing/2014/chart" uri="{C3380CC4-5D6E-409C-BE32-E72D297353CC}">
              <c16:uniqueId val="{00000005-8978-46CE-A854-0C1911CF1583}"/>
            </c:ext>
          </c:extLst>
        </c:ser>
        <c:dLbls>
          <c:showLegendKey val="0"/>
          <c:showVal val="0"/>
          <c:showCatName val="0"/>
          <c:showSerName val="0"/>
          <c:showPercent val="0"/>
          <c:showBubbleSize val="0"/>
        </c:dLbls>
        <c:gapWidth val="150"/>
        <c:shape val="box"/>
        <c:axId val="55465472"/>
        <c:axId val="55467008"/>
        <c:axId val="0"/>
      </c:bar3DChart>
      <c:catAx>
        <c:axId val="5546547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467008"/>
        <c:crosses val="autoZero"/>
        <c:auto val="1"/>
        <c:lblAlgn val="ctr"/>
        <c:lblOffset val="100"/>
        <c:noMultiLvlLbl val="0"/>
      </c:catAx>
      <c:valAx>
        <c:axId val="55467008"/>
        <c:scaling>
          <c:orientation val="minMax"/>
          <c:min val="8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one"/>
        <c:crossAx val="55465472"/>
        <c:crosses val="autoZero"/>
        <c:crossBetween val="between"/>
        <c:majorUnit val="3"/>
        <c:minorUnit val="0.5"/>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009A46"/>
            </a:solidFill>
            <a:ln w="25400">
              <a:noFill/>
            </a:ln>
            <a:scene3d>
              <a:camera prst="orthographicFront"/>
              <a:lightRig rig="threePt" dir="t"/>
            </a:scene3d>
            <a:sp3d>
              <a:bevelT/>
            </a:sp3d>
          </c:spPr>
          <c:invertIfNegative val="0"/>
          <c:dPt>
            <c:idx val="0"/>
            <c:invertIfNegative val="0"/>
            <c:bubble3D val="0"/>
            <c:spPr>
              <a:solidFill>
                <a:srgbClr val="FF0000"/>
              </a:solidFill>
              <a:ln w="25400">
                <a:noFill/>
              </a:ln>
              <a:scene3d>
                <a:camera prst="orthographicFront"/>
                <a:lightRig rig="threePt" dir="t"/>
              </a:scene3d>
              <a:sp3d>
                <a:bevelT/>
              </a:sp3d>
            </c:spPr>
            <c:extLst>
              <c:ext xmlns:c16="http://schemas.microsoft.com/office/drawing/2014/chart" uri="{C3380CC4-5D6E-409C-BE32-E72D297353CC}">
                <c16:uniqueId val="{00000001-3005-49F2-904A-F75E383FD63B}"/>
              </c:ext>
            </c:extLst>
          </c:dPt>
          <c:dPt>
            <c:idx val="1"/>
            <c:invertIfNegative val="0"/>
            <c:bubble3D val="0"/>
            <c:spPr>
              <a:solidFill>
                <a:srgbClr val="0070C0"/>
              </a:solidFill>
              <a:ln w="25400">
                <a:noFill/>
              </a:ln>
              <a:scene3d>
                <a:camera prst="orthographicFront"/>
                <a:lightRig rig="threePt" dir="t"/>
              </a:scene3d>
              <a:sp3d>
                <a:bevelT/>
              </a:sp3d>
            </c:spPr>
            <c:extLst>
              <c:ext xmlns:c16="http://schemas.microsoft.com/office/drawing/2014/chart" uri="{C3380CC4-5D6E-409C-BE32-E72D297353CC}">
                <c16:uniqueId val="{00000003-3005-49F2-904A-F75E383FD63B}"/>
              </c:ext>
            </c:extLst>
          </c:dPt>
          <c:dLbls>
            <c:dLbl>
              <c:idx val="0"/>
              <c:layout>
                <c:manualLayout>
                  <c:x val="4.8778208943977717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05-49F2-904A-F75E383FD63B}"/>
                </c:ext>
              </c:extLst>
            </c:dLbl>
            <c:dLbl>
              <c:idx val="1"/>
              <c:layout>
                <c:manualLayout>
                  <c:x val="-1.018506752641601E-16"/>
                  <c:y val="9.2592592592592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05-49F2-904A-F75E383FD63B}"/>
                </c:ext>
              </c:extLst>
            </c:dLbl>
            <c:dLbl>
              <c:idx val="2"/>
              <c:layout>
                <c:manualLayout>
                  <c:x val="-1.018506752641601E-16"/>
                  <c:y val="0.106481481481481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05-49F2-904A-F75E383FD63B}"/>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Лист1!$E$133:$G$133</c:f>
              <c:strCache>
                <c:ptCount val="3"/>
                <c:pt idx="0">
                  <c:v>РФ</c:v>
                </c:pt>
                <c:pt idx="1">
                  <c:v>СКФО</c:v>
                </c:pt>
                <c:pt idx="2">
                  <c:v>РД</c:v>
                </c:pt>
              </c:strCache>
            </c:strRef>
          </c:cat>
          <c:val>
            <c:numRef>
              <c:f>Лист1!$E$134:$G$134</c:f>
              <c:numCache>
                <c:formatCode>General</c:formatCode>
                <c:ptCount val="3"/>
                <c:pt idx="0">
                  <c:v>157.30000000000001</c:v>
                </c:pt>
                <c:pt idx="1">
                  <c:v>72.5</c:v>
                </c:pt>
                <c:pt idx="2">
                  <c:v>80</c:v>
                </c:pt>
              </c:numCache>
            </c:numRef>
          </c:val>
          <c:extLst>
            <c:ext xmlns:c16="http://schemas.microsoft.com/office/drawing/2014/chart" uri="{C3380CC4-5D6E-409C-BE32-E72D297353CC}">
              <c16:uniqueId val="{00000005-3005-49F2-904A-F75E383FD63B}"/>
            </c:ext>
          </c:extLst>
        </c:ser>
        <c:dLbls>
          <c:showLegendKey val="0"/>
          <c:showVal val="0"/>
          <c:showCatName val="0"/>
          <c:showSerName val="0"/>
          <c:showPercent val="0"/>
          <c:showBubbleSize val="0"/>
        </c:dLbls>
        <c:gapWidth val="150"/>
        <c:shape val="box"/>
        <c:axId val="55497472"/>
        <c:axId val="55499008"/>
        <c:axId val="0"/>
      </c:bar3DChart>
      <c:catAx>
        <c:axId val="5549747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499008"/>
        <c:crosses val="autoZero"/>
        <c:auto val="1"/>
        <c:lblAlgn val="ctr"/>
        <c:lblOffset val="100"/>
        <c:noMultiLvlLbl val="0"/>
      </c:catAx>
      <c:valAx>
        <c:axId val="55499008"/>
        <c:scaling>
          <c:orientation val="minMax"/>
          <c:max val="13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one"/>
        <c:crossAx val="55497472"/>
        <c:crosses val="autoZero"/>
        <c:crossBetween val="between"/>
        <c:majorUnit val="15"/>
        <c:minorUnit val="3"/>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0070C0"/>
            </a:solidFill>
            <a:ln w="25400">
              <a:noFill/>
            </a:ln>
            <a:scene3d>
              <a:camera prst="orthographicFront"/>
              <a:lightRig rig="threePt" dir="t"/>
            </a:scene3d>
            <a:sp3d>
              <a:bevelT/>
            </a:sp3d>
          </c:spPr>
          <c:invertIfNegative val="0"/>
          <c:dPt>
            <c:idx val="0"/>
            <c:invertIfNegative val="0"/>
            <c:bubble3D val="0"/>
            <c:spPr>
              <a:solidFill>
                <a:srgbClr val="009A46"/>
              </a:solidFill>
              <a:ln w="25400">
                <a:noFill/>
              </a:ln>
              <a:scene3d>
                <a:camera prst="orthographicFront"/>
                <a:lightRig rig="threePt" dir="t"/>
              </a:scene3d>
              <a:sp3d>
                <a:bevelT/>
              </a:sp3d>
            </c:spPr>
            <c:extLst>
              <c:ext xmlns:c16="http://schemas.microsoft.com/office/drawing/2014/chart" uri="{C3380CC4-5D6E-409C-BE32-E72D297353CC}">
                <c16:uniqueId val="{00000001-DFB0-4CEC-B7AB-853983DE65B1}"/>
              </c:ext>
            </c:extLst>
          </c:dPt>
          <c:dLbls>
            <c:dLbl>
              <c:idx val="0"/>
              <c:layout>
                <c:manualLayout>
                  <c:x val="0"/>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B0-4CEC-B7AB-853983DE65B1}"/>
                </c:ext>
              </c:extLst>
            </c:dLbl>
            <c:dLbl>
              <c:idx val="1"/>
              <c:layout>
                <c:manualLayout>
                  <c:x val="0"/>
                  <c:y val="0.12962962962962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B0-4CEC-B7AB-853983DE65B1}"/>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Лист1!$A$154:$B$154</c:f>
              <c:strCache>
                <c:ptCount val="2"/>
                <c:pt idx="0">
                  <c:v>Республика Дагестан</c:v>
                </c:pt>
                <c:pt idx="1">
                  <c:v>Ставропольский край</c:v>
                </c:pt>
              </c:strCache>
            </c:strRef>
          </c:cat>
          <c:val>
            <c:numRef>
              <c:f>Лист1!$A$155:$B$155</c:f>
              <c:numCache>
                <c:formatCode>General</c:formatCode>
                <c:ptCount val="2"/>
                <c:pt idx="0" formatCode="0.0">
                  <c:v>60.3</c:v>
                </c:pt>
                <c:pt idx="1">
                  <c:v>47.2</c:v>
                </c:pt>
              </c:numCache>
            </c:numRef>
          </c:val>
          <c:extLst>
            <c:ext xmlns:c16="http://schemas.microsoft.com/office/drawing/2014/chart" uri="{C3380CC4-5D6E-409C-BE32-E72D297353CC}">
              <c16:uniqueId val="{00000003-DFB0-4CEC-B7AB-853983DE65B1}"/>
            </c:ext>
          </c:extLst>
        </c:ser>
        <c:dLbls>
          <c:showLegendKey val="0"/>
          <c:showVal val="0"/>
          <c:showCatName val="0"/>
          <c:showSerName val="0"/>
          <c:showPercent val="0"/>
          <c:showBubbleSize val="0"/>
        </c:dLbls>
        <c:gapWidth val="150"/>
        <c:shape val="box"/>
        <c:axId val="55537024"/>
        <c:axId val="55542912"/>
        <c:axId val="0"/>
      </c:bar3DChart>
      <c:catAx>
        <c:axId val="55537024"/>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5542912"/>
        <c:crosses val="autoZero"/>
        <c:auto val="1"/>
        <c:lblAlgn val="ctr"/>
        <c:lblOffset val="100"/>
        <c:noMultiLvlLbl val="0"/>
      </c:catAx>
      <c:valAx>
        <c:axId val="55542912"/>
        <c:scaling>
          <c:orientation val="minMax"/>
          <c:max val="55"/>
          <c:min val="5"/>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out"/>
        <c:minorTickMark val="none"/>
        <c:tickLblPos val="none"/>
        <c:crossAx val="55537024"/>
        <c:crosses val="autoZero"/>
        <c:crossBetween val="between"/>
        <c:majorUnit val="5"/>
        <c:minorUnit val="1.1000000000000001"/>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FFFFFF"/>
        </a:solid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a:scene3d>
              <a:camera prst="orthographicFront"/>
              <a:lightRig rig="threePt" dir="t"/>
            </a:scene3d>
            <a:sp3d>
              <a:bevelT/>
            </a:sp3d>
          </c:spPr>
          <c:invertIfNegative val="0"/>
          <c:dPt>
            <c:idx val="0"/>
            <c:invertIfNegative val="0"/>
            <c:bubble3D val="0"/>
            <c:spPr>
              <a:solidFill>
                <a:srgbClr val="009A46"/>
              </a:solidFill>
              <a:ln w="25400">
                <a:noFill/>
              </a:ln>
              <a:scene3d>
                <a:camera prst="orthographicFront"/>
                <a:lightRig rig="threePt" dir="t"/>
              </a:scene3d>
              <a:sp3d>
                <a:bevelT/>
              </a:sp3d>
            </c:spPr>
            <c:extLst>
              <c:ext xmlns:c16="http://schemas.microsoft.com/office/drawing/2014/chart" uri="{C3380CC4-5D6E-409C-BE32-E72D297353CC}">
                <c16:uniqueId val="{00000001-B65C-4F38-9CB9-CA9FDBE7479F}"/>
              </c:ext>
            </c:extLst>
          </c:dPt>
          <c:dLbls>
            <c:dLbl>
              <c:idx val="0"/>
              <c:layout>
                <c:manualLayout>
                  <c:x val="-2.7777777777778304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5C-4F38-9CB9-CA9FDBE7479F}"/>
                </c:ext>
              </c:extLst>
            </c:dLbl>
            <c:dLbl>
              <c:idx val="1"/>
              <c:layout>
                <c:manualLayout>
                  <c:x val="0"/>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5C-4F38-9CB9-CA9FDBE7479F}"/>
                </c:ext>
              </c:extLst>
            </c:dLbl>
            <c:spPr>
              <a:solidFill>
                <a:schemeClr val="bg1"/>
              </a:solidFill>
              <a:ln>
                <a:noFill/>
              </a:ln>
              <a:effectLst/>
            </c:spPr>
            <c:txPr>
              <a:bodyPr rot="0" spcFirstLastPara="1" vertOverflow="ellipsis" vert="horz" wrap="square" lIns="38100" tIns="19050" rIns="38100" bIns="19050" anchor="ctr" anchorCtr="0">
                <a:spAutoFit/>
              </a:bodyPr>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Лист1!$E$154:$F$154</c:f>
              <c:strCache>
                <c:ptCount val="2"/>
                <c:pt idx="0">
                  <c:v>Республика Дагестан</c:v>
                </c:pt>
                <c:pt idx="1">
                  <c:v>Ставропольский край</c:v>
                </c:pt>
              </c:strCache>
            </c:strRef>
          </c:cat>
          <c:val>
            <c:numRef>
              <c:f>Лист1!$E$155:$F$155</c:f>
              <c:numCache>
                <c:formatCode>_-* #\ ##0.0\ _₽_-;\-* #\ ##0.0\ _₽_-;_-* "-"??\ _₽_-;_-@_-</c:formatCode>
                <c:ptCount val="2"/>
                <c:pt idx="0">
                  <c:v>3074</c:v>
                </c:pt>
                <c:pt idx="1">
                  <c:v>6859.9</c:v>
                </c:pt>
              </c:numCache>
            </c:numRef>
          </c:val>
          <c:extLst>
            <c:ext xmlns:c16="http://schemas.microsoft.com/office/drawing/2014/chart" uri="{C3380CC4-5D6E-409C-BE32-E72D297353CC}">
              <c16:uniqueId val="{00000003-B65C-4F38-9CB9-CA9FDBE7479F}"/>
            </c:ext>
          </c:extLst>
        </c:ser>
        <c:dLbls>
          <c:showLegendKey val="0"/>
          <c:showVal val="0"/>
          <c:showCatName val="0"/>
          <c:showSerName val="0"/>
          <c:showPercent val="0"/>
          <c:showBubbleSize val="0"/>
        </c:dLbls>
        <c:gapWidth val="150"/>
        <c:shape val="box"/>
        <c:axId val="58345344"/>
        <c:axId val="58346880"/>
        <c:axId val="0"/>
      </c:bar3DChart>
      <c:catAx>
        <c:axId val="58345344"/>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lgn="ctr">
              <a:defRPr lang="ru-RU"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346880"/>
        <c:crosses val="autoZero"/>
        <c:auto val="1"/>
        <c:lblAlgn val="ctr"/>
        <c:lblOffset val="100"/>
        <c:noMultiLvlLbl val="0"/>
      </c:catAx>
      <c:valAx>
        <c:axId val="58346880"/>
        <c:scaling>
          <c:orientation val="minMax"/>
          <c:max val="5000"/>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_-* #\ ##0.0\ _₽_-;\-* #\ ##0.0\ _₽_-;_-* &quot;-&quot;??\ _₽_-;_-@_-" sourceLinked="1"/>
        <c:majorTickMark val="out"/>
        <c:minorTickMark val="none"/>
        <c:tickLblPos val="none"/>
        <c:crossAx val="58345344"/>
        <c:crosses val="autoZero"/>
        <c:crossBetween val="between"/>
        <c:majorUnit val="900"/>
        <c:minorUnit val="100"/>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0.6743</cdr:x>
      <cdr:y>0.16667</cdr:y>
    </cdr:from>
    <cdr:to>
      <cdr:x>0.71849</cdr:x>
      <cdr:y>0.30208</cdr:y>
    </cdr:to>
    <cdr:sp macro="" textlink="">
      <cdr:nvSpPr>
        <cdr:cNvPr id="2" name="TextBox 1">
          <a:extLst xmlns:a="http://schemas.openxmlformats.org/drawingml/2006/main">
            <a:ext uri="{FF2B5EF4-FFF2-40B4-BE49-F238E27FC236}">
              <a16:creationId xmlns:a16="http://schemas.microsoft.com/office/drawing/2014/main" id="{E9578EBC-A2B8-6A84-1535-1AD34503D4C2}"/>
            </a:ext>
          </a:extLst>
        </cdr:cNvPr>
        <cdr:cNvSpPr txBox="1"/>
      </cdr:nvSpPr>
      <cdr:spPr>
        <a:xfrm xmlns:a="http://schemas.openxmlformats.org/drawingml/2006/main">
          <a:off x="3924301" y="457200"/>
          <a:ext cx="257175" cy="371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0.6563</cdr:x>
      <cdr:y>0.1875</cdr:y>
    </cdr:from>
    <cdr:to>
      <cdr:x>0.73813</cdr:x>
      <cdr:y>0.29514</cdr:y>
    </cdr:to>
    <cdr:sp macro="" textlink="">
      <cdr:nvSpPr>
        <cdr:cNvPr id="3" name="TextBox 2">
          <a:extLst xmlns:a="http://schemas.openxmlformats.org/drawingml/2006/main">
            <a:ext uri="{FF2B5EF4-FFF2-40B4-BE49-F238E27FC236}">
              <a16:creationId xmlns:a16="http://schemas.microsoft.com/office/drawing/2014/main" id="{1A9691FC-DF75-D634-44D3-992627CF6EFA}"/>
            </a:ext>
          </a:extLst>
        </cdr:cNvPr>
        <cdr:cNvSpPr txBox="1"/>
      </cdr:nvSpPr>
      <cdr:spPr>
        <a:xfrm xmlns:a="http://schemas.openxmlformats.org/drawingml/2006/main">
          <a:off x="3819526" y="514350"/>
          <a:ext cx="47625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b="1">
              <a:solidFill>
                <a:schemeClr val="bg1"/>
              </a:solidFill>
              <a:latin typeface="Times New Roman" panose="02020603050405020304" pitchFamily="18" charset="0"/>
              <a:cs typeface="Times New Roman" panose="02020603050405020304" pitchFamily="18" charset="0"/>
            </a:rPr>
            <a:t>402,3</a:t>
          </a:r>
        </a:p>
      </cdr:txBody>
    </cdr:sp>
  </cdr:relSizeAnchor>
  <cdr:relSizeAnchor xmlns:cdr="http://schemas.openxmlformats.org/drawingml/2006/chartDrawing">
    <cdr:from>
      <cdr:x>0.51986</cdr:x>
      <cdr:y>0.6193</cdr:y>
    </cdr:from>
    <cdr:to>
      <cdr:x>0.59628</cdr:x>
      <cdr:y>0.68448</cdr:y>
    </cdr:to>
    <cdr:sp macro="" textlink="">
      <cdr:nvSpPr>
        <cdr:cNvPr id="4" name="TextBox 3">
          <a:extLst xmlns:a="http://schemas.openxmlformats.org/drawingml/2006/main">
            <a:ext uri="{FF2B5EF4-FFF2-40B4-BE49-F238E27FC236}">
              <a16:creationId xmlns:a16="http://schemas.microsoft.com/office/drawing/2014/main" id="{D5E53AEB-2E2A-B03D-290B-BBE9AA297DE9}"/>
            </a:ext>
          </a:extLst>
        </cdr:cNvPr>
        <cdr:cNvSpPr txBox="1"/>
      </cdr:nvSpPr>
      <cdr:spPr>
        <a:xfrm xmlns:a="http://schemas.openxmlformats.org/drawingml/2006/main">
          <a:off x="3088189" y="1858132"/>
          <a:ext cx="453970" cy="195566"/>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ru-RU" sz="700" b="1">
              <a:solidFill>
                <a:schemeClr val="bg1"/>
              </a:solidFill>
              <a:latin typeface="Times New Roman" panose="02020603050405020304" pitchFamily="18" charset="0"/>
              <a:cs typeface="Times New Roman" panose="02020603050405020304" pitchFamily="18" charset="0"/>
            </a:rPr>
            <a:t>2 768,3</a:t>
          </a:r>
        </a:p>
      </cdr:txBody>
    </cdr:sp>
  </cdr:relSizeAnchor>
  <cdr:relSizeAnchor xmlns:cdr="http://schemas.openxmlformats.org/drawingml/2006/chartDrawing">
    <cdr:from>
      <cdr:x>0.38846</cdr:x>
      <cdr:y>0.60472</cdr:y>
    </cdr:from>
    <cdr:to>
      <cdr:x>0.46542</cdr:x>
      <cdr:y>0.6699</cdr:y>
    </cdr:to>
    <cdr:sp macro="" textlink="">
      <cdr:nvSpPr>
        <cdr:cNvPr id="5" name="TextBox 4">
          <a:extLst xmlns:a="http://schemas.openxmlformats.org/drawingml/2006/main">
            <a:ext uri="{FF2B5EF4-FFF2-40B4-BE49-F238E27FC236}">
              <a16:creationId xmlns:a16="http://schemas.microsoft.com/office/drawing/2014/main" id="{71549744-9063-581C-7C5E-9466BC7DBC24}"/>
            </a:ext>
          </a:extLst>
        </cdr:cNvPr>
        <cdr:cNvSpPr txBox="1"/>
      </cdr:nvSpPr>
      <cdr:spPr>
        <a:xfrm xmlns:a="http://schemas.openxmlformats.org/drawingml/2006/main">
          <a:off x="2307600" y="1814399"/>
          <a:ext cx="457200" cy="195566"/>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ru-RU" sz="700" b="1">
              <a:solidFill>
                <a:schemeClr val="bg1"/>
              </a:solidFill>
              <a:latin typeface="Times New Roman" panose="02020603050405020304" pitchFamily="18" charset="0"/>
              <a:cs typeface="Times New Roman" panose="02020603050405020304" pitchFamily="18" charset="0"/>
            </a:rPr>
            <a:t>3 460,1</a:t>
          </a:r>
        </a:p>
      </cdr:txBody>
    </cdr:sp>
  </cdr:relSizeAnchor>
  <cdr:relSizeAnchor xmlns:cdr="http://schemas.openxmlformats.org/drawingml/2006/chartDrawing">
    <cdr:from>
      <cdr:x>0.25028</cdr:x>
      <cdr:y>0.39596</cdr:y>
    </cdr:from>
    <cdr:to>
      <cdr:x>0.32664</cdr:x>
      <cdr:y>0.46114</cdr:y>
    </cdr:to>
    <cdr:sp macro="" textlink="">
      <cdr:nvSpPr>
        <cdr:cNvPr id="6" name="TextBox 5">
          <a:extLst xmlns:a="http://schemas.openxmlformats.org/drawingml/2006/main">
            <a:ext uri="{FF2B5EF4-FFF2-40B4-BE49-F238E27FC236}">
              <a16:creationId xmlns:a16="http://schemas.microsoft.com/office/drawing/2014/main" id="{ECF36901-5623-0237-25C7-BB13219E488A}"/>
            </a:ext>
          </a:extLst>
        </cdr:cNvPr>
        <cdr:cNvSpPr txBox="1"/>
      </cdr:nvSpPr>
      <cdr:spPr>
        <a:xfrm xmlns:a="http://schemas.openxmlformats.org/drawingml/2006/main">
          <a:off x="1486799" y="1188029"/>
          <a:ext cx="453601" cy="195566"/>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ru-RU" sz="700" b="1">
              <a:solidFill>
                <a:schemeClr val="bg1"/>
              </a:solidFill>
              <a:latin typeface="Times New Roman" panose="02020603050405020304" pitchFamily="18" charset="0"/>
              <a:cs typeface="Times New Roman" panose="02020603050405020304" pitchFamily="18" charset="0"/>
            </a:rPr>
            <a:t>7 466,0</a:t>
          </a:r>
        </a:p>
      </cdr:txBody>
    </cdr:sp>
  </cdr:relSizeAnchor>
  <cdr:relSizeAnchor xmlns:cdr="http://schemas.openxmlformats.org/drawingml/2006/chartDrawing">
    <cdr:from>
      <cdr:x>0.10605</cdr:x>
      <cdr:y>0.14833</cdr:y>
    </cdr:from>
    <cdr:to>
      <cdr:x>0.18968</cdr:x>
      <cdr:y>0.21351</cdr:y>
    </cdr:to>
    <cdr:sp macro="" textlink="">
      <cdr:nvSpPr>
        <cdr:cNvPr id="7" name="TextBox 6">
          <a:extLst xmlns:a="http://schemas.openxmlformats.org/drawingml/2006/main">
            <a:ext uri="{FF2B5EF4-FFF2-40B4-BE49-F238E27FC236}">
              <a16:creationId xmlns:a16="http://schemas.microsoft.com/office/drawing/2014/main" id="{F6380410-16A9-B135-6961-98CB17140A5F}"/>
            </a:ext>
          </a:extLst>
        </cdr:cNvPr>
        <cdr:cNvSpPr txBox="1"/>
      </cdr:nvSpPr>
      <cdr:spPr>
        <a:xfrm xmlns:a="http://schemas.openxmlformats.org/drawingml/2006/main">
          <a:off x="629999" y="445047"/>
          <a:ext cx="496801" cy="195566"/>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r>
            <a:rPr lang="ru-RU" sz="700" b="1">
              <a:solidFill>
                <a:schemeClr val="bg1"/>
              </a:solidFill>
              <a:latin typeface="Times New Roman" panose="02020603050405020304" pitchFamily="18" charset="0"/>
              <a:cs typeface="Times New Roman" panose="02020603050405020304" pitchFamily="18" charset="0"/>
            </a:rPr>
            <a:t>14 574,9</a:t>
          </a:r>
        </a:p>
      </cdr:txBody>
    </cdr:sp>
  </cdr:relSizeAnchor>
  <cdr:relSizeAnchor xmlns:cdr="http://schemas.openxmlformats.org/drawingml/2006/chartDrawing">
    <cdr:from>
      <cdr:x>0.81522</cdr:x>
      <cdr:y>0.19062</cdr:y>
    </cdr:from>
    <cdr:to>
      <cdr:x>0.88396</cdr:x>
      <cdr:y>0.26701</cdr:y>
    </cdr:to>
    <cdr:sp macro="" textlink="">
      <cdr:nvSpPr>
        <cdr:cNvPr id="8" name="TextBox 7">
          <a:extLst xmlns:a="http://schemas.openxmlformats.org/drawingml/2006/main">
            <a:ext uri="{FF2B5EF4-FFF2-40B4-BE49-F238E27FC236}">
              <a16:creationId xmlns:a16="http://schemas.microsoft.com/office/drawing/2014/main" id="{CBABF5B0-9752-51E1-C4CB-20733B93BAA4}"/>
            </a:ext>
          </a:extLst>
        </cdr:cNvPr>
        <cdr:cNvSpPr txBox="1"/>
      </cdr:nvSpPr>
      <cdr:spPr>
        <a:xfrm xmlns:a="http://schemas.openxmlformats.org/drawingml/2006/main">
          <a:off x="7066134" y="746224"/>
          <a:ext cx="595820" cy="29904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b="1">
              <a:solidFill>
                <a:schemeClr val="bg1"/>
              </a:solidFill>
              <a:latin typeface="Times New Roman" panose="02020603050405020304" pitchFamily="18" charset="0"/>
              <a:cs typeface="Times New Roman" panose="02020603050405020304" pitchFamily="18" charset="0"/>
            </a:rPr>
            <a:t>283,0</a:t>
          </a:r>
        </a:p>
      </cdr:txBody>
    </cdr:sp>
  </cdr:relSizeAnchor>
  <cdr:relSizeAnchor xmlns:cdr="http://schemas.openxmlformats.org/drawingml/2006/chartDrawing">
    <cdr:from>
      <cdr:x>0.66283</cdr:x>
      <cdr:y>0.70194</cdr:y>
    </cdr:from>
    <cdr:to>
      <cdr:x>0.72792</cdr:x>
      <cdr:y>0.74511</cdr:y>
    </cdr:to>
    <cdr:sp macro="" textlink="">
      <cdr:nvSpPr>
        <cdr:cNvPr id="11" name="TextBox 10">
          <a:extLst xmlns:a="http://schemas.openxmlformats.org/drawingml/2006/main">
            <a:ext uri="{FF2B5EF4-FFF2-40B4-BE49-F238E27FC236}">
              <a16:creationId xmlns:a16="http://schemas.microsoft.com/office/drawing/2014/main" id="{03DCC720-7A94-0B3D-F75B-91AE518E6181}"/>
            </a:ext>
          </a:extLst>
        </cdr:cNvPr>
        <cdr:cNvSpPr txBox="1"/>
      </cdr:nvSpPr>
      <cdr:spPr>
        <a:xfrm xmlns:a="http://schemas.openxmlformats.org/drawingml/2006/main">
          <a:off x="3937492" y="2106083"/>
          <a:ext cx="386644" cy="129517"/>
        </a:xfrm>
        <a:prstGeom xmlns:a="http://schemas.openxmlformats.org/drawingml/2006/main" prst="rect">
          <a:avLst/>
        </a:prstGeom>
      </cdr:spPr>
      <cdr:txBody>
        <a:bodyPr xmlns:a="http://schemas.openxmlformats.org/drawingml/2006/main" vertOverflow="clip" wrap="none" rtlCol="0">
          <a:noAutofit/>
        </a:bodyPr>
        <a:lstStyle xmlns:a="http://schemas.openxmlformats.org/drawingml/2006/main"/>
        <a:p xmlns:a="http://schemas.openxmlformats.org/drawingml/2006/main">
          <a:r>
            <a:rPr lang="ru-RU" sz="700" b="1">
              <a:solidFill>
                <a:schemeClr val="bg1"/>
              </a:solidFill>
              <a:latin typeface="Times New Roman" panose="02020603050405020304" pitchFamily="18" charset="0"/>
              <a:cs typeface="Times New Roman" panose="02020603050405020304" pitchFamily="18" charset="0"/>
            </a:rPr>
            <a:t>402,3</a:t>
          </a:r>
        </a:p>
      </cdr:txBody>
    </cdr:sp>
  </cdr:relSizeAnchor>
  <cdr:relSizeAnchor xmlns:cdr="http://schemas.openxmlformats.org/drawingml/2006/chartDrawing">
    <cdr:from>
      <cdr:x>0.80987</cdr:x>
      <cdr:y>0.70795</cdr:y>
    </cdr:from>
    <cdr:to>
      <cdr:x>0.87496</cdr:x>
      <cdr:y>0.77313</cdr:y>
    </cdr:to>
    <cdr:sp macro="" textlink="">
      <cdr:nvSpPr>
        <cdr:cNvPr id="12" name="TextBox 11">
          <a:extLst xmlns:a="http://schemas.openxmlformats.org/drawingml/2006/main">
            <a:ext uri="{FF2B5EF4-FFF2-40B4-BE49-F238E27FC236}">
              <a16:creationId xmlns:a16="http://schemas.microsoft.com/office/drawing/2014/main" id="{C27BCB84-D8B5-8465-6383-D31AB1CA6455}"/>
            </a:ext>
          </a:extLst>
        </cdr:cNvPr>
        <cdr:cNvSpPr txBox="1"/>
      </cdr:nvSpPr>
      <cdr:spPr>
        <a:xfrm xmlns:a="http://schemas.openxmlformats.org/drawingml/2006/main">
          <a:off x="4810972" y="2124115"/>
          <a:ext cx="386644" cy="195566"/>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ru-RU" sz="700" b="1">
              <a:solidFill>
                <a:schemeClr val="bg1"/>
              </a:solidFill>
              <a:latin typeface="Times New Roman" panose="02020603050405020304" pitchFamily="18" charset="0"/>
              <a:cs typeface="Times New Roman" panose="02020603050405020304" pitchFamily="18" charset="0"/>
            </a:rPr>
            <a:t>119,3</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97EB3-4DDF-4F43-BA18-97336616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222</Pages>
  <Words>77110</Words>
  <Characters>439533</Characters>
  <Application>Microsoft Office Word</Application>
  <DocSecurity>0</DocSecurity>
  <Lines>3662</Lines>
  <Paragraphs>1031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Темирлан Расулов</dc:creator>
  <cp:keywords/>
  <dc:description/>
  <cp:lastModifiedBy>Ирина</cp:lastModifiedBy>
  <cp:revision>91</cp:revision>
  <cp:lastPrinted>2022-05-31T08:22:00Z</cp:lastPrinted>
  <dcterms:created xsi:type="dcterms:W3CDTF">2022-05-27T07:32:00Z</dcterms:created>
  <dcterms:modified xsi:type="dcterms:W3CDTF">2022-05-31T09:06:00Z</dcterms:modified>
</cp:coreProperties>
</file>