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60" w:rsidRDefault="002C5F6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5F60" w:rsidRDefault="002C5F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C5F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5F60" w:rsidRDefault="002C5F60">
            <w:pPr>
              <w:pStyle w:val="ConsPlusNormal"/>
            </w:pPr>
            <w:r>
              <w:t>2 октября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5F60" w:rsidRDefault="002C5F60">
            <w:pPr>
              <w:pStyle w:val="ConsPlusNormal"/>
              <w:jc w:val="right"/>
            </w:pPr>
            <w:r>
              <w:t>N 72</w:t>
            </w:r>
          </w:p>
        </w:tc>
      </w:tr>
    </w:tbl>
    <w:p w:rsidR="002C5F60" w:rsidRDefault="002C5F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Title"/>
        <w:jc w:val="center"/>
      </w:pPr>
      <w:r>
        <w:t>РЕСПУБЛИКА ДАГЕСТАН</w:t>
      </w:r>
    </w:p>
    <w:p w:rsidR="002C5F60" w:rsidRDefault="002C5F60">
      <w:pPr>
        <w:pStyle w:val="ConsPlusTitle"/>
        <w:jc w:val="both"/>
      </w:pPr>
    </w:p>
    <w:p w:rsidR="002C5F60" w:rsidRDefault="002C5F60">
      <w:pPr>
        <w:pStyle w:val="ConsPlusTitle"/>
        <w:jc w:val="center"/>
      </w:pPr>
      <w:r>
        <w:t>ЗАКОН</w:t>
      </w:r>
    </w:p>
    <w:p w:rsidR="002C5F60" w:rsidRDefault="002C5F60">
      <w:pPr>
        <w:pStyle w:val="ConsPlusTitle"/>
        <w:jc w:val="both"/>
      </w:pPr>
    </w:p>
    <w:p w:rsidR="002C5F60" w:rsidRDefault="002C5F60">
      <w:pPr>
        <w:pStyle w:val="ConsPlusTitle"/>
        <w:jc w:val="center"/>
      </w:pPr>
      <w:r>
        <w:t>О ВНЕСЕНИИ ИЗМЕНЕНИЙ В ЗАКОН РЕСПУБЛИКИ ДАГЕСТАН</w:t>
      </w:r>
    </w:p>
    <w:p w:rsidR="002C5F60" w:rsidRDefault="002C5F60">
      <w:pPr>
        <w:pStyle w:val="ConsPlusTitle"/>
        <w:jc w:val="center"/>
      </w:pPr>
      <w:r>
        <w:t>"О БЮДЖЕТНОМ ПРОЦЕССЕ И МЕЖБЮДЖЕТНЫХ ОТНОШЕНИЯХ</w:t>
      </w:r>
    </w:p>
    <w:p w:rsidR="002C5F60" w:rsidRDefault="002C5F60">
      <w:pPr>
        <w:pStyle w:val="ConsPlusTitle"/>
        <w:jc w:val="center"/>
      </w:pPr>
      <w:r>
        <w:t>В РЕСПУБЛИКЕ ДАГЕСТАН"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jc w:val="right"/>
      </w:pPr>
      <w:r>
        <w:t>Принят Народным Собранием</w:t>
      </w:r>
    </w:p>
    <w:p w:rsidR="002C5F60" w:rsidRDefault="002C5F60">
      <w:pPr>
        <w:pStyle w:val="ConsPlusNormal"/>
        <w:jc w:val="right"/>
      </w:pPr>
      <w:r>
        <w:t>Республики Дагестан</w:t>
      </w:r>
    </w:p>
    <w:p w:rsidR="002C5F60" w:rsidRDefault="002C5F60">
      <w:pPr>
        <w:pStyle w:val="ConsPlusNormal"/>
        <w:jc w:val="right"/>
      </w:pPr>
      <w:r>
        <w:t>23 сентября 2025 года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Title"/>
        <w:ind w:firstLine="540"/>
        <w:jc w:val="both"/>
        <w:outlineLvl w:val="0"/>
      </w:pPr>
      <w:r>
        <w:t>Статья 1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Республики Дагестан от 10 июня 2022 года N 39 "О бюджетном процессе и межбюджетных отношениях в Республике Дагестан" (интернет-портал правовой информации Республики Дагестан (</w:t>
      </w:r>
      <w:hyperlink r:id="rId6">
        <w:r>
          <w:rPr>
            <w:color w:val="0000FF"/>
          </w:rPr>
          <w:t>www.pravo.e-dag.ru</w:t>
        </w:r>
      </w:hyperlink>
      <w:r>
        <w:t>), 2022, 11 июня, N 05004009107; 12 октября, N 05004009769; 2023, 13 апреля, N 05004011049; 14 декабря, N 05004012480; 2024, 8 апреля, N 05004013229; 3 мая, N 05004013345; 26 декабря, N 05004015041) следующие изменения: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статье 13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часть 1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часть 2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в) </w:t>
      </w:r>
      <w:hyperlink r:id="rId10">
        <w:r>
          <w:rPr>
            <w:color w:val="0000FF"/>
          </w:rPr>
          <w:t>абзац первый части 3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г) в </w:t>
      </w:r>
      <w:hyperlink r:id="rId11">
        <w:r>
          <w:rPr>
            <w:color w:val="0000FF"/>
          </w:rPr>
          <w:t>части 4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 первый</w:t>
        </w:r>
      </w:hyperlink>
      <w:r>
        <w:t xml:space="preserve"> после слов "доли дотаций"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</w:t>
        </w:r>
      </w:hyperlink>
      <w:r>
        <w:t xml:space="preserve"> после слов "других бюджетов" дополнить словами "(без учета дотаций местным </w:t>
      </w:r>
      <w:r>
        <w:lastRenderedPageBreak/>
        <w:t>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д) </w:t>
      </w:r>
      <w:hyperlink r:id="rId14">
        <w:r>
          <w:rPr>
            <w:color w:val="0000FF"/>
          </w:rPr>
          <w:t>часть 5</w:t>
        </w:r>
      </w:hyperlink>
      <w:r>
        <w:t xml:space="preserve"> после слов "других бюджетов"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е) </w:t>
      </w:r>
      <w:hyperlink r:id="rId15">
        <w:r>
          <w:rPr>
            <w:color w:val="0000FF"/>
          </w:rPr>
          <w:t>часть 6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2) в </w:t>
      </w:r>
      <w:hyperlink r:id="rId16">
        <w:r>
          <w:rPr>
            <w:color w:val="0000FF"/>
          </w:rPr>
          <w:t>статье 14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наименовании</w:t>
        </w:r>
      </w:hyperlink>
      <w:r>
        <w:t xml:space="preserve"> слова "(внутригородских районов)"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в </w:t>
      </w:r>
      <w:hyperlink r:id="rId18">
        <w:r>
          <w:rPr>
            <w:color w:val="0000FF"/>
          </w:rPr>
          <w:t>части 1</w:t>
        </w:r>
      </w:hyperlink>
      <w:r>
        <w:t xml:space="preserve"> слова "(внутригородских районов)", ", внутригородских районов"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в) в </w:t>
      </w:r>
      <w:hyperlink r:id="rId19">
        <w:r>
          <w:rPr>
            <w:color w:val="0000FF"/>
          </w:rPr>
          <w:t>части 2</w:t>
        </w:r>
      </w:hyperlink>
      <w:r>
        <w:t xml:space="preserve"> слова "(внутригородских районов)", ", внутригородских районов"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г) в </w:t>
      </w:r>
      <w:hyperlink r:id="rId20">
        <w:r>
          <w:rPr>
            <w:color w:val="0000FF"/>
          </w:rPr>
          <w:t>части 3</w:t>
        </w:r>
      </w:hyperlink>
      <w:r>
        <w:t xml:space="preserve"> слова "(внутригородских районов)", слова ", внутригородской район" в соответствующих числе и падеже, слова "(городских округов с внутригородским делением)"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д) в </w:t>
      </w:r>
      <w:hyperlink r:id="rId21">
        <w:r>
          <w:rPr>
            <w:color w:val="0000FF"/>
          </w:rPr>
          <w:t>части 4</w:t>
        </w:r>
      </w:hyperlink>
      <w:r>
        <w:t xml:space="preserve"> слова "(внутригородских районов)", слова ", внутригородской район"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е) в </w:t>
      </w:r>
      <w:hyperlink r:id="rId22">
        <w:r>
          <w:rPr>
            <w:color w:val="0000FF"/>
          </w:rPr>
          <w:t>части 5</w:t>
        </w:r>
      </w:hyperlink>
      <w:r>
        <w:t xml:space="preserve"> слова "(городской округ с внутригородским делением)" в соответствующих числе и падеже, слова "(внутригородских районов)", ", внутригородских районов", ", городских округов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ж) в </w:t>
      </w:r>
      <w:hyperlink r:id="rId23">
        <w:r>
          <w:rPr>
            <w:color w:val="0000FF"/>
          </w:rPr>
          <w:t>части 6</w:t>
        </w:r>
      </w:hyperlink>
      <w:r>
        <w:t xml:space="preserve"> слова "(внутригородские районы)" в соответствующем падеже, слова ", внутригородские районы" в соответствующем падеже, слова "(городской округ с внутригородским делением)"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з) в </w:t>
      </w:r>
      <w:hyperlink r:id="rId24">
        <w:r>
          <w:rPr>
            <w:color w:val="0000FF"/>
          </w:rPr>
          <w:t>части 7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абзаце первом</w:t>
        </w:r>
      </w:hyperlink>
      <w:r>
        <w:t xml:space="preserve"> слова "(внутригородских районов)", слова ", внутригородские районы"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пункте 1</w:t>
        </w:r>
      </w:hyperlink>
      <w:r>
        <w:t xml:space="preserve"> слова ", внутригородскими районами"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пункте 2</w:t>
        </w:r>
      </w:hyperlink>
      <w:r>
        <w:t xml:space="preserve"> слова "(городского округа с внутригородским делением)", "(внутригородских районов)", "(городским округом с внутригородским делением и внутригородским районом)"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пункте 3</w:t>
        </w:r>
      </w:hyperlink>
      <w:r>
        <w:t xml:space="preserve"> слова ", внутригородскими районами"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и) в </w:t>
      </w:r>
      <w:hyperlink r:id="rId29">
        <w:r>
          <w:rPr>
            <w:color w:val="0000FF"/>
          </w:rPr>
          <w:t>части 8</w:t>
        </w:r>
      </w:hyperlink>
      <w:r>
        <w:t xml:space="preserve"> слова "(внутригородской район)" в соответствующих числе и падеже, слова "(городской округ с внутригородским делением)"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3) в </w:t>
      </w:r>
      <w:hyperlink r:id="rId30">
        <w:r>
          <w:rPr>
            <w:color w:val="0000FF"/>
          </w:rPr>
          <w:t>статье 15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1">
        <w:r>
          <w:rPr>
            <w:color w:val="0000FF"/>
          </w:rPr>
          <w:t>наименовании</w:t>
        </w:r>
      </w:hyperlink>
      <w:r>
        <w:t xml:space="preserve"> слова ", городских округов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частях 1</w:t>
        </w:r>
      </w:hyperlink>
      <w:r>
        <w:t xml:space="preserve"> и </w:t>
      </w:r>
      <w:hyperlink r:id="rId33">
        <w:r>
          <w:rPr>
            <w:color w:val="0000FF"/>
          </w:rPr>
          <w:t>2</w:t>
        </w:r>
      </w:hyperlink>
      <w:r>
        <w:t xml:space="preserve"> слова ", городских округов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в) в </w:t>
      </w:r>
      <w:hyperlink r:id="rId34">
        <w:r>
          <w:rPr>
            <w:color w:val="0000FF"/>
          </w:rPr>
          <w:t>части 3</w:t>
        </w:r>
      </w:hyperlink>
      <w:r>
        <w:t xml:space="preserve"> слова ", городской округ с внутригородским делением" в соответствующих числе и падеже, слова ", консолидированным бюджетом городского округа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г) в </w:t>
      </w:r>
      <w:hyperlink r:id="rId35">
        <w:r>
          <w:rPr>
            <w:color w:val="0000FF"/>
          </w:rPr>
          <w:t>абзаце первом части 4</w:t>
        </w:r>
      </w:hyperlink>
      <w:r>
        <w:t xml:space="preserve"> слова ", городских округов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д) в </w:t>
      </w:r>
      <w:hyperlink r:id="rId36">
        <w:r>
          <w:rPr>
            <w:color w:val="0000FF"/>
          </w:rPr>
          <w:t>части 5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е) в </w:t>
      </w:r>
      <w:hyperlink r:id="rId37">
        <w:r>
          <w:rPr>
            <w:color w:val="0000FF"/>
          </w:rPr>
          <w:t>части 6</w:t>
        </w:r>
      </w:hyperlink>
      <w:r>
        <w:t xml:space="preserve"> слова ", городских округов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ж) в </w:t>
      </w:r>
      <w:hyperlink r:id="rId38">
        <w:r>
          <w:rPr>
            <w:color w:val="0000FF"/>
          </w:rPr>
          <w:t>части 7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з) в </w:t>
      </w:r>
      <w:hyperlink r:id="rId39">
        <w:r>
          <w:rPr>
            <w:color w:val="0000FF"/>
          </w:rPr>
          <w:t>части 8</w:t>
        </w:r>
      </w:hyperlink>
      <w:r>
        <w:t xml:space="preserve"> слова ", городские округа с внутригородским делением" в соответствующем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и) в </w:t>
      </w:r>
      <w:hyperlink r:id="rId40">
        <w:r>
          <w:rPr>
            <w:color w:val="0000FF"/>
          </w:rPr>
          <w:t>части 9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абзаце первом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пункте 1</w:t>
        </w:r>
      </w:hyperlink>
      <w:r>
        <w:t xml:space="preserve"> слова "и городскими округами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пункте 2</w:t>
        </w:r>
      </w:hyperlink>
      <w:r>
        <w:t xml:space="preserve"> слова "(городского округа с внутригородским делением)", "(внутригородских районов)", "(городским округом с внутригородским делением и внутригородским районом)"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 </w:t>
      </w:r>
      <w:hyperlink r:id="rId44">
        <w:r>
          <w:rPr>
            <w:color w:val="0000FF"/>
          </w:rPr>
          <w:t>пункте 3</w:t>
        </w:r>
      </w:hyperlink>
      <w:r>
        <w:t xml:space="preserve"> слова ", городскими округами с внутригородским делением"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к) в </w:t>
      </w:r>
      <w:hyperlink r:id="rId45">
        <w:r>
          <w:rPr>
            <w:color w:val="0000FF"/>
          </w:rPr>
          <w:t>части 10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4) в </w:t>
      </w:r>
      <w:hyperlink r:id="rId46">
        <w:r>
          <w:rPr>
            <w:color w:val="0000FF"/>
          </w:rPr>
          <w:t>статье 19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а) </w:t>
      </w:r>
      <w:hyperlink r:id="rId47">
        <w:r>
          <w:rPr>
            <w:color w:val="0000FF"/>
          </w:rPr>
          <w:t>абзац второй части 1</w:t>
        </w:r>
      </w:hyperlink>
      <w:r>
        <w:t xml:space="preserve"> признать утратившим силу;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</w:t>
      </w:r>
      <w:hyperlink r:id="rId48">
        <w:r>
          <w:rPr>
            <w:color w:val="0000FF"/>
          </w:rPr>
          <w:t>абзац четвертый части 2</w:t>
        </w:r>
      </w:hyperlink>
      <w:r>
        <w:t xml:space="preserve"> признать утратившим силу;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в) в </w:t>
      </w:r>
      <w:hyperlink r:id="rId49">
        <w:r>
          <w:rPr>
            <w:color w:val="0000FF"/>
          </w:rPr>
          <w:t>части 4</w:t>
        </w:r>
      </w:hyperlink>
      <w:r>
        <w:t xml:space="preserve"> слова "на текущий финансовый год и плановый период"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5) в </w:t>
      </w:r>
      <w:hyperlink r:id="rId50">
        <w:r>
          <w:rPr>
            <w:color w:val="0000FF"/>
          </w:rPr>
          <w:t>статье 23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а) в </w:t>
      </w:r>
      <w:hyperlink r:id="rId51">
        <w:r>
          <w:rPr>
            <w:color w:val="0000FF"/>
          </w:rPr>
          <w:t>части 5</w:t>
        </w:r>
      </w:hyperlink>
      <w:r>
        <w:t xml:space="preserve"> слова "(внутригородских районов)", "(городских округов с внутригородским делением)"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в </w:t>
      </w:r>
      <w:hyperlink r:id="rId52">
        <w:r>
          <w:rPr>
            <w:color w:val="0000FF"/>
          </w:rPr>
          <w:t>части 6</w:t>
        </w:r>
      </w:hyperlink>
      <w:r>
        <w:t xml:space="preserve"> слова "(городской округ с внутригородским делением)" в соответствующих числе и падеже, слова "(внутригородских районов)"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6) </w:t>
      </w:r>
      <w:hyperlink r:id="rId53">
        <w:r>
          <w:rPr>
            <w:color w:val="0000FF"/>
          </w:rPr>
          <w:t>пункты 2</w:t>
        </w:r>
      </w:hyperlink>
      <w:r>
        <w:t xml:space="preserve"> и </w:t>
      </w:r>
      <w:hyperlink r:id="rId54">
        <w:r>
          <w:rPr>
            <w:color w:val="0000FF"/>
          </w:rPr>
          <w:t>4 статьи 24</w:t>
        </w:r>
      </w:hyperlink>
      <w:r>
        <w:t xml:space="preserve"> признать утратившими силу;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7) </w:t>
      </w:r>
      <w:hyperlink r:id="rId55">
        <w:r>
          <w:rPr>
            <w:color w:val="0000FF"/>
          </w:rPr>
          <w:t>пункт 10 части 1 статьи 30</w:t>
        </w:r>
      </w:hyperlink>
      <w:r>
        <w:t xml:space="preserve"> признать утратившим силу;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lastRenderedPageBreak/>
        <w:t xml:space="preserve">8) </w:t>
      </w:r>
      <w:hyperlink r:id="rId56">
        <w:r>
          <w:rPr>
            <w:color w:val="0000FF"/>
          </w:rPr>
          <w:t>часть 2 статьи 38</w:t>
        </w:r>
      </w:hyperlink>
      <w:r>
        <w:t xml:space="preserve"> после слов "финансового обеспечения" дополнить словами "региональных проектов и";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9) в </w:t>
      </w:r>
      <w:hyperlink r:id="rId57">
        <w:r>
          <w:rPr>
            <w:color w:val="0000FF"/>
          </w:rPr>
          <w:t>абзаце третьем части 2 статьи 42</w:t>
        </w:r>
      </w:hyperlink>
      <w:r>
        <w:t xml:space="preserve"> слова "1 апреля" заменить словами "1 февраля";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10) в </w:t>
      </w:r>
      <w:hyperlink r:id="rId58">
        <w:r>
          <w:rPr>
            <w:color w:val="0000FF"/>
          </w:rPr>
          <w:t>статье 47</w:t>
        </w:r>
      </w:hyperlink>
      <w:r>
        <w:t>: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а) </w:t>
      </w:r>
      <w:hyperlink r:id="rId59">
        <w:r>
          <w:rPr>
            <w:color w:val="0000FF"/>
          </w:rPr>
          <w:t>часть 4</w:t>
        </w:r>
      </w:hyperlink>
      <w:r>
        <w:t xml:space="preserve"> дополнить предложением следующего содержания: "Указанное заключение должно быть представлено на рассмотрение Президиума Народного Собрания Республики Дагестан в течение суток со дня получения профильным комитетом Народного Собрания Республики Дагестана в сфере бюджета, финансов и налогов проекта закона Республики Дагестан о республиканском бюджете.";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б) в </w:t>
      </w:r>
      <w:hyperlink r:id="rId60">
        <w:r>
          <w:rPr>
            <w:color w:val="0000FF"/>
          </w:rPr>
          <w:t>части 6</w:t>
        </w:r>
      </w:hyperlink>
      <w:r>
        <w:t xml:space="preserve"> слово "определяет" заменить словами "может определить";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в) в </w:t>
      </w:r>
      <w:hyperlink r:id="rId61">
        <w:r>
          <w:rPr>
            <w:color w:val="0000FF"/>
          </w:rPr>
          <w:t>части 7</w:t>
        </w:r>
      </w:hyperlink>
      <w:r>
        <w:t xml:space="preserve"> слово "другим" исключить;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11) </w:t>
      </w:r>
      <w:hyperlink r:id="rId62">
        <w:r>
          <w:rPr>
            <w:color w:val="0000FF"/>
          </w:rPr>
          <w:t>пункт 1 части 2 статьи 51</w:t>
        </w:r>
      </w:hyperlink>
      <w:r>
        <w:t xml:space="preserve"> признать утратившим силу;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12) в </w:t>
      </w:r>
      <w:hyperlink r:id="rId63">
        <w:r>
          <w:rPr>
            <w:color w:val="0000FF"/>
          </w:rPr>
          <w:t>части 1 статьи 68</w:t>
        </w:r>
      </w:hyperlink>
      <w:r>
        <w:t xml:space="preserve"> слово "другим" исключить.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Title"/>
        <w:ind w:firstLine="540"/>
        <w:jc w:val="both"/>
        <w:outlineLvl w:val="0"/>
      </w:pPr>
      <w:r>
        <w:t>Статья 2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2C5F60" w:rsidRDefault="002C5F60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r:id="rId64">
        <w:r>
          <w:rPr>
            <w:color w:val="0000FF"/>
          </w:rPr>
          <w:t>абзаца третьего части 2 статьи 42</w:t>
        </w:r>
      </w:hyperlink>
      <w:r>
        <w:t xml:space="preserve"> Закона Республики Дагестан от 10 июня 2022 года N 39 "О бюджетном процессе и межбюджетных отношениях в Республике Дагестан" (в редакции настоящего Закона) применяются с 1 января 2026 года.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jc w:val="right"/>
      </w:pPr>
      <w:r>
        <w:t>Глава</w:t>
      </w:r>
    </w:p>
    <w:p w:rsidR="002C5F60" w:rsidRDefault="002C5F60">
      <w:pPr>
        <w:pStyle w:val="ConsPlusNormal"/>
        <w:jc w:val="right"/>
      </w:pPr>
      <w:r>
        <w:t>Республики Дагестан</w:t>
      </w:r>
    </w:p>
    <w:p w:rsidR="002C5F60" w:rsidRDefault="002C5F60">
      <w:pPr>
        <w:pStyle w:val="ConsPlusNormal"/>
        <w:jc w:val="right"/>
      </w:pPr>
      <w:r>
        <w:t>С.МЕЛИКОВ</w:t>
      </w:r>
    </w:p>
    <w:p w:rsidR="002C5F60" w:rsidRDefault="002C5F60">
      <w:pPr>
        <w:pStyle w:val="ConsPlusNormal"/>
      </w:pPr>
      <w:r>
        <w:t>Махачкала</w:t>
      </w:r>
    </w:p>
    <w:p w:rsidR="002C5F60" w:rsidRDefault="002C5F60">
      <w:pPr>
        <w:pStyle w:val="ConsPlusNormal"/>
        <w:spacing w:before="220"/>
      </w:pPr>
      <w:r>
        <w:t>2 октября 2025 года</w:t>
      </w:r>
    </w:p>
    <w:p w:rsidR="002C5F60" w:rsidRDefault="002C5F60">
      <w:pPr>
        <w:pStyle w:val="ConsPlusNormal"/>
        <w:spacing w:before="220"/>
      </w:pPr>
      <w:r>
        <w:t>N 72</w:t>
      </w: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jc w:val="both"/>
      </w:pPr>
    </w:p>
    <w:p w:rsidR="002C5F60" w:rsidRDefault="002C5F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0" w:name="_GoBack"/>
      <w:bookmarkEnd w:id="0"/>
    </w:p>
    <w:sectPr w:rsidR="00727F86" w:rsidSect="0010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0"/>
    <w:rsid w:val="002C5F60"/>
    <w:rsid w:val="00302182"/>
    <w:rsid w:val="00727F86"/>
    <w:rsid w:val="00791411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CB246-80B4-4371-85F2-9BDD03A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5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51091&amp;dst=100769" TargetMode="External"/><Relationship Id="rId18" Type="http://schemas.openxmlformats.org/officeDocument/2006/relationships/hyperlink" Target="https://login.consultant.ru/link/?req=doc&amp;base=RLAW346&amp;n=51091&amp;dst=100132" TargetMode="External"/><Relationship Id="rId26" Type="http://schemas.openxmlformats.org/officeDocument/2006/relationships/hyperlink" Target="https://login.consultant.ru/link/?req=doc&amp;base=RLAW346&amp;n=51091&amp;dst=100159" TargetMode="External"/><Relationship Id="rId39" Type="http://schemas.openxmlformats.org/officeDocument/2006/relationships/hyperlink" Target="https://login.consultant.ru/link/?req=doc&amp;base=RLAW346&amp;n=51091&amp;dst=100185" TargetMode="External"/><Relationship Id="rId21" Type="http://schemas.openxmlformats.org/officeDocument/2006/relationships/hyperlink" Target="https://login.consultant.ru/link/?req=doc&amp;base=RLAW346&amp;n=51091&amp;dst=100146" TargetMode="External"/><Relationship Id="rId34" Type="http://schemas.openxmlformats.org/officeDocument/2006/relationships/hyperlink" Target="https://login.consultant.ru/link/?req=doc&amp;base=RLAW346&amp;n=51091&amp;dst=100169" TargetMode="External"/><Relationship Id="rId42" Type="http://schemas.openxmlformats.org/officeDocument/2006/relationships/hyperlink" Target="https://login.consultant.ru/link/?req=doc&amp;base=RLAW346&amp;n=51091&amp;dst=100188" TargetMode="External"/><Relationship Id="rId47" Type="http://schemas.openxmlformats.org/officeDocument/2006/relationships/hyperlink" Target="https://login.consultant.ru/link/?req=doc&amp;base=RLAW346&amp;n=51091&amp;dst=100816" TargetMode="External"/><Relationship Id="rId50" Type="http://schemas.openxmlformats.org/officeDocument/2006/relationships/hyperlink" Target="https://login.consultant.ru/link/?req=doc&amp;base=RLAW346&amp;n=51091&amp;dst=100250" TargetMode="External"/><Relationship Id="rId55" Type="http://schemas.openxmlformats.org/officeDocument/2006/relationships/hyperlink" Target="https://login.consultant.ru/link/?req=doc&amp;base=RLAW346&amp;n=51091&amp;dst=100336" TargetMode="External"/><Relationship Id="rId63" Type="http://schemas.openxmlformats.org/officeDocument/2006/relationships/hyperlink" Target="https://login.consultant.ru/link/?req=doc&amp;base=RLAW346&amp;n=51091&amp;dst=100712" TargetMode="External"/><Relationship Id="rId7" Type="http://schemas.openxmlformats.org/officeDocument/2006/relationships/hyperlink" Target="https://login.consultant.ru/link/?req=doc&amp;base=RLAW346&amp;n=51091&amp;dst=1001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1091&amp;dst=100131" TargetMode="External"/><Relationship Id="rId20" Type="http://schemas.openxmlformats.org/officeDocument/2006/relationships/hyperlink" Target="https://login.consultant.ru/link/?req=doc&amp;base=RLAW346&amp;n=51091&amp;dst=100135" TargetMode="External"/><Relationship Id="rId29" Type="http://schemas.openxmlformats.org/officeDocument/2006/relationships/hyperlink" Target="https://login.consultant.ru/link/?req=doc&amp;base=RLAW346&amp;n=51091&amp;dst=100162" TargetMode="External"/><Relationship Id="rId41" Type="http://schemas.openxmlformats.org/officeDocument/2006/relationships/hyperlink" Target="https://login.consultant.ru/link/?req=doc&amp;base=RLAW346&amp;n=51091&amp;dst=100187" TargetMode="External"/><Relationship Id="rId54" Type="http://schemas.openxmlformats.org/officeDocument/2006/relationships/hyperlink" Target="https://login.consultant.ru/link/?req=doc&amp;base=RLAW346&amp;n=51091&amp;dst=100275" TargetMode="External"/><Relationship Id="rId62" Type="http://schemas.openxmlformats.org/officeDocument/2006/relationships/hyperlink" Target="https://login.consultant.ru/link/?req=doc&amp;base=RLAW346&amp;n=51091&amp;dst=100583" TargetMode="Externa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RLAW346&amp;n=51091&amp;dst=100124" TargetMode="External"/><Relationship Id="rId24" Type="http://schemas.openxmlformats.org/officeDocument/2006/relationships/hyperlink" Target="https://login.consultant.ru/link/?req=doc&amp;base=RLAW346&amp;n=51091&amp;dst=100158" TargetMode="External"/><Relationship Id="rId32" Type="http://schemas.openxmlformats.org/officeDocument/2006/relationships/hyperlink" Target="https://login.consultant.ru/link/?req=doc&amp;base=RLAW346&amp;n=51091&amp;dst=100166" TargetMode="External"/><Relationship Id="rId37" Type="http://schemas.openxmlformats.org/officeDocument/2006/relationships/hyperlink" Target="https://login.consultant.ru/link/?req=doc&amp;base=RLAW346&amp;n=51091&amp;dst=100179" TargetMode="External"/><Relationship Id="rId40" Type="http://schemas.openxmlformats.org/officeDocument/2006/relationships/hyperlink" Target="https://login.consultant.ru/link/?req=doc&amp;base=RLAW346&amp;n=51091&amp;dst=100187" TargetMode="External"/><Relationship Id="rId45" Type="http://schemas.openxmlformats.org/officeDocument/2006/relationships/hyperlink" Target="https://login.consultant.ru/link/?req=doc&amp;base=RLAW346&amp;n=51091&amp;dst=100191" TargetMode="External"/><Relationship Id="rId53" Type="http://schemas.openxmlformats.org/officeDocument/2006/relationships/hyperlink" Target="https://login.consultant.ru/link/?req=doc&amp;base=RLAW346&amp;n=51091&amp;dst=100273" TargetMode="External"/><Relationship Id="rId58" Type="http://schemas.openxmlformats.org/officeDocument/2006/relationships/hyperlink" Target="https://login.consultant.ru/link/?req=doc&amp;base=RLAW346&amp;n=51091&amp;dst=10050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51091" TargetMode="External"/><Relationship Id="rId15" Type="http://schemas.openxmlformats.org/officeDocument/2006/relationships/hyperlink" Target="https://login.consultant.ru/link/?req=doc&amp;base=RLAW346&amp;n=51091&amp;dst=100128" TargetMode="External"/><Relationship Id="rId23" Type="http://schemas.openxmlformats.org/officeDocument/2006/relationships/hyperlink" Target="https://login.consultant.ru/link/?req=doc&amp;base=RLAW346&amp;n=51091&amp;dst=100155" TargetMode="External"/><Relationship Id="rId28" Type="http://schemas.openxmlformats.org/officeDocument/2006/relationships/hyperlink" Target="https://login.consultant.ru/link/?req=doc&amp;base=RLAW346&amp;n=51091&amp;dst=100161" TargetMode="External"/><Relationship Id="rId36" Type="http://schemas.openxmlformats.org/officeDocument/2006/relationships/hyperlink" Target="https://login.consultant.ru/link/?req=doc&amp;base=RLAW346&amp;n=51091&amp;dst=100178" TargetMode="External"/><Relationship Id="rId49" Type="http://schemas.openxmlformats.org/officeDocument/2006/relationships/hyperlink" Target="https://login.consultant.ru/link/?req=doc&amp;base=RLAW346&amp;n=51091&amp;dst=100822" TargetMode="External"/><Relationship Id="rId57" Type="http://schemas.openxmlformats.org/officeDocument/2006/relationships/hyperlink" Target="https://login.consultant.ru/link/?req=doc&amp;base=RLAW346&amp;n=51091&amp;dst=100807" TargetMode="External"/><Relationship Id="rId61" Type="http://schemas.openxmlformats.org/officeDocument/2006/relationships/hyperlink" Target="https://login.consultant.ru/link/?req=doc&amp;base=RLAW346&amp;n=51091&amp;dst=100534" TargetMode="External"/><Relationship Id="rId10" Type="http://schemas.openxmlformats.org/officeDocument/2006/relationships/hyperlink" Target="https://login.consultant.ru/link/?req=doc&amp;base=RLAW346&amp;n=51091&amp;dst=100121" TargetMode="External"/><Relationship Id="rId19" Type="http://schemas.openxmlformats.org/officeDocument/2006/relationships/hyperlink" Target="https://login.consultant.ru/link/?req=doc&amp;base=RLAW346&amp;n=51091&amp;dst=100134" TargetMode="External"/><Relationship Id="rId31" Type="http://schemas.openxmlformats.org/officeDocument/2006/relationships/hyperlink" Target="https://login.consultant.ru/link/?req=doc&amp;base=RLAW346&amp;n=51091&amp;dst=100165" TargetMode="External"/><Relationship Id="rId44" Type="http://schemas.openxmlformats.org/officeDocument/2006/relationships/hyperlink" Target="https://login.consultant.ru/link/?req=doc&amp;base=RLAW346&amp;n=51091&amp;dst=100190" TargetMode="External"/><Relationship Id="rId52" Type="http://schemas.openxmlformats.org/officeDocument/2006/relationships/hyperlink" Target="https://login.consultant.ru/link/?req=doc&amp;base=RLAW346&amp;n=51091&amp;dst=100262" TargetMode="External"/><Relationship Id="rId60" Type="http://schemas.openxmlformats.org/officeDocument/2006/relationships/hyperlink" Target="https://login.consultant.ru/link/?req=doc&amp;base=RLAW346&amp;n=51091&amp;dst=100786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1091&amp;dst=100120" TargetMode="External"/><Relationship Id="rId14" Type="http://schemas.openxmlformats.org/officeDocument/2006/relationships/hyperlink" Target="https://login.consultant.ru/link/?req=doc&amp;base=RLAW346&amp;n=51091&amp;dst=100127" TargetMode="External"/><Relationship Id="rId22" Type="http://schemas.openxmlformats.org/officeDocument/2006/relationships/hyperlink" Target="https://login.consultant.ru/link/?req=doc&amp;base=RLAW346&amp;n=51091&amp;dst=100151" TargetMode="External"/><Relationship Id="rId27" Type="http://schemas.openxmlformats.org/officeDocument/2006/relationships/hyperlink" Target="https://login.consultant.ru/link/?req=doc&amp;base=RLAW346&amp;n=51091&amp;dst=100160" TargetMode="External"/><Relationship Id="rId30" Type="http://schemas.openxmlformats.org/officeDocument/2006/relationships/hyperlink" Target="https://login.consultant.ru/link/?req=doc&amp;base=RLAW346&amp;n=51091&amp;dst=100165" TargetMode="External"/><Relationship Id="rId35" Type="http://schemas.openxmlformats.org/officeDocument/2006/relationships/hyperlink" Target="https://login.consultant.ru/link/?req=doc&amp;base=RLAW346&amp;n=51091&amp;dst=100174" TargetMode="External"/><Relationship Id="rId43" Type="http://schemas.openxmlformats.org/officeDocument/2006/relationships/hyperlink" Target="https://login.consultant.ru/link/?req=doc&amp;base=RLAW346&amp;n=51091&amp;dst=100189" TargetMode="External"/><Relationship Id="rId48" Type="http://schemas.openxmlformats.org/officeDocument/2006/relationships/hyperlink" Target="https://login.consultant.ru/link/?req=doc&amp;base=RLAW346&amp;n=51091&amp;dst=100820" TargetMode="External"/><Relationship Id="rId56" Type="http://schemas.openxmlformats.org/officeDocument/2006/relationships/hyperlink" Target="https://login.consultant.ru/link/?req=doc&amp;base=RLAW346&amp;n=51091&amp;dst=100439" TargetMode="External"/><Relationship Id="rId64" Type="http://schemas.openxmlformats.org/officeDocument/2006/relationships/hyperlink" Target="https://login.consultant.ru/link/?req=doc&amp;base=RLAW346&amp;n=54579&amp;dst=100896" TargetMode="External"/><Relationship Id="rId8" Type="http://schemas.openxmlformats.org/officeDocument/2006/relationships/hyperlink" Target="https://login.consultant.ru/link/?req=doc&amp;base=RLAW346&amp;n=51091&amp;dst=100119" TargetMode="External"/><Relationship Id="rId51" Type="http://schemas.openxmlformats.org/officeDocument/2006/relationships/hyperlink" Target="https://login.consultant.ru/link/?req=doc&amp;base=RLAW346&amp;n=51091&amp;dst=1002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51091&amp;dst=100124" TargetMode="External"/><Relationship Id="rId17" Type="http://schemas.openxmlformats.org/officeDocument/2006/relationships/hyperlink" Target="https://login.consultant.ru/link/?req=doc&amp;base=RLAW346&amp;n=51091&amp;dst=100131" TargetMode="External"/><Relationship Id="rId25" Type="http://schemas.openxmlformats.org/officeDocument/2006/relationships/hyperlink" Target="https://login.consultant.ru/link/?req=doc&amp;base=RLAW346&amp;n=51091&amp;dst=100158" TargetMode="External"/><Relationship Id="rId33" Type="http://schemas.openxmlformats.org/officeDocument/2006/relationships/hyperlink" Target="https://login.consultant.ru/link/?req=doc&amp;base=RLAW346&amp;n=51091&amp;dst=100168" TargetMode="External"/><Relationship Id="rId38" Type="http://schemas.openxmlformats.org/officeDocument/2006/relationships/hyperlink" Target="https://login.consultant.ru/link/?req=doc&amp;base=RLAW346&amp;n=51091&amp;dst=100180" TargetMode="External"/><Relationship Id="rId46" Type="http://schemas.openxmlformats.org/officeDocument/2006/relationships/hyperlink" Target="https://login.consultant.ru/link/?req=doc&amp;base=RLAW346&amp;n=51091&amp;dst=100814" TargetMode="External"/><Relationship Id="rId59" Type="http://schemas.openxmlformats.org/officeDocument/2006/relationships/hyperlink" Target="https://login.consultant.ru/link/?req=doc&amp;base=RLAW346&amp;n=51091&amp;dst=100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2026-01-14T13:36:00Z</dcterms:created>
  <dcterms:modified xsi:type="dcterms:W3CDTF">2026-01-14T13:37:00Z</dcterms:modified>
</cp:coreProperties>
</file>