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89" w:rsidRDefault="00260C89">
      <w:pPr>
        <w:pStyle w:val="ConsPlusTitlePage"/>
      </w:pPr>
      <w:r>
        <w:t xml:space="preserve">Документ предоставлен </w:t>
      </w:r>
      <w:hyperlink r:id="rId4">
        <w:r>
          <w:rPr>
            <w:color w:val="0000FF"/>
          </w:rPr>
          <w:t>КонсультантПлюс</w:t>
        </w:r>
      </w:hyperlink>
      <w:r>
        <w:br/>
      </w:r>
    </w:p>
    <w:p w:rsidR="00260C89" w:rsidRDefault="00260C89">
      <w:pPr>
        <w:pStyle w:val="ConsPlusNormal"/>
        <w:jc w:val="both"/>
        <w:outlineLvl w:val="0"/>
      </w:pPr>
    </w:p>
    <w:p w:rsidR="00260C89" w:rsidRDefault="00260C89">
      <w:pPr>
        <w:pStyle w:val="ConsPlusTitle"/>
        <w:jc w:val="center"/>
        <w:outlineLvl w:val="0"/>
      </w:pPr>
      <w:r>
        <w:t>ПРАВИТЕЛЬСТВО РЕСПУБЛИКИ ДАГЕСТАН</w:t>
      </w:r>
    </w:p>
    <w:p w:rsidR="00260C89" w:rsidRDefault="00260C89">
      <w:pPr>
        <w:pStyle w:val="ConsPlusTitle"/>
        <w:jc w:val="both"/>
      </w:pPr>
    </w:p>
    <w:p w:rsidR="00260C89" w:rsidRDefault="00260C89">
      <w:pPr>
        <w:pStyle w:val="ConsPlusTitle"/>
        <w:jc w:val="center"/>
      </w:pPr>
      <w:r>
        <w:t>ПОСТАНОВЛЕНИЕ</w:t>
      </w:r>
    </w:p>
    <w:p w:rsidR="00260C89" w:rsidRDefault="00260C89">
      <w:pPr>
        <w:pStyle w:val="ConsPlusTitle"/>
        <w:jc w:val="center"/>
      </w:pPr>
      <w:r>
        <w:t>от 20 ноября 2025 г. N 365</w:t>
      </w:r>
    </w:p>
    <w:p w:rsidR="00260C89" w:rsidRDefault="00260C89">
      <w:pPr>
        <w:pStyle w:val="ConsPlusTitle"/>
        <w:jc w:val="both"/>
      </w:pPr>
    </w:p>
    <w:p w:rsidR="00260C89" w:rsidRDefault="00260C89">
      <w:pPr>
        <w:pStyle w:val="ConsPlusTitle"/>
        <w:jc w:val="center"/>
      </w:pPr>
      <w:r>
        <w:t>О ВНЕСЕНИИ ИЗМЕНЕНИЙ В ПРИЛОЖЕНИЕ N 2 К ПОСТАНОВЛЕНИЮ</w:t>
      </w:r>
    </w:p>
    <w:p w:rsidR="00260C89" w:rsidRDefault="00260C89">
      <w:pPr>
        <w:pStyle w:val="ConsPlusTitle"/>
        <w:jc w:val="center"/>
      </w:pPr>
      <w:r>
        <w:t>ПРАВИТЕЛЬСТВА РЕСПУБЛИКИ ДАГЕСТАН ОТ 27 ИЮНЯ 2014 Г. N 295</w:t>
      </w:r>
    </w:p>
    <w:p w:rsidR="00260C89" w:rsidRDefault="00260C89">
      <w:pPr>
        <w:pStyle w:val="ConsPlusNormal"/>
        <w:jc w:val="both"/>
      </w:pPr>
    </w:p>
    <w:p w:rsidR="00260C89" w:rsidRDefault="00260C89">
      <w:pPr>
        <w:pStyle w:val="ConsPlusNormal"/>
        <w:ind w:firstLine="540"/>
        <w:jc w:val="both"/>
      </w:pPr>
      <w:r>
        <w:t>Правительство Республики Дагестан постановляет:</w:t>
      </w:r>
    </w:p>
    <w:p w:rsidR="00260C89" w:rsidRDefault="00260C89">
      <w:pPr>
        <w:pStyle w:val="ConsPlusNormal"/>
        <w:spacing w:before="200"/>
        <w:ind w:firstLine="540"/>
        <w:jc w:val="both"/>
      </w:pPr>
      <w:r>
        <w:t xml:space="preserve">1. Утвердить прилагаемые </w:t>
      </w:r>
      <w:hyperlink w:anchor="P27">
        <w:r>
          <w:rPr>
            <w:color w:val="0000FF"/>
          </w:rPr>
          <w:t>изменения</w:t>
        </w:r>
      </w:hyperlink>
      <w:r>
        <w:t xml:space="preserve">, которые вносятся в </w:t>
      </w:r>
      <w:hyperlink r:id="rId5">
        <w:r>
          <w:rPr>
            <w:color w:val="0000FF"/>
          </w:rPr>
          <w:t>приложение N 2</w:t>
        </w:r>
      </w:hyperlink>
      <w:r>
        <w:t xml:space="preserve"> к постановлению Правительства Республики Дагестан от 27 июня 2014 г. N 295 "Об утверждении Нормативных требований по формированию структуры и определению численности аппаратов органов местного самоуправления муниципальных образований Республики Дагестан и Методики расчета нормативов формирования расходов на содержание органов местного самоуправления муниципальных образований Республики Дагестан" (Собрание законодательства Республики Дагестан, 2014, N 12, ст. 710; N 20, ст. 1198; N 21, ст. 1270; официальный интернет-портал правовой информации (</w:t>
      </w:r>
      <w:hyperlink r:id="rId6">
        <w:r>
          <w:rPr>
            <w:color w:val="0000FF"/>
          </w:rPr>
          <w:t>www.pravo.gov.ru</w:t>
        </w:r>
      </w:hyperlink>
      <w:r>
        <w:t>), 2016, 25 октября, N 0500201610250002; 2017, 5 апреля, N 0500201704050005; интернет-портал правовой информации Республики Дагестан (</w:t>
      </w:r>
      <w:hyperlink r:id="rId7">
        <w:r>
          <w:rPr>
            <w:color w:val="0000FF"/>
          </w:rPr>
          <w:t>www.pravo.e-dag.ru</w:t>
        </w:r>
      </w:hyperlink>
      <w:r>
        <w:t>), 2019, 17 апреля, N 05002004091; 2023, 14 ноября, N 05002012336).</w:t>
      </w:r>
    </w:p>
    <w:p w:rsidR="00260C89" w:rsidRDefault="00260C89">
      <w:pPr>
        <w:pStyle w:val="ConsPlusNormal"/>
        <w:spacing w:before="200"/>
        <w:ind w:firstLine="540"/>
        <w:jc w:val="both"/>
      </w:pPr>
      <w:r>
        <w:t>2. Настоящее постановление вступает в силу со дня его официального опубликования.</w:t>
      </w:r>
    </w:p>
    <w:p w:rsidR="00260C89" w:rsidRDefault="00260C89">
      <w:pPr>
        <w:pStyle w:val="ConsPlusNormal"/>
        <w:jc w:val="both"/>
      </w:pPr>
    </w:p>
    <w:p w:rsidR="00260C89" w:rsidRDefault="00260C89">
      <w:pPr>
        <w:pStyle w:val="ConsPlusNormal"/>
        <w:jc w:val="right"/>
      </w:pPr>
      <w:r>
        <w:t>Временно исполняющий обязанности</w:t>
      </w:r>
    </w:p>
    <w:p w:rsidR="00260C89" w:rsidRDefault="00260C89">
      <w:pPr>
        <w:pStyle w:val="ConsPlusNormal"/>
        <w:jc w:val="right"/>
      </w:pPr>
      <w:r>
        <w:t>Председателя Правительства</w:t>
      </w:r>
    </w:p>
    <w:p w:rsidR="00260C89" w:rsidRDefault="00260C89">
      <w:pPr>
        <w:pStyle w:val="ConsPlusNormal"/>
        <w:jc w:val="right"/>
      </w:pPr>
      <w:r>
        <w:t>Республики Дагестан</w:t>
      </w:r>
    </w:p>
    <w:p w:rsidR="00260C89" w:rsidRDefault="00260C89">
      <w:pPr>
        <w:pStyle w:val="ConsPlusNormal"/>
        <w:jc w:val="right"/>
      </w:pPr>
      <w:r>
        <w:t>Р.АЛИЕВ</w:t>
      </w:r>
    </w:p>
    <w:p w:rsidR="00260C89" w:rsidRDefault="00260C89">
      <w:pPr>
        <w:pStyle w:val="ConsPlusNormal"/>
        <w:jc w:val="both"/>
      </w:pPr>
    </w:p>
    <w:p w:rsidR="00260C89" w:rsidRDefault="00260C89">
      <w:pPr>
        <w:pStyle w:val="ConsPlusNormal"/>
        <w:jc w:val="both"/>
      </w:pPr>
    </w:p>
    <w:p w:rsidR="00260C89" w:rsidRDefault="00260C89">
      <w:pPr>
        <w:pStyle w:val="ConsPlusNormal"/>
        <w:jc w:val="both"/>
      </w:pPr>
    </w:p>
    <w:p w:rsidR="00260C89" w:rsidRDefault="00260C89">
      <w:pPr>
        <w:pStyle w:val="ConsPlusNormal"/>
        <w:jc w:val="both"/>
      </w:pPr>
    </w:p>
    <w:p w:rsidR="00260C89" w:rsidRDefault="00260C89">
      <w:pPr>
        <w:pStyle w:val="ConsPlusNormal"/>
        <w:jc w:val="both"/>
      </w:pPr>
    </w:p>
    <w:p w:rsidR="00260C89" w:rsidRDefault="00260C89">
      <w:pPr>
        <w:pStyle w:val="ConsPlusNormal"/>
        <w:jc w:val="right"/>
        <w:outlineLvl w:val="0"/>
      </w:pPr>
      <w:r>
        <w:t>Утверждены</w:t>
      </w:r>
    </w:p>
    <w:p w:rsidR="00260C89" w:rsidRDefault="00260C89">
      <w:pPr>
        <w:pStyle w:val="ConsPlusNormal"/>
        <w:jc w:val="right"/>
      </w:pPr>
      <w:r>
        <w:t>постановлением Правительства</w:t>
      </w:r>
    </w:p>
    <w:p w:rsidR="00260C89" w:rsidRDefault="00260C89">
      <w:pPr>
        <w:pStyle w:val="ConsPlusNormal"/>
        <w:jc w:val="right"/>
      </w:pPr>
      <w:r>
        <w:t>Республики Дагестан</w:t>
      </w:r>
    </w:p>
    <w:p w:rsidR="00260C89" w:rsidRDefault="00260C89">
      <w:pPr>
        <w:pStyle w:val="ConsPlusNormal"/>
        <w:jc w:val="right"/>
      </w:pPr>
      <w:r>
        <w:t>от 20 ноября 2025 г. N 365</w:t>
      </w:r>
    </w:p>
    <w:p w:rsidR="00260C89" w:rsidRDefault="00260C89">
      <w:pPr>
        <w:pStyle w:val="ConsPlusNormal"/>
        <w:jc w:val="both"/>
      </w:pPr>
    </w:p>
    <w:p w:rsidR="00260C89" w:rsidRDefault="00260C89">
      <w:pPr>
        <w:pStyle w:val="ConsPlusTitle"/>
        <w:jc w:val="center"/>
      </w:pPr>
      <w:bookmarkStart w:id="0" w:name="P27"/>
      <w:bookmarkEnd w:id="0"/>
      <w:r>
        <w:t>ИЗМЕНЕНИЯ,</w:t>
      </w:r>
    </w:p>
    <w:p w:rsidR="00260C89" w:rsidRDefault="00260C89">
      <w:pPr>
        <w:pStyle w:val="ConsPlusTitle"/>
        <w:jc w:val="center"/>
      </w:pPr>
      <w:r>
        <w:t>КОТОРЫЕ ВНОСЯТСЯ В ПРИЛОЖЕНИЕ N 2 К ПОСТАНОВЛЕНИЮ</w:t>
      </w:r>
    </w:p>
    <w:p w:rsidR="00260C89" w:rsidRDefault="00260C89">
      <w:pPr>
        <w:pStyle w:val="ConsPlusTitle"/>
        <w:jc w:val="center"/>
      </w:pPr>
      <w:r>
        <w:t>ПРАВИТЕЛЬСТВА РЕСПУБЛИКИ ДАГЕСТАН ОТ 27 ИЮНЯ 2014 Г. N 295</w:t>
      </w:r>
    </w:p>
    <w:p w:rsidR="00260C89" w:rsidRDefault="00260C89">
      <w:pPr>
        <w:pStyle w:val="ConsPlusNormal"/>
        <w:jc w:val="both"/>
      </w:pPr>
    </w:p>
    <w:p w:rsidR="00260C89" w:rsidRDefault="00260C89">
      <w:pPr>
        <w:pStyle w:val="ConsPlusNormal"/>
        <w:ind w:firstLine="540"/>
        <w:jc w:val="both"/>
      </w:pPr>
      <w:r>
        <w:t xml:space="preserve">1. </w:t>
      </w:r>
      <w:hyperlink r:id="rId8">
        <w:r>
          <w:rPr>
            <w:color w:val="0000FF"/>
          </w:rPr>
          <w:t>Пункт 4</w:t>
        </w:r>
      </w:hyperlink>
      <w:r>
        <w:t xml:space="preserve"> изложить в следующей редакции:</w:t>
      </w:r>
    </w:p>
    <w:p w:rsidR="00260C89" w:rsidRDefault="00260C89">
      <w:pPr>
        <w:pStyle w:val="ConsPlusNormal"/>
        <w:spacing w:before="200"/>
        <w:ind w:firstLine="540"/>
        <w:jc w:val="both"/>
      </w:pPr>
      <w:r>
        <w:t>"4. Расчетные расходы на содержание органа местного самоуправления i-го муниципального образования определяются по следующей формуле:</w:t>
      </w:r>
    </w:p>
    <w:p w:rsidR="00260C89" w:rsidRDefault="00260C89">
      <w:pPr>
        <w:pStyle w:val="ConsPlusNormal"/>
        <w:jc w:val="both"/>
      </w:pPr>
    </w:p>
    <w:p w:rsidR="00260C89" w:rsidRDefault="00260C89">
      <w:pPr>
        <w:pStyle w:val="ConsPlusNormal"/>
        <w:jc w:val="center"/>
      </w:pPr>
      <w:r>
        <w:t>Ррсi = Фчi + Ккор,</w:t>
      </w:r>
    </w:p>
    <w:p w:rsidR="00260C89" w:rsidRDefault="00260C89">
      <w:pPr>
        <w:pStyle w:val="ConsPlusNormal"/>
        <w:jc w:val="both"/>
      </w:pPr>
    </w:p>
    <w:p w:rsidR="00260C89" w:rsidRDefault="00260C89">
      <w:pPr>
        <w:pStyle w:val="ConsPlusNormal"/>
        <w:ind w:firstLine="540"/>
        <w:jc w:val="both"/>
      </w:pPr>
      <w:r>
        <w:t>где:</w:t>
      </w:r>
    </w:p>
    <w:p w:rsidR="00260C89" w:rsidRDefault="00260C89">
      <w:pPr>
        <w:pStyle w:val="ConsPlusNormal"/>
        <w:spacing w:before="200"/>
        <w:ind w:firstLine="540"/>
        <w:jc w:val="both"/>
      </w:pPr>
      <w:r>
        <w:t>Фчi - фонд оплаты труда (заработной платы с начислениями) расчетной численности работников аппарата управления органа местного самоуправления муниципального образования, установленный исходя из должностей и соответствующих им действующих размеров оплаты труда, определенных Нормативными требованиями по формированию структуры и определению численности аппаратов органов местного самоуправления муниципальных образований Республики Дагестан, утвержденными настоящим постановлением;</w:t>
      </w:r>
    </w:p>
    <w:p w:rsidR="00260C89" w:rsidRDefault="00260C89">
      <w:pPr>
        <w:pStyle w:val="ConsPlusNormal"/>
        <w:spacing w:before="200"/>
        <w:ind w:firstLine="540"/>
        <w:jc w:val="both"/>
      </w:pPr>
      <w:r>
        <w:t xml:space="preserve">Ккор - коэффициент, учитывающий среднюю долю расходов аппарата управления органа местного самоуправления муниципального образования на коммунальные услуги, услуги связи, командировочные расходы и прочие выплаты, а также расходы на приобретение материальных </w:t>
      </w:r>
      <w:r>
        <w:lastRenderedPageBreak/>
        <w:t>запасов (оказание услуг) и содержание имущества для i-го муниципального образования, определяется по следующей формуле:</w:t>
      </w:r>
    </w:p>
    <w:p w:rsidR="00260C89" w:rsidRDefault="00260C89">
      <w:pPr>
        <w:pStyle w:val="ConsPlusNormal"/>
        <w:jc w:val="both"/>
      </w:pPr>
    </w:p>
    <w:p w:rsidR="00260C89" w:rsidRDefault="00260C89">
      <w:pPr>
        <w:pStyle w:val="ConsPlusNormal"/>
        <w:jc w:val="center"/>
      </w:pPr>
      <w:r>
        <w:t>Ккор = Фчi х 0,25 х Ккуi х Кплi х Кдостi,</w:t>
      </w:r>
    </w:p>
    <w:p w:rsidR="00260C89" w:rsidRDefault="00260C89">
      <w:pPr>
        <w:pStyle w:val="ConsPlusNormal"/>
        <w:jc w:val="both"/>
      </w:pPr>
    </w:p>
    <w:p w:rsidR="00260C89" w:rsidRDefault="00260C89">
      <w:pPr>
        <w:pStyle w:val="ConsPlusNormal"/>
        <w:ind w:firstLine="540"/>
        <w:jc w:val="both"/>
      </w:pPr>
      <w:r>
        <w:t>где:</w:t>
      </w:r>
    </w:p>
    <w:p w:rsidR="00260C89" w:rsidRDefault="00260C89">
      <w:pPr>
        <w:pStyle w:val="ConsPlusNormal"/>
        <w:spacing w:before="200"/>
        <w:ind w:firstLine="540"/>
        <w:jc w:val="both"/>
      </w:pPr>
      <w:r>
        <w:t>Ккуi - коэффициент стоимости предоставления коммунальных услуг;</w:t>
      </w:r>
    </w:p>
    <w:p w:rsidR="00260C89" w:rsidRDefault="00260C89">
      <w:pPr>
        <w:pStyle w:val="ConsPlusNormal"/>
        <w:spacing w:before="200"/>
        <w:ind w:firstLine="540"/>
        <w:jc w:val="both"/>
      </w:pPr>
      <w:r>
        <w:t>Кплi - коэффициент плотности населения;</w:t>
      </w:r>
    </w:p>
    <w:p w:rsidR="00260C89" w:rsidRDefault="00260C89">
      <w:pPr>
        <w:pStyle w:val="ConsPlusNormal"/>
        <w:spacing w:before="200"/>
        <w:ind w:firstLine="540"/>
        <w:jc w:val="both"/>
      </w:pPr>
      <w:r>
        <w:t>Кдостi - коэффициент транспортной доступности.</w:t>
      </w:r>
    </w:p>
    <w:p w:rsidR="00260C89" w:rsidRDefault="00260C89">
      <w:pPr>
        <w:pStyle w:val="ConsPlusNormal"/>
        <w:spacing w:before="200"/>
        <w:ind w:firstLine="540"/>
        <w:jc w:val="both"/>
      </w:pPr>
      <w:r>
        <w:t xml:space="preserve">Расчет коэффициентов стоимости предоставления коммунальных услуг и плотности населения муниципальных образований осуществляется согласно </w:t>
      </w:r>
      <w:hyperlink r:id="rId9">
        <w:r>
          <w:rPr>
            <w:color w:val="0000FF"/>
          </w:rPr>
          <w:t>Закону</w:t>
        </w:r>
      </w:hyperlink>
      <w:r>
        <w:t xml:space="preserve"> Республики Дагестан от 2 октября 2025 г. N 73 "О порядке и методике распределения дотаций на выравнивание бюджетной обеспеченности муниципальных районов (городских округов) Республики Дагестан".".</w:t>
      </w:r>
    </w:p>
    <w:p w:rsidR="00260C89" w:rsidRDefault="00260C89">
      <w:pPr>
        <w:pStyle w:val="ConsPlusNormal"/>
        <w:spacing w:before="200"/>
        <w:ind w:firstLine="540"/>
        <w:jc w:val="both"/>
      </w:pPr>
      <w:r>
        <w:t xml:space="preserve">2. </w:t>
      </w:r>
      <w:hyperlink r:id="rId10">
        <w:r>
          <w:rPr>
            <w:color w:val="0000FF"/>
          </w:rPr>
          <w:t>Дополнить</w:t>
        </w:r>
      </w:hyperlink>
      <w:r>
        <w:t xml:space="preserve"> пунктом 4.1 следующего содержания:</w:t>
      </w:r>
    </w:p>
    <w:p w:rsidR="00260C89" w:rsidRDefault="00260C89">
      <w:pPr>
        <w:pStyle w:val="ConsPlusNormal"/>
        <w:spacing w:before="200"/>
        <w:ind w:firstLine="540"/>
        <w:jc w:val="both"/>
      </w:pPr>
      <w:r>
        <w:t>"4.1. Коэффициент транспортной доступности рассчитывается по следующей формуле:</w:t>
      </w:r>
    </w:p>
    <w:p w:rsidR="00260C89" w:rsidRDefault="00260C89">
      <w:pPr>
        <w:pStyle w:val="ConsPlusNormal"/>
        <w:jc w:val="both"/>
      </w:pPr>
    </w:p>
    <w:p w:rsidR="00260C89" w:rsidRDefault="00260C89">
      <w:pPr>
        <w:pStyle w:val="ConsPlusNormal"/>
        <w:jc w:val="center"/>
      </w:pPr>
      <w:r>
        <w:t>Кдостi = 1 + Кi,</w:t>
      </w:r>
    </w:p>
    <w:p w:rsidR="00260C89" w:rsidRDefault="00260C89">
      <w:pPr>
        <w:pStyle w:val="ConsPlusNormal"/>
        <w:jc w:val="both"/>
      </w:pPr>
    </w:p>
    <w:p w:rsidR="00260C89" w:rsidRDefault="00260C89">
      <w:pPr>
        <w:pStyle w:val="ConsPlusNormal"/>
        <w:ind w:firstLine="540"/>
        <w:jc w:val="both"/>
      </w:pPr>
      <w:r>
        <w:t>где:</w:t>
      </w:r>
    </w:p>
    <w:p w:rsidR="00260C89" w:rsidRDefault="00260C89">
      <w:pPr>
        <w:pStyle w:val="ConsPlusNormal"/>
        <w:spacing w:before="200"/>
        <w:ind w:firstLine="540"/>
        <w:jc w:val="both"/>
      </w:pPr>
      <w:r>
        <w:t>Кi - принимает значение в зависимости от расстояния от административного центра муниципального района, городского округа Республики Дагестан до узловой транспортной станции по следующей таблице:</w:t>
      </w:r>
    </w:p>
    <w:p w:rsidR="00260C89" w:rsidRDefault="00260C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835"/>
      </w:tblGrid>
      <w:tr w:rsidR="00260C89">
        <w:tc>
          <w:tcPr>
            <w:tcW w:w="4819" w:type="dxa"/>
          </w:tcPr>
          <w:p w:rsidR="00260C89" w:rsidRDefault="00260C89">
            <w:pPr>
              <w:pStyle w:val="ConsPlusNormal"/>
              <w:jc w:val="center"/>
            </w:pPr>
            <w:r>
              <w:t>Расстояние от административного центра муниципального района, городского округа Республики Дагестан до узловой транспортной станции (км)</w:t>
            </w:r>
          </w:p>
        </w:tc>
        <w:tc>
          <w:tcPr>
            <w:tcW w:w="2835" w:type="dxa"/>
          </w:tcPr>
          <w:p w:rsidR="00260C89" w:rsidRDefault="00260C89">
            <w:pPr>
              <w:pStyle w:val="ConsPlusNormal"/>
              <w:jc w:val="center"/>
            </w:pPr>
            <w:r>
              <w:t>Кi</w:t>
            </w:r>
          </w:p>
        </w:tc>
      </w:tr>
      <w:tr w:rsidR="00260C89">
        <w:tc>
          <w:tcPr>
            <w:tcW w:w="4819" w:type="dxa"/>
          </w:tcPr>
          <w:p w:rsidR="00260C89" w:rsidRDefault="00260C89">
            <w:pPr>
              <w:pStyle w:val="ConsPlusNormal"/>
            </w:pPr>
            <w:r>
              <w:t>До 50</w:t>
            </w:r>
          </w:p>
        </w:tc>
        <w:tc>
          <w:tcPr>
            <w:tcW w:w="2835" w:type="dxa"/>
          </w:tcPr>
          <w:p w:rsidR="00260C89" w:rsidRDefault="00260C89">
            <w:pPr>
              <w:pStyle w:val="ConsPlusNormal"/>
              <w:jc w:val="center"/>
            </w:pPr>
            <w:r>
              <w:t>0</w:t>
            </w:r>
          </w:p>
        </w:tc>
      </w:tr>
      <w:tr w:rsidR="00260C89">
        <w:tc>
          <w:tcPr>
            <w:tcW w:w="4819" w:type="dxa"/>
          </w:tcPr>
          <w:p w:rsidR="00260C89" w:rsidRDefault="00260C89">
            <w:pPr>
              <w:pStyle w:val="ConsPlusNormal"/>
            </w:pPr>
            <w:r>
              <w:t>От 50 до 100</w:t>
            </w:r>
          </w:p>
        </w:tc>
        <w:tc>
          <w:tcPr>
            <w:tcW w:w="2835" w:type="dxa"/>
          </w:tcPr>
          <w:p w:rsidR="00260C89" w:rsidRDefault="00260C89">
            <w:pPr>
              <w:pStyle w:val="ConsPlusNormal"/>
              <w:jc w:val="center"/>
            </w:pPr>
            <w:r>
              <w:t>0,05</w:t>
            </w:r>
          </w:p>
        </w:tc>
      </w:tr>
      <w:tr w:rsidR="00260C89">
        <w:tc>
          <w:tcPr>
            <w:tcW w:w="4819" w:type="dxa"/>
          </w:tcPr>
          <w:p w:rsidR="00260C89" w:rsidRDefault="00260C89">
            <w:pPr>
              <w:pStyle w:val="ConsPlusNormal"/>
            </w:pPr>
            <w:r>
              <w:t>От 100 до 150</w:t>
            </w:r>
          </w:p>
        </w:tc>
        <w:tc>
          <w:tcPr>
            <w:tcW w:w="2835" w:type="dxa"/>
          </w:tcPr>
          <w:p w:rsidR="00260C89" w:rsidRDefault="00260C89">
            <w:pPr>
              <w:pStyle w:val="ConsPlusNormal"/>
              <w:jc w:val="center"/>
            </w:pPr>
            <w:r>
              <w:t>0,1</w:t>
            </w:r>
          </w:p>
        </w:tc>
      </w:tr>
      <w:tr w:rsidR="00260C89">
        <w:tc>
          <w:tcPr>
            <w:tcW w:w="4819" w:type="dxa"/>
          </w:tcPr>
          <w:p w:rsidR="00260C89" w:rsidRDefault="00260C89">
            <w:pPr>
              <w:pStyle w:val="ConsPlusNormal"/>
            </w:pPr>
            <w:r>
              <w:t>От 150 и выше</w:t>
            </w:r>
          </w:p>
        </w:tc>
        <w:tc>
          <w:tcPr>
            <w:tcW w:w="2835" w:type="dxa"/>
          </w:tcPr>
          <w:p w:rsidR="00260C89" w:rsidRDefault="00260C89">
            <w:pPr>
              <w:pStyle w:val="ConsPlusNormal"/>
              <w:jc w:val="center"/>
            </w:pPr>
            <w:r>
              <w:t>0,15</w:t>
            </w:r>
          </w:p>
        </w:tc>
      </w:tr>
    </w:tbl>
    <w:p w:rsidR="00260C89" w:rsidRDefault="00260C89">
      <w:pPr>
        <w:pStyle w:val="ConsPlusNormal"/>
        <w:jc w:val="both"/>
      </w:pPr>
    </w:p>
    <w:p w:rsidR="00260C89" w:rsidRDefault="00260C89">
      <w:pPr>
        <w:pStyle w:val="ConsPlusNormal"/>
        <w:ind w:firstLine="540"/>
        <w:jc w:val="both"/>
      </w:pPr>
      <w:r>
        <w:t>Принять в качестве узловых транспортных станций для муниципальных образований:</w:t>
      </w:r>
    </w:p>
    <w:p w:rsidR="00260C89" w:rsidRDefault="00260C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835"/>
      </w:tblGrid>
      <w:tr w:rsidR="00260C89">
        <w:tc>
          <w:tcPr>
            <w:tcW w:w="4819" w:type="dxa"/>
          </w:tcPr>
          <w:p w:rsidR="00260C89" w:rsidRDefault="00260C89">
            <w:pPr>
              <w:pStyle w:val="ConsPlusNormal"/>
              <w:jc w:val="center"/>
            </w:pPr>
            <w:r>
              <w:t>Муниципальные образования</w:t>
            </w:r>
          </w:p>
        </w:tc>
        <w:tc>
          <w:tcPr>
            <w:tcW w:w="2835" w:type="dxa"/>
          </w:tcPr>
          <w:p w:rsidR="00260C89" w:rsidRDefault="00260C89">
            <w:pPr>
              <w:pStyle w:val="ConsPlusNormal"/>
              <w:jc w:val="center"/>
            </w:pPr>
            <w:r>
              <w:t>Узловая транспортная станция</w:t>
            </w:r>
          </w:p>
        </w:tc>
      </w:tr>
      <w:tr w:rsidR="00260C89">
        <w:tc>
          <w:tcPr>
            <w:tcW w:w="4819" w:type="dxa"/>
          </w:tcPr>
          <w:p w:rsidR="00260C89" w:rsidRDefault="00260C89">
            <w:pPr>
              <w:pStyle w:val="ConsPlusNormal"/>
              <w:jc w:val="center"/>
            </w:pPr>
            <w:r>
              <w:t>1</w:t>
            </w:r>
          </w:p>
        </w:tc>
        <w:tc>
          <w:tcPr>
            <w:tcW w:w="2835" w:type="dxa"/>
          </w:tcPr>
          <w:p w:rsidR="00260C89" w:rsidRDefault="00260C89">
            <w:pPr>
              <w:pStyle w:val="ConsPlusNormal"/>
              <w:jc w:val="center"/>
            </w:pPr>
            <w:r>
              <w:t>2</w:t>
            </w:r>
          </w:p>
        </w:tc>
      </w:tr>
      <w:tr w:rsidR="00260C89">
        <w:tc>
          <w:tcPr>
            <w:tcW w:w="4819" w:type="dxa"/>
          </w:tcPr>
          <w:p w:rsidR="00260C89" w:rsidRDefault="00260C89">
            <w:pPr>
              <w:pStyle w:val="ConsPlusNormal"/>
            </w:pPr>
            <w:r>
              <w:t>Акушинский район, Ахвахский район, Ботлихский район, Буйнакский район, Гергебильский район, Гумбетовский район, Гунибский район, Карабудахкентский район, Кумторкалинский район, Кулинский район, Лакский район, Левашинский район, Тляратинский район, Унцукульский район, Хунзахский район, Цумадинский район, Цунтинский район, Чародинский район, Шамильский район, Бежтинский участок, город Буйнакск, город Каспийск</w:t>
            </w:r>
          </w:p>
        </w:tc>
        <w:tc>
          <w:tcPr>
            <w:tcW w:w="2835" w:type="dxa"/>
          </w:tcPr>
          <w:p w:rsidR="00260C89" w:rsidRDefault="00260C89">
            <w:pPr>
              <w:pStyle w:val="ConsPlusNormal"/>
              <w:jc w:val="center"/>
            </w:pPr>
            <w:r>
              <w:t>городской округ "город Махачкала"</w:t>
            </w:r>
          </w:p>
        </w:tc>
      </w:tr>
      <w:tr w:rsidR="00260C89">
        <w:tc>
          <w:tcPr>
            <w:tcW w:w="4819" w:type="dxa"/>
          </w:tcPr>
          <w:p w:rsidR="00260C89" w:rsidRDefault="00260C89">
            <w:pPr>
              <w:pStyle w:val="ConsPlusNormal"/>
            </w:pPr>
            <w:r>
              <w:lastRenderedPageBreak/>
              <w:t>Агульский район, Ахтынский район, Дахадаевский район, Дербентский район, Докузпаринский район, Кайтагский район, Курахский район, Магарамкентский район, Рутульский район, Сулейман-Стальский район, Табасаранский район, Хивский район, город Дагестанские Огни</w:t>
            </w:r>
          </w:p>
        </w:tc>
        <w:tc>
          <w:tcPr>
            <w:tcW w:w="2835" w:type="dxa"/>
          </w:tcPr>
          <w:p w:rsidR="00260C89" w:rsidRDefault="00260C89">
            <w:pPr>
              <w:pStyle w:val="ConsPlusNormal"/>
              <w:jc w:val="center"/>
            </w:pPr>
            <w:r>
              <w:t>городской округ "город Дербент"</w:t>
            </w:r>
          </w:p>
        </w:tc>
      </w:tr>
      <w:tr w:rsidR="00260C89">
        <w:tc>
          <w:tcPr>
            <w:tcW w:w="4819" w:type="dxa"/>
          </w:tcPr>
          <w:p w:rsidR="00260C89" w:rsidRDefault="00260C89">
            <w:pPr>
              <w:pStyle w:val="ConsPlusNormal"/>
            </w:pPr>
            <w:r>
              <w:t>Кизилюртовский район</w:t>
            </w:r>
          </w:p>
        </w:tc>
        <w:tc>
          <w:tcPr>
            <w:tcW w:w="2835" w:type="dxa"/>
          </w:tcPr>
          <w:p w:rsidR="00260C89" w:rsidRDefault="00260C89">
            <w:pPr>
              <w:pStyle w:val="ConsPlusNormal"/>
              <w:jc w:val="center"/>
            </w:pPr>
            <w:r>
              <w:t>городской округ "город Кизилюрт"</w:t>
            </w:r>
          </w:p>
        </w:tc>
      </w:tr>
      <w:tr w:rsidR="00260C89">
        <w:tc>
          <w:tcPr>
            <w:tcW w:w="4819" w:type="dxa"/>
          </w:tcPr>
          <w:p w:rsidR="00260C89" w:rsidRDefault="00260C89">
            <w:pPr>
              <w:pStyle w:val="ConsPlusNormal"/>
            </w:pPr>
            <w:r>
              <w:t>Бабаюртовский район, Казбековский район, Новолакский район, Хасавюртовский район</w:t>
            </w:r>
          </w:p>
        </w:tc>
        <w:tc>
          <w:tcPr>
            <w:tcW w:w="2835" w:type="dxa"/>
          </w:tcPr>
          <w:p w:rsidR="00260C89" w:rsidRDefault="00260C89">
            <w:pPr>
              <w:pStyle w:val="ConsPlusNormal"/>
              <w:jc w:val="center"/>
            </w:pPr>
            <w:r>
              <w:t>городской округ "город Хасавюрт"</w:t>
            </w:r>
          </w:p>
        </w:tc>
      </w:tr>
      <w:tr w:rsidR="00260C89">
        <w:tc>
          <w:tcPr>
            <w:tcW w:w="4819" w:type="dxa"/>
          </w:tcPr>
          <w:p w:rsidR="00260C89" w:rsidRDefault="00260C89">
            <w:pPr>
              <w:pStyle w:val="ConsPlusNormal"/>
            </w:pPr>
            <w:r>
              <w:t>Кизлярский район, Ногайский район, Тарумовский район, город Южно-Сухокумск</w:t>
            </w:r>
          </w:p>
        </w:tc>
        <w:tc>
          <w:tcPr>
            <w:tcW w:w="2835" w:type="dxa"/>
          </w:tcPr>
          <w:p w:rsidR="00260C89" w:rsidRDefault="00260C89">
            <w:pPr>
              <w:pStyle w:val="ConsPlusNormal"/>
              <w:jc w:val="center"/>
            </w:pPr>
            <w:r>
              <w:t>городской округ "город Кизляр"</w:t>
            </w:r>
          </w:p>
        </w:tc>
      </w:tr>
      <w:tr w:rsidR="00260C89">
        <w:tc>
          <w:tcPr>
            <w:tcW w:w="4819" w:type="dxa"/>
          </w:tcPr>
          <w:p w:rsidR="00260C89" w:rsidRDefault="00260C89">
            <w:pPr>
              <w:pStyle w:val="ConsPlusNormal"/>
            </w:pPr>
            <w:r>
              <w:t>Каякентский район, Сергокалинский район</w:t>
            </w:r>
          </w:p>
        </w:tc>
        <w:tc>
          <w:tcPr>
            <w:tcW w:w="2835" w:type="dxa"/>
          </w:tcPr>
          <w:p w:rsidR="00260C89" w:rsidRDefault="00260C89">
            <w:pPr>
              <w:pStyle w:val="ConsPlusNormal"/>
              <w:jc w:val="center"/>
            </w:pPr>
            <w:r>
              <w:t>городской округ "город Избербаш"</w:t>
            </w:r>
          </w:p>
        </w:tc>
      </w:tr>
    </w:tbl>
    <w:p w:rsidR="00260C89" w:rsidRDefault="00260C89">
      <w:pPr>
        <w:pStyle w:val="ConsPlusNormal"/>
        <w:jc w:val="both"/>
      </w:pPr>
    </w:p>
    <w:p w:rsidR="00260C89" w:rsidRDefault="00260C89">
      <w:pPr>
        <w:pStyle w:val="ConsPlusNormal"/>
        <w:ind w:firstLine="540"/>
        <w:jc w:val="both"/>
      </w:pPr>
      <w:r>
        <w:t>Установить для всех узловых транспортных станций значение Кi равным 0.".</w:t>
      </w:r>
    </w:p>
    <w:p w:rsidR="00260C89" w:rsidRDefault="00260C89">
      <w:pPr>
        <w:pStyle w:val="ConsPlusNormal"/>
        <w:jc w:val="both"/>
      </w:pPr>
    </w:p>
    <w:p w:rsidR="00260C89" w:rsidRDefault="00260C89">
      <w:pPr>
        <w:pStyle w:val="ConsPlusNormal"/>
        <w:jc w:val="both"/>
      </w:pPr>
    </w:p>
    <w:p w:rsidR="00260C89" w:rsidRDefault="00260C89">
      <w:pPr>
        <w:pStyle w:val="ConsPlusNormal"/>
        <w:pBdr>
          <w:bottom w:val="single" w:sz="6" w:space="0" w:color="auto"/>
        </w:pBdr>
        <w:spacing w:before="100" w:after="100"/>
        <w:jc w:val="both"/>
        <w:rPr>
          <w:sz w:val="2"/>
          <w:szCs w:val="2"/>
        </w:rPr>
      </w:pPr>
    </w:p>
    <w:p w:rsidR="00727F86" w:rsidRDefault="00727F86">
      <w:bookmarkStart w:id="1" w:name="_GoBack"/>
      <w:bookmarkEnd w:id="1"/>
    </w:p>
    <w:sectPr w:rsidR="00727F86" w:rsidSect="00667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89"/>
    <w:rsid w:val="00260C89"/>
    <w:rsid w:val="00302182"/>
    <w:rsid w:val="00727F86"/>
    <w:rsid w:val="00791411"/>
    <w:rsid w:val="0080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34B8F-FCD0-413F-9588-D8485DF4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C8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260C89"/>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260C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7300&amp;dst=101092" TargetMode="External"/><Relationship Id="rId3" Type="http://schemas.openxmlformats.org/officeDocument/2006/relationships/webSettings" Target="webSettings.xml"/><Relationship Id="rId7" Type="http://schemas.openxmlformats.org/officeDocument/2006/relationships/hyperlink" Target="pravo.e-dag.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pravo.gov.ru" TargetMode="External"/><Relationship Id="rId11" Type="http://schemas.openxmlformats.org/officeDocument/2006/relationships/fontTable" Target="fontTable.xml"/><Relationship Id="rId5" Type="http://schemas.openxmlformats.org/officeDocument/2006/relationships/hyperlink" Target="https://login.consultant.ru/link/?req=doc&amp;base=RLAW346&amp;n=47300&amp;dst=100142" TargetMode="External"/><Relationship Id="rId10" Type="http://schemas.openxmlformats.org/officeDocument/2006/relationships/hyperlink" Target="https://login.consultant.ru/link/?req=doc&amp;base=RLAW346&amp;n=47300&amp;dst=10014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53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Пахрудин Пахрудинов</dc:creator>
  <cp:keywords/>
  <dc:description/>
  <cp:lastModifiedBy>Пахрудин Пахрудинов</cp:lastModifiedBy>
  <cp:revision>1</cp:revision>
  <dcterms:created xsi:type="dcterms:W3CDTF">2026-01-14T13:43:00Z</dcterms:created>
  <dcterms:modified xsi:type="dcterms:W3CDTF">2026-01-14T13:43:00Z</dcterms:modified>
</cp:coreProperties>
</file>